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pPr>
      <w:r>
        <w:rPr>
          <w:rFonts w:ascii="Arial" w:cs="Arial" w:eastAsia="Arial" w:hAnsi="Arial"/>
          <w:b/>
          <w:bCs/>
          <w:color w:val="2E86AB"/>
          <w:spacing w:val="60"/>
          <w:sz w:val="22"/>
          <w:szCs w:val="22"/>
        </w:rPr>
        <w:t xml:space="preserve">PROJECT REPORT</w:t>
      </w:r>
    </w:p>
    <w:p>
      <w:pPr>
        <w:spacing w:after="240" w:line="300"/>
      </w:pPr>
      <w:r>
        <w:rPr>
          <w:rFonts w:ascii="Arial" w:cs="Arial" w:eastAsia="Arial" w:hAnsi="Arial"/>
          <w:b/>
          <w:bCs/>
          <w:color w:val="1B2A33"/>
          <w:sz w:val="52"/>
          <w:szCs w:val="52"/>
        </w:rPr>
        <w:t xml:space="preserve">Volve Field: Drilling Non-Productive Time vs. Well Productivity</w:t>
      </w:r>
    </w:p>
    <w:p>
      <w:pPr>
        <w:spacing w:after="900"/>
      </w:pPr>
      <w:r>
        <w:rPr>
          <w:rFonts w:ascii="Arial" w:cs="Arial" w:eastAsia="Arial" w:hAnsi="Arial"/>
          <w:color w:val="5C6B73"/>
          <w:sz w:val="26"/>
          <w:szCs w:val="26"/>
        </w:rPr>
        <w:t xml:space="preserve">An end-to-end analytics project: Python  →  PostgreSQL  →  Power BI</w:t>
      </w:r>
    </w:p>
    <w:p>
      <w:pPr>
        <w:pBdr>
          <w:top w:val="single" w:color="2E86AB" w:sz="12" w:space="10"/>
        </w:pBdr>
        <w:spacing w:after="200"/>
      </w:pPr>
    </w:p>
    <w:p>
      <w:pPr>
        <w:spacing w:after="60" w:line="288"/>
      </w:pPr>
      <w:r>
        <w:rPr>
          <w:rFonts w:ascii="Arial" w:cs="Arial" w:eastAsia="Arial" w:hAnsi="Arial"/>
          <w:b/>
          <w:bCs/>
          <w:color w:val="1B2A33"/>
          <w:sz w:val="21"/>
          <w:szCs w:val="21"/>
        </w:rPr>
        <w:t xml:space="preserve">Author:  </w:t>
      </w:r>
      <w:r>
        <w:rPr>
          <w:rFonts w:ascii="Arial" w:cs="Arial" w:eastAsia="Arial" w:hAnsi="Arial"/>
          <w:color w:val="1B2A33"/>
          <w:sz w:val="21"/>
          <w:szCs w:val="21"/>
        </w:rPr>
        <w:t xml:space="preserve">Utkarsh Raj Srivastava</w:t>
      </w:r>
    </w:p>
    <w:p>
      <w:pPr>
        <w:spacing w:after="60" w:line="288"/>
      </w:pPr>
      <w:r>
        <w:rPr>
          <w:rFonts w:ascii="Arial" w:cs="Arial" w:eastAsia="Arial" w:hAnsi="Arial"/>
          <w:b/>
          <w:bCs/>
          <w:color w:val="1B2A33"/>
          <w:sz w:val="21"/>
          <w:szCs w:val="21"/>
        </w:rPr>
        <w:t xml:space="preserve">Date:  </w:t>
      </w:r>
      <w:r>
        <w:rPr>
          <w:rFonts w:ascii="Arial" w:cs="Arial" w:eastAsia="Arial" w:hAnsi="Arial"/>
          <w:color w:val="1B2A33"/>
          <w:sz w:val="21"/>
          <w:szCs w:val="21"/>
        </w:rPr>
        <w:t xml:space="preserve">October 2026</w:t>
      </w:r>
    </w:p>
    <w:p>
      <w:pPr>
        <w:spacing w:after="60" w:line="288"/>
      </w:pPr>
      <w:r>
        <w:rPr>
          <w:rFonts w:ascii="Arial" w:cs="Arial" w:eastAsia="Arial" w:hAnsi="Arial"/>
          <w:b/>
          <w:bCs/>
          <w:color w:val="1B2A33"/>
          <w:sz w:val="21"/>
          <w:szCs w:val="21"/>
        </w:rPr>
        <w:t xml:space="preserve">Repository:  </w:t>
      </w:r>
      <w:r>
        <w:rPr>
          <w:rFonts w:ascii="Arial" w:cs="Arial" w:eastAsia="Arial" w:hAnsi="Arial"/>
          <w:color w:val="1B2A33"/>
          <w:sz w:val="21"/>
          <w:szCs w:val="21"/>
        </w:rPr>
        <w:t xml:space="preserve">github.com/utkarshraj94/volve-npt-analysis</w:t>
      </w:r>
    </w:p>
    <w:p>
      <w:pPr>
        <w:spacing w:after="60" w:line="288"/>
      </w:pPr>
      <w:r>
        <w:rPr>
          <w:rFonts w:ascii="Arial" w:cs="Arial" w:eastAsia="Arial" w:hAnsi="Arial"/>
          <w:b/>
          <w:bCs/>
          <w:color w:val="1B2A33"/>
          <w:sz w:val="21"/>
          <w:szCs w:val="21"/>
        </w:rPr>
        <w:t xml:space="preserve">Data:  </w:t>
      </w:r>
      <w:r>
        <w:rPr>
          <w:rFonts w:ascii="Arial" w:cs="Arial" w:eastAsia="Arial" w:hAnsi="Arial"/>
          <w:color w:val="1B2A33"/>
          <w:sz w:val="21"/>
          <w:szCs w:val="21"/>
        </w:rPr>
        <w:t xml:space="preserve">Equinor Volve open dataset (daily drilling reports and production data)</w:t>
      </w:r>
    </w:p>
    <w:p>
      <w:pPr>
        <w:spacing w:after="60" w:line="288"/>
      </w:pPr>
      <w:r>
        <w:rPr>
          <w:rFonts w:ascii="Arial" w:cs="Arial" w:eastAsia="Arial" w:hAnsi="Arial"/>
          <w:b/>
          <w:bCs/>
          <w:color w:val="1B2A33"/>
          <w:sz w:val="21"/>
          <w:szCs w:val="21"/>
        </w:rPr>
        <w:t xml:space="preserve">Purpose:  </w:t>
      </w:r>
      <w:r>
        <w:rPr>
          <w:rFonts w:ascii="Arial" w:cs="Arial" w:eastAsia="Arial" w:hAnsi="Arial"/>
          <w:color w:val="1B2A33"/>
          <w:sz w:val="21"/>
          <w:szCs w:val="21"/>
        </w:rPr>
        <w:t xml:space="preserve">Educational / portfolio, non-commercial</w:t>
      </w:r>
    </w:p>
    <w:p>
      <w:r>
        <w:br w:type="page"/>
      </w:r>
    </w:p>
    <w:p>
      <w:pPr>
        <w:spacing w:after="200"/>
      </w:pPr>
      <w:r>
        <w:rPr>
          <w:rFonts w:ascii="Arial" w:cs="Arial" w:eastAsia="Arial" w:hAnsi="Arial"/>
          <w:b/>
          <w:bCs/>
          <w:color w:val="1B2A33"/>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88"/>
      </w:pPr>
      <w:r>
        <w:rPr>
          <w:rFonts w:ascii="Arial" w:cs="Arial" w:eastAsia="Arial" w:hAnsi="Arial"/>
          <w:color w:val="5C6B73"/>
          <w:sz w:val="17"/>
          <w:szCs w:val="17"/>
        </w:rPr>
        <w:t xml:space="preserve">Note: if the page numbers above are blank, right-click the table and choose Update Field.</w:t>
      </w:r>
    </w:p>
    <w:p>
      <w:r>
        <w:br w:type="page"/>
      </w:r>
    </w:p>
    <w:p>
      <w:pPr>
        <w:pStyle w:val="Heading1"/>
        <w:keepNext/>
        <w:spacing w:after="160" w:before="360"/>
      </w:pPr>
      <w:r>
        <w:rPr>
          <w:rFonts w:ascii="Arial" w:cs="Arial" w:eastAsia="Arial" w:hAnsi="Arial"/>
          <w:b/>
          <w:bCs/>
          <w:color w:val="1B2A33"/>
          <w:sz w:val="32"/>
          <w:szCs w:val="32"/>
        </w:rPr>
        <w:t xml:space="preserve">1. Executive Summary</w:t>
      </w:r>
    </w:p>
    <w:p>
      <w:pPr>
        <w:spacing w:after="120" w:line="288"/>
      </w:pPr>
      <w:r>
        <w:rPr>
          <w:rFonts w:ascii="Arial" w:cs="Arial" w:eastAsia="Arial" w:hAnsi="Arial"/>
          <w:color w:val="1B2A33"/>
          <w:sz w:val="21"/>
          <w:szCs w:val="21"/>
        </w:rPr>
        <w:t xml:space="preserve">This project measures how much of the Volve drilling campaign was lost to non-productive time (NPT), where that time went, what it plausibly cost, and whether the wells that were hardest to drill were also the wells that produced the least. The work runs from raw daily drilling reports through a classified, audited dataset, a PostgreSQL star schema and a five-page Power BI report.</w:t>
      </w:r>
    </w:p>
    <w:p>
      <w:pPr>
        <w:pStyle w:val="Heading3"/>
        <w:keepNext/>
        <w:spacing w:after="80" w:before="160"/>
      </w:pPr>
      <w:r>
        <w:rPr>
          <w:rFonts w:ascii="Arial" w:cs="Arial" w:eastAsia="Arial" w:hAnsi="Arial"/>
          <w:b/>
          <w:bCs/>
          <w:color w:val="1B2A33"/>
          <w:sz w:val="22"/>
          <w:szCs w:val="22"/>
        </w:rPr>
        <w:t xml:space="preserve">Headline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left"/>
            </w:pPr>
            <w:r>
              <w:rPr>
                <w:rFonts w:ascii="Arial" w:cs="Arial" w:eastAsia="Arial" w:hAnsi="Arial"/>
                <w:b/>
                <w:bCs/>
                <w:color w:val="FFFFFF"/>
                <w:sz w:val="19"/>
                <w:szCs w:val="19"/>
              </w:rPr>
              <w:t xml:space="preserve">Measure</w:t>
            </w:r>
          </w:p>
        </w:tc>
        <w:tc>
          <w:tcPr>
            <w:tcW w:type="dxa" w:w="606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left"/>
            </w:pPr>
            <w:r>
              <w:rPr>
                <w:rFonts w:ascii="Arial" w:cs="Arial" w:eastAsia="Arial" w:hAnsi="Arial"/>
                <w:b/>
                <w:bCs/>
                <w:color w:val="FFFFFF"/>
                <w:sz w:val="19"/>
                <w:szCs w:val="19"/>
              </w:rPr>
              <w:t xml:space="preserve">Result</w:t>
            </w:r>
          </w:p>
        </w:tc>
      </w:tr>
      <w:tr>
        <w:trPr>
          <w:cantSplit/>
        </w:trPr>
        <w:tc>
          <w:tcPr>
            <w:tcW w:type="dxa" w:w="33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Logged rig time analysed</w:t>
            </w:r>
          </w:p>
        </w:tc>
        <w:tc>
          <w:tcPr>
            <w:tcW w:type="dxa" w:w="60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39,395 hours across 26 wellbores and 1,750 daily reports (1992–2016)</w:t>
            </w:r>
          </w:p>
        </w:tc>
      </w:tr>
      <w:tr>
        <w:trPr>
          <w:cantSplit/>
        </w:trPr>
        <w:tc>
          <w:tcPr>
            <w:tcW w:type="dxa" w:w="33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Non-productive time</w:t>
            </w:r>
          </w:p>
        </w:tc>
        <w:tc>
          <w:tcPr>
            <w:tcW w:type="dxa" w:w="606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7,888 hours = 20.0% of logged time (± about 0.2 percentage points)</w:t>
            </w:r>
          </w:p>
        </w:tc>
      </w:tr>
      <w:tr>
        <w:trPr>
          <w:cantSplit/>
        </w:trPr>
        <w:tc>
          <w:tcPr>
            <w:tcW w:type="dxa" w:w="33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Productive time</w:t>
            </w:r>
          </w:p>
        </w:tc>
        <w:tc>
          <w:tcPr>
            <w:tcW w:type="dxa" w:w="60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30,510 hours = 77.4%</w:t>
            </w:r>
          </w:p>
        </w:tc>
      </w:tr>
      <w:tr>
        <w:trPr>
          <w:cantSplit/>
        </w:trPr>
        <w:tc>
          <w:tcPr>
            <w:tcW w:type="dxa" w:w="33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Rig moves / mobilisation</w:t>
            </w:r>
          </w:p>
        </w:tc>
        <w:tc>
          <w:tcPr>
            <w:tcW w:type="dxa" w:w="606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997 hours = 2.5% (kept separate from both)</w:t>
            </w:r>
          </w:p>
        </w:tc>
      </w:tr>
      <w:tr>
        <w:trPr>
          <w:cantSplit/>
        </w:trPr>
        <w:tc>
          <w:tcPr>
            <w:tcW w:type="dxa" w:w="33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Where the NPT went</w:t>
            </w:r>
          </w:p>
        </w:tc>
        <w:tc>
          <w:tcPr>
            <w:tcW w:type="dxa" w:w="60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Surface-equipment repair (36.9%) and weather (24.5%) together account for 61.4% of all NPT</w:t>
            </w:r>
          </w:p>
        </w:tc>
      </w:tr>
      <w:tr>
        <w:trPr>
          <w:cantSplit/>
        </w:trPr>
        <w:tc>
          <w:tcPr>
            <w:tcW w:type="dxa" w:w="33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Concentration</w:t>
            </w:r>
          </w:p>
        </w:tc>
        <w:tc>
          <w:tcPr>
            <w:tcW w:type="dxa" w:w="606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13 of 26 wellbores account for 82% of all NPT hours</w:t>
            </w:r>
          </w:p>
        </w:tc>
      </w:tr>
      <w:tr>
        <w:trPr>
          <w:cantSplit/>
        </w:trPr>
        <w:tc>
          <w:tcPr>
            <w:tcW w:type="dxa" w:w="33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Modelled cost of NPT</w:t>
            </w:r>
          </w:p>
        </w:tc>
        <w:tc>
          <w:tcPr>
            <w:tcW w:type="dxa" w:w="60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About $98.6M at an assumed $12,500 per rig-hour (a modelling assumption, not a reported figure)</w:t>
            </w:r>
          </w:p>
        </w:tc>
      </w:tr>
      <w:tr>
        <w:trPr>
          <w:cantSplit/>
        </w:trPr>
        <w:tc>
          <w:tcPr>
            <w:tcW w:type="dxa" w:w="33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NPT vs. production</w:t>
            </w:r>
          </w:p>
        </w:tc>
        <w:tc>
          <w:tcPr>
            <w:tcW w:type="dxa" w:w="606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Among the six wells with oil data, high NPT did not go with low output (small sample; see Section 7)</w:t>
            </w:r>
          </w:p>
        </w:tc>
      </w:tr>
    </w:tbl>
    <w:p>
      <w:pPr>
        <w:spacing w:after="160"/>
      </w:pPr>
    </w:p>
    <w:p>
      <w:pPr>
        <w:pStyle w:val="Heading3"/>
        <w:keepNext/>
        <w:spacing w:after="80" w:before="160"/>
      </w:pPr>
      <w:r>
        <w:rPr>
          <w:rFonts w:ascii="Arial" w:cs="Arial" w:eastAsia="Arial" w:hAnsi="Arial"/>
          <w:b/>
          <w:bCs/>
          <w:color w:val="1B2A33"/>
          <w:sz w:val="22"/>
          <w:szCs w:val="22"/>
        </w:rPr>
        <w:t xml:space="preserve">Main conclusions</w:t>
      </w:r>
    </w:p>
    <w:p>
      <w:pPr>
        <w:pStyle w:val="ListParagraph"/>
        <w:numPr>
          <w:ilvl w:val="0"/>
          <w:numId w:val="2"/>
        </w:numPr>
        <w:spacing w:after="70" w:line="276"/>
      </w:pPr>
      <w:r>
        <w:rPr>
          <w:rFonts w:ascii="Arial" w:cs="Arial" w:eastAsia="Arial" w:hAnsi="Arial"/>
          <w:color w:val="1B2A33"/>
          <w:sz w:val="21"/>
          <w:szCs w:val="21"/>
        </w:rPr>
        <w:t xml:space="preserve">One in five logged rig hours was non-productive. Most of it came from two causes that are largely outside the well itself: surface-equipment maintenance and weather.</w:t>
      </w:r>
    </w:p>
    <w:p>
      <w:pPr>
        <w:pStyle w:val="ListParagraph"/>
        <w:numPr>
          <w:ilvl w:val="0"/>
          <w:numId w:val="2"/>
        </w:numPr>
        <w:spacing w:after="70" w:line="276"/>
      </w:pPr>
      <w:r>
        <w:rPr>
          <w:rFonts w:ascii="Arial" w:cs="Arial" w:eastAsia="Arial" w:hAnsi="Arial"/>
          <w:color w:val="1B2A33"/>
          <w:sz w:val="21"/>
          <w:szCs w:val="21"/>
        </w:rPr>
        <w:t xml:space="preserve">NPT was uneven. A few short or exploratory wellbores (19-B at 78.5%, F-11 at 56.2%) had extreme rates, while 13 wellbores carried 82% of the lost hours.</w:t>
      </w:r>
    </w:p>
    <w:p>
      <w:pPr>
        <w:pStyle w:val="ListParagraph"/>
        <w:numPr>
          <w:ilvl w:val="0"/>
          <w:numId w:val="2"/>
        </w:numPr>
        <w:spacing w:after="70" w:line="276"/>
      </w:pPr>
      <w:r>
        <w:rPr>
          <w:rFonts w:ascii="Arial" w:cs="Arial" w:eastAsia="Arial" w:hAnsi="Arial"/>
          <w:color w:val="1B2A33"/>
          <w:sz w:val="21"/>
          <w:szCs w:val="21"/>
        </w:rPr>
        <w:t xml:space="preserve">The data does not support the idea that high NPT meant low production. F-11 lost 56.2% of its rig time yet produced 7.2 million barrels, and the largest producer (F-12) ran at 17.9%. Only six wells have oil data, so this is a pattern to note, not a proof.</w:t>
      </w:r>
    </w:p>
    <w:p>
      <w:pPr>
        <w:pStyle w:val="ListParagraph"/>
        <w:numPr>
          <w:ilvl w:val="0"/>
          <w:numId w:val="2"/>
        </w:numPr>
        <w:spacing w:after="70" w:line="276"/>
      </w:pPr>
      <w:r>
        <w:rPr>
          <w:rFonts w:ascii="Arial" w:cs="Arial" w:eastAsia="Arial" w:hAnsi="Arial"/>
          <w:color w:val="1B2A33"/>
          <w:sz w:val="21"/>
          <w:szCs w:val="21"/>
        </w:rPr>
        <w:t xml:space="preserve">The classification behind the 20.0% figure is auditable: a human reviewed 1,517 rows, and the high-confidence tier showed a 0% error rate in its audit sample.</w:t>
      </w:r>
    </w:p>
    <w:p>
      <w:r>
        <w:br w:type="page"/>
      </w:r>
    </w:p>
    <w:p>
      <w:pPr>
        <w:pStyle w:val="Heading1"/>
        <w:keepNext/>
        <w:spacing w:after="160" w:before="360"/>
      </w:pPr>
      <w:r>
        <w:rPr>
          <w:rFonts w:ascii="Arial" w:cs="Arial" w:eastAsia="Arial" w:hAnsi="Arial"/>
          <w:b/>
          <w:bCs/>
          <w:color w:val="1B2A33"/>
          <w:sz w:val="32"/>
          <w:szCs w:val="32"/>
        </w:rPr>
        <w:t xml:space="preserve">2. Background and Objectives</w:t>
      </w:r>
    </w:p>
    <w:p>
      <w:pPr>
        <w:pStyle w:val="Heading2"/>
        <w:keepNext/>
        <w:spacing w:after="120" w:before="240"/>
      </w:pPr>
      <w:r>
        <w:rPr>
          <w:rFonts w:ascii="Arial" w:cs="Arial" w:eastAsia="Arial" w:hAnsi="Arial"/>
          <w:b/>
          <w:bCs/>
          <w:color w:val="2E86AB"/>
          <w:sz w:val="26"/>
          <w:szCs w:val="26"/>
        </w:rPr>
        <w:t xml:space="preserve">2.1 Business question</w:t>
      </w:r>
    </w:p>
    <w:p>
      <w:pPr>
        <w:spacing w:after="120" w:line="288"/>
      </w:pPr>
      <w:r>
        <w:rPr>
          <w:rFonts w:ascii="Arial" w:cs="Arial" w:eastAsia="Arial" w:hAnsi="Arial"/>
          <w:color w:val="1B2A33"/>
          <w:sz w:val="21"/>
          <w:szCs w:val="21"/>
        </w:rPr>
        <w:t xml:space="preserve">Drilling is expensive, and time spent not making progress is the most visible source of avoidable cost. The Volve field (Norwegian North Sea, operated by Equinor until 2016) published its daily drilling reports and production history as an open dataset. That makes it possible to ask a concrete question: where did the downtime go, what did it plausibly cost, and did high-NPT wells deliver proportionally higher production?</w:t>
      </w:r>
    </w:p>
    <w:p>
      <w:pPr>
        <w:pStyle w:val="Heading2"/>
        <w:keepNext/>
        <w:spacing w:after="120" w:before="240"/>
      </w:pPr>
      <w:r>
        <w:rPr>
          <w:rFonts w:ascii="Arial" w:cs="Arial" w:eastAsia="Arial" w:hAnsi="Arial"/>
          <w:b/>
          <w:bCs/>
          <w:color w:val="2E86AB"/>
          <w:sz w:val="26"/>
          <w:szCs w:val="26"/>
        </w:rPr>
        <w:t xml:space="preserve">2.2 Objectives</w:t>
      </w:r>
    </w:p>
    <w:p>
      <w:pPr>
        <w:pStyle w:val="ListParagraph"/>
        <w:numPr>
          <w:ilvl w:val="0"/>
          <w:numId w:val="3"/>
        </w:numPr>
        <w:spacing w:after="80" w:line="276"/>
      </w:pPr>
      <w:r>
        <w:rPr>
          <w:rFonts w:ascii="Arial" w:cs="Arial" w:eastAsia="Arial" w:hAnsi="Arial"/>
          <w:color w:val="1B2A33"/>
          <w:sz w:val="21"/>
          <w:szCs w:val="21"/>
        </w:rPr>
        <w:t xml:space="preserve">Extract and clean the daily drilling reports and the production history into analysis-ready tables.</w:t>
      </w:r>
    </w:p>
    <w:p>
      <w:pPr>
        <w:pStyle w:val="ListParagraph"/>
        <w:numPr>
          <w:ilvl w:val="0"/>
          <w:numId w:val="3"/>
        </w:numPr>
        <w:spacing w:after="80" w:line="276"/>
      </w:pPr>
      <w:r>
        <w:rPr>
          <w:rFonts w:ascii="Arial" w:cs="Arial" w:eastAsia="Arial" w:hAnsi="Arial"/>
          <w:color w:val="1B2A33"/>
          <w:sz w:val="21"/>
          <w:szCs w:val="21"/>
        </w:rPr>
        <w:t xml:space="preserve">Define NPT in a way that can be defended, classify every logged activity against it, and measure how reliable the classification is.</w:t>
      </w:r>
    </w:p>
    <w:p>
      <w:pPr>
        <w:pStyle w:val="ListParagraph"/>
        <w:numPr>
          <w:ilvl w:val="0"/>
          <w:numId w:val="3"/>
        </w:numPr>
        <w:spacing w:after="80" w:line="276"/>
      </w:pPr>
      <w:r>
        <w:rPr>
          <w:rFonts w:ascii="Arial" w:cs="Arial" w:eastAsia="Arial" w:hAnsi="Arial"/>
          <w:color w:val="1B2A33"/>
          <w:sz w:val="21"/>
          <w:szCs w:val="21"/>
        </w:rPr>
        <w:t xml:space="preserve">Load the result into a PostgreSQL star schema that supports repeatable analysis.</w:t>
      </w:r>
    </w:p>
    <w:p>
      <w:pPr>
        <w:pStyle w:val="ListParagraph"/>
        <w:numPr>
          <w:ilvl w:val="0"/>
          <w:numId w:val="3"/>
        </w:numPr>
        <w:spacing w:after="80" w:line="276"/>
      </w:pPr>
      <w:r>
        <w:rPr>
          <w:rFonts w:ascii="Arial" w:cs="Arial" w:eastAsia="Arial" w:hAnsi="Arial"/>
          <w:color w:val="1B2A33"/>
          <w:sz w:val="21"/>
          <w:szCs w:val="21"/>
        </w:rPr>
        <w:t xml:space="preserve">Quantify NPT by category, wellbore, hole section and year, and attach a modelled cost.</w:t>
      </w:r>
    </w:p>
    <w:p>
      <w:pPr>
        <w:pStyle w:val="ListParagraph"/>
        <w:numPr>
          <w:ilvl w:val="0"/>
          <w:numId w:val="3"/>
        </w:numPr>
        <w:spacing w:after="80" w:line="276"/>
      </w:pPr>
      <w:r>
        <w:rPr>
          <w:rFonts w:ascii="Arial" w:cs="Arial" w:eastAsia="Arial" w:hAnsi="Arial"/>
          <w:color w:val="1B2A33"/>
          <w:sz w:val="21"/>
          <w:szCs w:val="21"/>
        </w:rPr>
        <w:t xml:space="preserve">Test, descriptively, whether NPT intensity relates to production output.</w:t>
      </w:r>
    </w:p>
    <w:p>
      <w:pPr>
        <w:pStyle w:val="ListParagraph"/>
        <w:numPr>
          <w:ilvl w:val="0"/>
          <w:numId w:val="3"/>
        </w:numPr>
        <w:spacing w:after="80" w:line="276"/>
      </w:pPr>
      <w:r>
        <w:rPr>
          <w:rFonts w:ascii="Arial" w:cs="Arial" w:eastAsia="Arial" w:hAnsi="Arial"/>
          <w:color w:val="1B2A33"/>
          <w:sz w:val="21"/>
          <w:szCs w:val="21"/>
        </w:rPr>
        <w:t xml:space="preserve">Present the findings in an interactive Power BI report.</w:t>
      </w:r>
    </w:p>
    <w:p>
      <w:pPr>
        <w:pStyle w:val="Heading2"/>
        <w:keepNext/>
        <w:spacing w:after="120" w:before="240"/>
      </w:pPr>
      <w:r>
        <w:rPr>
          <w:rFonts w:ascii="Arial" w:cs="Arial" w:eastAsia="Arial" w:hAnsi="Arial"/>
          <w:b/>
          <w:bCs/>
          <w:color w:val="2E86AB"/>
          <w:sz w:val="26"/>
          <w:szCs w:val="26"/>
        </w:rPr>
        <w:t xml:space="preserve">2.3 Scope</w:t>
      </w:r>
    </w:p>
    <w:p>
      <w:pPr>
        <w:spacing w:after="120" w:line="288"/>
      </w:pPr>
      <w:r>
        <w:rPr>
          <w:rFonts w:ascii="Arial" w:cs="Arial" w:eastAsia="Arial" w:hAnsi="Arial"/>
          <w:color w:val="1B2A33"/>
          <w:sz w:val="21"/>
          <w:szCs w:val="21"/>
        </w:rPr>
        <w:t xml:space="preserve">This is a descriptive operational review of 26 wellbores. It is not a statistical or predictive study, and cost figures are modelled. These limits are stated again, with their consequences, in Section 7.</w:t>
      </w:r>
    </w:p>
    <w:p>
      <w:r>
        <w:br w:type="page"/>
      </w:r>
    </w:p>
    <w:p>
      <w:pPr>
        <w:pStyle w:val="Heading1"/>
        <w:keepNext/>
        <w:spacing w:after="160" w:before="360"/>
      </w:pPr>
      <w:r>
        <w:rPr>
          <w:rFonts w:ascii="Arial" w:cs="Arial" w:eastAsia="Arial" w:hAnsi="Arial"/>
          <w:b/>
          <w:bCs/>
          <w:color w:val="1B2A33"/>
          <w:sz w:val="32"/>
          <w:szCs w:val="32"/>
        </w:rPr>
        <w:t xml:space="preserve">3. Data Sources</w:t>
      </w:r>
    </w:p>
    <w:p>
      <w:pPr>
        <w:spacing w:after="120" w:line="288"/>
      </w:pPr>
      <w:r>
        <w:rPr>
          <w:rFonts w:ascii="Arial" w:cs="Arial" w:eastAsia="Arial" w:hAnsi="Arial"/>
          <w:color w:val="1B2A33"/>
          <w:sz w:val="21"/>
          <w:szCs w:val="21"/>
        </w:rPr>
        <w:t xml:space="preserve">All data comes from the Volve dataset released by Equinor ASA and the former Volve licence partners for study and research. Raw files are not committed to the repository, in line with the licence. See LICENCE-DATA.md.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rPr>
          <w:tblHeader/>
        </w:trPr>
        <w:tc>
          <w:tcPr>
            <w:tcW w:type="dxa" w:w="230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left"/>
            </w:pPr>
            <w:r>
              <w:rPr>
                <w:rFonts w:ascii="Arial" w:cs="Arial" w:eastAsia="Arial" w:hAnsi="Arial"/>
                <w:b/>
                <w:bCs/>
                <w:color w:val="FFFFFF"/>
                <w:sz w:val="19"/>
                <w:szCs w:val="19"/>
              </w:rPr>
              <w:t xml:space="preserve">Source</w:t>
            </w:r>
          </w:p>
        </w:tc>
        <w:tc>
          <w:tcPr>
            <w:tcW w:type="dxa" w:w="350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left"/>
            </w:pPr>
            <w:r>
              <w:rPr>
                <w:rFonts w:ascii="Arial" w:cs="Arial" w:eastAsia="Arial" w:hAnsi="Arial"/>
                <w:b/>
                <w:bCs/>
                <w:color w:val="FFFFFF"/>
                <w:sz w:val="19"/>
                <w:szCs w:val="19"/>
              </w:rPr>
              <w:t xml:space="preserve">Content</w:t>
            </w:r>
          </w:p>
        </w:tc>
        <w:tc>
          <w:tcPr>
            <w:tcW w:type="dxa" w:w="356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left"/>
            </w:pPr>
            <w:r>
              <w:rPr>
                <w:rFonts w:ascii="Arial" w:cs="Arial" w:eastAsia="Arial" w:hAnsi="Arial"/>
                <w:b/>
                <w:bCs/>
                <w:color w:val="FFFFFF"/>
                <w:sz w:val="19"/>
                <w:szCs w:val="19"/>
              </w:rPr>
              <w:t xml:space="preserve">Size and coverage</w:t>
            </w:r>
          </w:p>
        </w:tc>
      </w:tr>
      <w:tr>
        <w:trPr>
          <w:cantSplit/>
        </w:trPr>
        <w:tc>
          <w:tcPr>
            <w:tcW w:type="dxa" w:w="23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Daily drilling reports (HTML)</w:t>
            </w:r>
          </w:p>
        </w:tc>
        <w:tc>
          <w:tcPr>
            <w:tcW w:type="dxa" w:w="3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Operations table per day: time range, main activity, activity code, state (ok/fail), narrative, depth, hole section</w:t>
            </w:r>
          </w:p>
        </w:tc>
        <w:tc>
          <w:tcPr>
            <w:tcW w:type="dxa" w:w="35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1,759 files; 1,750 with an operations table; 23,447 activity rows; 26 wellbores; reports dated 1992–2016</w:t>
            </w:r>
          </w:p>
        </w:tc>
      </w:tr>
      <w:tr>
        <w:trPr>
          <w:cantSplit/>
        </w:trPr>
        <w:tc>
          <w:tcPr>
            <w:tcW w:type="dxa" w:w="23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Production data (Excel)</w:t>
            </w:r>
          </w:p>
        </w:tc>
        <w:tc>
          <w:tcPr>
            <w:tcW w:type="dxa" w:w="3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Daily allocated oil, gas, water and water-injection volumes, on-stream hours, pressures, well type and flow kind</w:t>
            </w:r>
          </w:p>
        </w:tc>
        <w:tc>
          <w:tcPr>
            <w:tcW w:type="dxa" w:w="356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15,634 daily rows; 7 wellbores; 2007-09 to 2016-12</w:t>
            </w:r>
          </w:p>
        </w:tc>
      </w:tr>
      <w:tr>
        <w:trPr>
          <w:cantSplit/>
        </w:trPr>
        <w:tc>
          <w:tcPr>
            <w:tcW w:type="dxa" w:w="23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Reference tables (created)</w:t>
            </w:r>
          </w:p>
        </w:tc>
        <w:tc>
          <w:tcPr>
            <w:tcW w:type="dxa" w:w="3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wellbore_map.csv (26 wellbores, parent well, production flag) and npt_taxonomy.csv (32 NPT category rows)</w:t>
            </w:r>
          </w:p>
        </w:tc>
        <w:tc>
          <w:tcPr>
            <w:tcW w:type="dxa" w:w="35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Versioned in the repository</w:t>
            </w:r>
          </w:p>
        </w:tc>
      </w:tr>
    </w:tbl>
    <w:p>
      <w:pPr>
        <w:spacing w:after="160"/>
      </w:pPr>
    </w:p>
    <w:p>
      <w:pPr>
        <w:pStyle w:val="Heading2"/>
        <w:keepNext/>
        <w:spacing w:after="120" w:before="240"/>
      </w:pPr>
      <w:r>
        <w:rPr>
          <w:rFonts w:ascii="Arial" w:cs="Arial" w:eastAsia="Arial" w:hAnsi="Arial"/>
          <w:b/>
          <w:bCs/>
          <w:color w:val="2E86AB"/>
          <w:sz w:val="26"/>
          <w:szCs w:val="26"/>
        </w:rPr>
        <w:t xml:space="preserve">3.1 Data quality findings</w:t>
      </w:r>
    </w:p>
    <w:p>
      <w:pPr>
        <w:pStyle w:val="Heading3"/>
        <w:keepNext/>
        <w:spacing w:after="80" w:before="160"/>
      </w:pPr>
      <w:r>
        <w:rPr>
          <w:rFonts w:ascii="Arial" w:cs="Arial" w:eastAsia="Arial" w:hAnsi="Arial"/>
          <w:b/>
          <w:bCs/>
          <w:color w:val="1B2A33"/>
          <w:sz w:val="22"/>
          <w:szCs w:val="22"/>
        </w:rPr>
        <w:t xml:space="preserve">Production data</w:t>
      </w:r>
    </w:p>
    <w:p>
      <w:pPr>
        <w:pStyle w:val="ListParagraph"/>
        <w:numPr>
          <w:ilvl w:val="0"/>
          <w:numId w:val="2"/>
        </w:numPr>
        <w:spacing w:after="70" w:line="276"/>
      </w:pPr>
      <w:r>
        <w:rPr>
          <w:rFonts w:ascii="Arial" w:cs="Arial" w:eastAsia="Arial" w:hAnsi="Arial"/>
          <w:color w:val="1B2A33"/>
          <w:sz w:val="21"/>
          <w:szCs w:val="21"/>
        </w:rPr>
        <w:t xml:space="preserve">No duplicate (date, wellbore) rows. 18 rows where well type and flow kind disagree; 4 negative water-volume rows.</w:t>
      </w:r>
    </w:p>
    <w:p>
      <w:pPr>
        <w:pStyle w:val="ListParagraph"/>
        <w:numPr>
          <w:ilvl w:val="0"/>
          <w:numId w:val="2"/>
        </w:numPr>
        <w:spacing w:after="70" w:line="276"/>
      </w:pPr>
      <w:r>
        <w:rPr>
          <w:rFonts w:ascii="Arial" w:cs="Arial" w:eastAsia="Arial" w:hAnsi="Arial"/>
          <w:color w:val="1B2A33"/>
          <w:sz w:val="21"/>
          <w:szCs w:val="21"/>
        </w:rPr>
        <w:t xml:space="preserve">Date coverage per wellbore has gaps of up to 85 days (F-12 and F-14).</w:t>
      </w:r>
    </w:p>
    <w:p>
      <w:pPr>
        <w:pStyle w:val="ListParagraph"/>
        <w:numPr>
          <w:ilvl w:val="0"/>
          <w:numId w:val="2"/>
        </w:numPr>
        <w:spacing w:after="70" w:line="276"/>
      </w:pPr>
      <w:r>
        <w:rPr>
          <w:rFonts w:ascii="Arial" w:cs="Arial" w:eastAsia="Arial" w:hAnsi="Arial"/>
          <w:color w:val="1B2A33"/>
          <w:sz w:val="21"/>
          <w:szCs w:val="21"/>
        </w:rPr>
        <w:t xml:space="preserve">Only 7 wellbores have production data, and F-4 is a water injector with no oil volume.</w:t>
      </w:r>
    </w:p>
    <w:p>
      <w:pPr>
        <w:pStyle w:val="Heading3"/>
        <w:keepNext/>
        <w:spacing w:after="80" w:before="160"/>
      </w:pPr>
      <w:r>
        <w:rPr>
          <w:rFonts w:ascii="Arial" w:cs="Arial" w:eastAsia="Arial" w:hAnsi="Arial"/>
          <w:b/>
          <w:bCs/>
          <w:color w:val="1B2A33"/>
          <w:sz w:val="22"/>
          <w:szCs w:val="22"/>
        </w:rPr>
        <w:t xml:space="preserve">Drilling reports</w:t>
      </w:r>
    </w:p>
    <w:p>
      <w:pPr>
        <w:pStyle w:val="ListParagraph"/>
        <w:numPr>
          <w:ilvl w:val="0"/>
          <w:numId w:val="2"/>
        </w:numPr>
        <w:spacing w:after="70" w:line="276"/>
      </w:pPr>
      <w:r>
        <w:rPr>
          <w:rFonts w:ascii="Arial" w:cs="Arial" w:eastAsia="Arial" w:hAnsi="Arial"/>
          <w:color w:val="1B2A33"/>
          <w:sz w:val="21"/>
          <w:szCs w:val="21"/>
        </w:rPr>
        <w:t xml:space="preserve">9 reports have no operations table. These contribute no hours.</w:t>
      </w:r>
    </w:p>
    <w:p>
      <w:pPr>
        <w:pStyle w:val="ListParagraph"/>
        <w:numPr>
          <w:ilvl w:val="0"/>
          <w:numId w:val="2"/>
        </w:numPr>
        <w:spacing w:after="70" w:line="276"/>
      </w:pPr>
      <w:r>
        <w:rPr>
          <w:rFonts w:ascii="Arial" w:cs="Arial" w:eastAsia="Arial" w:hAnsi="Arial"/>
          <w:color w:val="1B2A33"/>
          <w:sz w:val="21"/>
          <w:szCs w:val="21"/>
        </w:rPr>
        <w:t xml:space="preserve">220 of 1,750 reports (12.6%) do not sum to 24 hours. Confirmed causes: rig-move handovers split one calendar day across two well files, and small 15-minute gaps from manual report compilation. Every shortfall is an exact multiple of 0.25 hours, so this is not a parsing error. NPT is therefore always summed from the logged hours, never assumed from 24 per report.</w:t>
      </w:r>
    </w:p>
    <w:p>
      <w:pPr>
        <w:pStyle w:val="ListParagraph"/>
        <w:numPr>
          <w:ilvl w:val="0"/>
          <w:numId w:val="2"/>
        </w:numPr>
        <w:spacing w:after="70" w:line="276"/>
      </w:pPr>
      <w:r>
        <w:rPr>
          <w:rFonts w:ascii="Arial" w:cs="Arial" w:eastAsia="Arial" w:hAnsi="Arial"/>
          <w:color w:val="1B2A33"/>
          <w:sz w:val="21"/>
          <w:szCs w:val="21"/>
        </w:rPr>
        <w:t xml:space="preserve">265 of 1,822 actual-drilling rows show depth decreasing against the previous drilling row for the same well. This was recorded as a data characteristic and does not affect the NPT hours.</w:t>
      </w:r>
    </w:p>
    <w:p>
      <w:r>
        <w:br w:type="page"/>
      </w:r>
    </w:p>
    <w:p>
      <w:pPr>
        <w:pStyle w:val="Heading1"/>
        <w:keepNext/>
        <w:spacing w:after="160" w:before="360"/>
      </w:pPr>
      <w:r>
        <w:rPr>
          <w:rFonts w:ascii="Arial" w:cs="Arial" w:eastAsia="Arial" w:hAnsi="Arial"/>
          <w:b/>
          <w:bCs/>
          <w:color w:val="1B2A33"/>
          <w:sz w:val="32"/>
          <w:szCs w:val="32"/>
        </w:rPr>
        <w:t xml:space="preserve">4. Methodology</w:t>
      </w:r>
    </w:p>
    <w:p>
      <w:pPr>
        <w:pStyle w:val="Heading2"/>
        <w:keepNext/>
        <w:spacing w:after="120" w:before="240"/>
      </w:pPr>
      <w:r>
        <w:rPr>
          <w:rFonts w:ascii="Arial" w:cs="Arial" w:eastAsia="Arial" w:hAnsi="Arial"/>
          <w:b/>
          <w:bCs/>
          <w:color w:val="2E86AB"/>
          <w:sz w:val="26"/>
          <w:szCs w:val="26"/>
        </w:rPr>
        <w:t xml:space="preserve">4.1 Project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160"/>
      </w:tblGrid>
      <w:tr>
        <w:trPr>
          <w:tblHeader/>
        </w:trPr>
        <w:tc>
          <w:tcPr>
            <w:tcW w:type="dxa" w:w="90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left"/>
            </w:pPr>
            <w:r>
              <w:rPr>
                <w:rFonts w:ascii="Arial" w:cs="Arial" w:eastAsia="Arial" w:hAnsi="Arial"/>
                <w:b/>
                <w:bCs/>
                <w:color w:val="FFFFFF"/>
                <w:sz w:val="19"/>
                <w:szCs w:val="19"/>
              </w:rPr>
              <w:t xml:space="preserve">Phase</w:t>
            </w:r>
          </w:p>
        </w:tc>
        <w:tc>
          <w:tcPr>
            <w:tcW w:type="dxa" w:w="330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left"/>
            </w:pPr>
            <w:r>
              <w:rPr>
                <w:rFonts w:ascii="Arial" w:cs="Arial" w:eastAsia="Arial" w:hAnsi="Arial"/>
                <w:b/>
                <w:bCs/>
                <w:color w:val="FFFFFF"/>
                <w:sz w:val="19"/>
                <w:szCs w:val="19"/>
              </w:rPr>
              <w:t xml:space="preserve">Work</w:t>
            </w:r>
          </w:p>
        </w:tc>
        <w:tc>
          <w:tcPr>
            <w:tcW w:type="dxa" w:w="516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left"/>
            </w:pPr>
            <w:r>
              <w:rPr>
                <w:rFonts w:ascii="Arial" w:cs="Arial" w:eastAsia="Arial" w:hAnsi="Arial"/>
                <w:b/>
                <w:bCs/>
                <w:color w:val="FFFFFF"/>
                <w:sz w:val="19"/>
                <w:szCs w:val="19"/>
              </w:rPr>
              <w:t xml:space="preserve">Main output</w:t>
            </w:r>
          </w:p>
        </w:tc>
      </w:tr>
      <w:tr>
        <w:trPr>
          <w:cantSplit/>
        </w:trPr>
        <w:tc>
          <w:tcPr>
            <w:tcW w:type="dxa" w:w="9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0</w:t>
            </w:r>
          </w:p>
        </w:tc>
        <w:tc>
          <w:tcPr>
            <w:tcW w:type="dxa" w:w="33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Scaffold, schema design, environment</w:t>
            </w:r>
          </w:p>
        </w:tc>
        <w:tc>
          <w:tcPr>
            <w:tcW w:type="dxa" w:w="51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README, requirements, .env pattern</w:t>
            </w:r>
          </w:p>
        </w:tc>
      </w:tr>
      <w:tr>
        <w:trPr>
          <w:cantSplit/>
        </w:trPr>
        <w:tc>
          <w:tcPr>
            <w:tcW w:type="dxa" w:w="9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1</w:t>
            </w:r>
          </w:p>
        </w:tc>
        <w:tc>
          <w:tcPr>
            <w:tcW w:type="dxa" w:w="33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File inventory of the dataset</w:t>
            </w:r>
          </w:p>
        </w:tc>
        <w:tc>
          <w:tcPr>
            <w:tcW w:type="dxa" w:w="516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docs/file_inventory.csv</w:t>
            </w:r>
          </w:p>
        </w:tc>
      </w:tr>
      <w:tr>
        <w:trPr>
          <w:cantSplit/>
        </w:trPr>
        <w:tc>
          <w:tcPr>
            <w:tcW w:type="dxa" w:w="9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2</w:t>
            </w:r>
          </w:p>
        </w:tc>
        <w:tc>
          <w:tcPr>
            <w:tcW w:type="dxa" w:w="33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Production data cleaning</w:t>
            </w:r>
          </w:p>
        </w:tc>
        <w:tc>
          <w:tcPr>
            <w:tcW w:type="dxa" w:w="51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data/interim/production_clean.parquet (15,634 rows)</w:t>
            </w:r>
          </w:p>
        </w:tc>
      </w:tr>
      <w:tr>
        <w:trPr>
          <w:cantSplit/>
        </w:trPr>
        <w:tc>
          <w:tcPr>
            <w:tcW w:type="dxa" w:w="9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3</w:t>
            </w:r>
          </w:p>
        </w:tc>
        <w:tc>
          <w:tcPr>
            <w:tcW w:type="dxa" w:w="33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HTML report parsing; phase and state extraction; NPT signal diagnostics</w:t>
            </w:r>
          </w:p>
        </w:tc>
        <w:tc>
          <w:tcPr>
            <w:tcW w:type="dxa" w:w="516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data/interim/drilling_activity.parquet</w:t>
            </w:r>
          </w:p>
        </w:tc>
      </w:tr>
      <w:tr>
        <w:trPr>
          <w:cantSplit/>
        </w:trPr>
        <w:tc>
          <w:tcPr>
            <w:tcW w:type="dxa" w:w="9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4</w:t>
            </w:r>
          </w:p>
        </w:tc>
        <w:tc>
          <w:tcPr>
            <w:tcW w:type="dxa" w:w="33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Rule-based NPT classification and 1,517-row manual review</w:t>
            </w:r>
          </w:p>
        </w:tc>
        <w:tc>
          <w:tcPr>
            <w:tcW w:type="dxa" w:w="51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drilling_activity_final.parquet; docs/npt_taxonomy.md</w:t>
            </w:r>
          </w:p>
        </w:tc>
      </w:tr>
      <w:tr>
        <w:trPr>
          <w:cantSplit/>
        </w:trPr>
        <w:tc>
          <w:tcPr>
            <w:tcW w:type="dxa" w:w="9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5</w:t>
            </w:r>
          </w:p>
        </w:tc>
        <w:tc>
          <w:tcPr>
            <w:tcW w:type="dxa" w:w="33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PostgreSQL star schema, idempotent ETL, analytical views, seven analysis queries</w:t>
            </w:r>
          </w:p>
        </w:tc>
        <w:tc>
          <w:tcPr>
            <w:tcW w:type="dxa" w:w="516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sql/ scripts; src/05_load_to_postgres.py</w:t>
            </w:r>
          </w:p>
        </w:tc>
      </w:tr>
      <w:tr>
        <w:trPr>
          <w:cantSplit/>
        </w:trPr>
        <w:tc>
          <w:tcPr>
            <w:tcW w:type="dxa" w:w="9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6</w:t>
            </w:r>
          </w:p>
        </w:tc>
        <w:tc>
          <w:tcPr>
            <w:tcW w:type="dxa" w:w="33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Power BI data model, DAX measures and five-page report</w:t>
            </w:r>
          </w:p>
        </w:tc>
        <w:tc>
          <w:tcPr>
            <w:tcW w:type="dxa" w:w="51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powerbi/volve_npt.pbix; volve_theme.json</w:t>
            </w:r>
          </w:p>
        </w:tc>
      </w:tr>
    </w:tbl>
    <w:p>
      <w:pPr>
        <w:spacing w:after="160"/>
      </w:pPr>
    </w:p>
    <w:p>
      <w:pPr>
        <w:pStyle w:val="Heading2"/>
        <w:keepNext/>
        <w:spacing w:after="120" w:before="240"/>
      </w:pPr>
      <w:r>
        <w:rPr>
          <w:rFonts w:ascii="Arial" w:cs="Arial" w:eastAsia="Arial" w:hAnsi="Arial"/>
          <w:b/>
          <w:bCs/>
          <w:color w:val="2E86AB"/>
          <w:sz w:val="26"/>
          <w:szCs w:val="26"/>
        </w:rPr>
        <w:t xml:space="preserve">4.2 Defining NPT</w:t>
      </w:r>
    </w:p>
    <w:p>
      <w:pPr>
        <w:spacing w:after="120" w:line="288"/>
      </w:pPr>
      <w:r>
        <w:rPr>
          <w:rFonts w:ascii="Arial" w:cs="Arial" w:eastAsia="Arial" w:hAnsi="Arial"/>
          <w:color w:val="1B2A33"/>
          <w:sz w:val="21"/>
          <w:szCs w:val="21"/>
        </w:rPr>
        <w:t xml:space="preserve">Phase 3 produced two candidate signals that disagreed by a factor of six: the source’s own per-row state flag (state = fail), covering 3.2% of hours, and the interruption main activity, covering 21.2% of hours. Neither was used directly. The final definition is a hybrid:</w:t>
      </w:r>
    </w:p>
    <w:p>
      <w:pPr>
        <w:pStyle w:val="ListParagraph"/>
        <w:numPr>
          <w:ilvl w:val="0"/>
          <w:numId w:val="4"/>
        </w:numPr>
        <w:spacing w:after="80" w:line="276"/>
      </w:pPr>
      <w:r>
        <w:rPr>
          <w:rFonts w:ascii="Arial" w:cs="Arial" w:eastAsia="Arial" w:hAnsi="Arial"/>
          <w:b/>
          <w:bCs/>
          <w:color w:val="1B2A33"/>
          <w:sz w:val="21"/>
          <w:szCs w:val="21"/>
        </w:rPr>
        <w:t xml:space="preserve">A row is NPT if its final Level-1 category starts with “NPT”. </w:t>
      </w:r>
      <w:r>
        <w:rPr>
          <w:rFonts w:ascii="Arial" w:cs="Arial" w:eastAsia="Arial" w:hAnsi="Arial"/>
          <w:color w:val="1B2A33"/>
          <w:sz w:val="21"/>
          <w:szCs w:val="21"/>
        </w:rPr>
        <w:t xml:space="preserve">Classification is driven by the specific activity and its narrative, not by a single source column.</w:t>
      </w:r>
    </w:p>
    <w:p>
      <w:pPr>
        <w:pStyle w:val="ListParagraph"/>
        <w:numPr>
          <w:ilvl w:val="0"/>
          <w:numId w:val="4"/>
        </w:numPr>
        <w:spacing w:after="80" w:line="276"/>
      </w:pPr>
      <w:r>
        <w:rPr>
          <w:rFonts w:ascii="Arial" w:cs="Arial" w:eastAsia="Arial" w:hAnsi="Arial"/>
          <w:b/>
          <w:bCs/>
          <w:color w:val="1B2A33"/>
          <w:sz w:val="21"/>
          <w:szCs w:val="21"/>
        </w:rPr>
        <w:t xml:space="preserve">Rig moves and mobilisation are a separate third category. </w:t>
      </w:r>
      <w:r>
        <w:rPr>
          <w:rFonts w:ascii="Arial" w:cs="Arial" w:eastAsia="Arial" w:hAnsi="Arial"/>
          <w:color w:val="1B2A33"/>
          <w:sz w:val="21"/>
          <w:szCs w:val="21"/>
        </w:rPr>
        <w:t xml:space="preserve">A rig skid between wells is neither progress nor failure, so about 997 hours are excluded from both productive and NPT.</w:t>
      </w:r>
    </w:p>
    <w:p>
      <w:pPr>
        <w:pStyle w:val="ListParagraph"/>
        <w:numPr>
          <w:ilvl w:val="0"/>
          <w:numId w:val="4"/>
        </w:numPr>
        <w:spacing w:after="80" w:line="276"/>
      </w:pPr>
      <w:r>
        <w:rPr>
          <w:rFonts w:ascii="Arial" w:cs="Arial" w:eastAsia="Arial" w:hAnsi="Arial"/>
          <w:b/>
          <w:bCs/>
          <w:color w:val="1B2A33"/>
          <w:sz w:val="21"/>
          <w:szCs w:val="21"/>
        </w:rPr>
        <w:t xml:space="preserve">Planned and corrective work are told apart by narrative. </w:t>
      </w:r>
      <w:r>
        <w:rPr>
          <w:rFonts w:ascii="Arial" w:cs="Arial" w:eastAsia="Arial" w:hAnsi="Arial"/>
          <w:color w:val="1B2A33"/>
          <w:sz w:val="21"/>
          <w:szCs w:val="21"/>
        </w:rPr>
        <w:t xml:space="preserve">Circulating for a planned bottoms-up is productive; circulating to clear a pack-off is NPT. A planned geological sidetrack is productive; a sidetrack after losing the hole is NPT.</w:t>
      </w:r>
    </w:p>
    <w:p>
      <w:pPr>
        <w:pStyle w:val="ListParagraph"/>
        <w:numPr>
          <w:ilvl w:val="0"/>
          <w:numId w:val="4"/>
        </w:numPr>
        <w:spacing w:after="80" w:line="276"/>
      </w:pPr>
      <w:r>
        <w:rPr>
          <w:rFonts w:ascii="Arial" w:cs="Arial" w:eastAsia="Arial" w:hAnsi="Arial"/>
          <w:b/>
          <w:bCs/>
          <w:color w:val="1B2A33"/>
          <w:sz w:val="21"/>
          <w:szCs w:val="21"/>
        </w:rPr>
        <w:t xml:space="preserve">The source fail flag is an override. </w:t>
      </w:r>
      <w:r>
        <w:rPr>
          <w:rFonts w:ascii="Arial" w:cs="Arial" w:eastAsia="Arial" w:hAnsi="Arial"/>
          <w:color w:val="1B2A33"/>
          <w:sz w:val="21"/>
          <w:szCs w:val="21"/>
        </w:rPr>
        <w:t xml:space="preserve">A row the source marked as failed is promoted to NPT even if the keyword rules called it productive.</w:t>
      </w:r>
    </w:p>
    <w:p>
      <w:pPr>
        <w:pStyle w:val="Heading2"/>
        <w:keepNext/>
        <w:spacing w:after="120" w:before="240"/>
      </w:pPr>
      <w:r>
        <w:rPr>
          <w:rFonts w:ascii="Arial" w:cs="Arial" w:eastAsia="Arial" w:hAnsi="Arial"/>
          <w:b/>
          <w:bCs/>
          <w:color w:val="2E86AB"/>
          <w:sz w:val="26"/>
          <w:szCs w:val="26"/>
        </w:rPr>
        <w:t xml:space="preserve">4.3 Classification and audit</w:t>
      </w:r>
    </w:p>
    <w:p>
      <w:pPr>
        <w:spacing w:after="120" w:line="288"/>
      </w:pPr>
      <w:r>
        <w:rPr>
          <w:rFonts w:ascii="Arial" w:cs="Arial" w:eastAsia="Arial" w:hAnsi="Arial"/>
          <w:color w:val="1B2A33"/>
          <w:sz w:val="21"/>
          <w:szCs w:val="21"/>
        </w:rPr>
        <w:t xml:space="preserve">Classification ran in three re-runnable stages. A rule-based pass (src/04_classify_npt.py) applied activity-code lookups, then narrative keyword matching, then the fail override, giving each row a Level-1 and Level-2 label and a confidence of high, medium or low. A manual review then covered every low-confidence NPT-flavoured row plus fixed-size samples of the other tiers, 1,517 rows in total. A finalisation step (src/04b_apply_review.py) applied the corrections and recorded, for every row, whether a human verified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left"/>
            </w:pPr>
            <w:r>
              <w:rPr>
                <w:rFonts w:ascii="Arial" w:cs="Arial" w:eastAsia="Arial" w:hAnsi="Arial"/>
                <w:b/>
                <w:bCs/>
                <w:color w:val="FFFFFF"/>
                <w:sz w:val="19"/>
                <w:szCs w:val="19"/>
              </w:rPr>
              <w:t xml:space="preserve">Confidence tier</w:t>
            </w:r>
          </w:p>
        </w:tc>
        <w:tc>
          <w:tcPr>
            <w:tcW w:type="dxa" w:w="200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right"/>
            </w:pPr>
            <w:r>
              <w:rPr>
                <w:rFonts w:ascii="Arial" w:cs="Arial" w:eastAsia="Arial" w:hAnsi="Arial"/>
                <w:b/>
                <w:bCs/>
                <w:color w:val="FFFFFF"/>
                <w:sz w:val="19"/>
                <w:szCs w:val="19"/>
              </w:rPr>
              <w:t xml:space="preserve">Rows reviewed</w:t>
            </w:r>
          </w:p>
        </w:tc>
        <w:tc>
          <w:tcPr>
            <w:tcW w:type="dxa" w:w="200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right"/>
            </w:pPr>
            <w:r>
              <w:rPr>
                <w:rFonts w:ascii="Arial" w:cs="Arial" w:eastAsia="Arial" w:hAnsi="Arial"/>
                <w:b/>
                <w:bCs/>
                <w:color w:val="FFFFFF"/>
                <w:sz w:val="19"/>
                <w:szCs w:val="19"/>
              </w:rPr>
              <w:t xml:space="preserve">Overridden</w:t>
            </w:r>
          </w:p>
        </w:tc>
        <w:tc>
          <w:tcPr>
            <w:tcW w:type="dxa" w:w="316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right"/>
            </w:pPr>
            <w:r>
              <w:rPr>
                <w:rFonts w:ascii="Arial" w:cs="Arial" w:eastAsia="Arial" w:hAnsi="Arial"/>
                <w:b/>
                <w:bCs/>
                <w:color w:val="FFFFFF"/>
                <w:sz w:val="19"/>
                <w:szCs w:val="19"/>
              </w:rPr>
              <w:t xml:space="preserve">Error rate</w:t>
            </w:r>
          </w:p>
        </w:tc>
      </w:tr>
      <w:tr>
        <w:trPr>
          <w:cantSplit/>
        </w:trPr>
        <w:tc>
          <w:tcPr>
            <w:tcW w:type="dxa" w:w="22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High</w:t>
            </w:r>
          </w:p>
        </w:tc>
        <w:tc>
          <w:tcPr>
            <w:tcW w:type="dxa" w:w="20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150</w:t>
            </w:r>
          </w:p>
        </w:tc>
        <w:tc>
          <w:tcPr>
            <w:tcW w:type="dxa" w:w="20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0</w:t>
            </w:r>
          </w:p>
        </w:tc>
        <w:tc>
          <w:tcPr>
            <w:tcW w:type="dxa" w:w="31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0.0%</w:t>
            </w:r>
          </w:p>
        </w:tc>
      </w:tr>
      <w:tr>
        <w:trPr>
          <w:cantSplit/>
        </w:trPr>
        <w:tc>
          <w:tcPr>
            <w:tcW w:type="dxa" w:w="22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Medium</w:t>
            </w:r>
          </w:p>
        </w:tc>
        <w:tc>
          <w:tcPr>
            <w:tcW w:type="dxa" w:w="20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150</w:t>
            </w:r>
          </w:p>
        </w:tc>
        <w:tc>
          <w:tcPr>
            <w:tcW w:type="dxa" w:w="20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66</w:t>
            </w:r>
          </w:p>
        </w:tc>
        <w:tc>
          <w:tcPr>
            <w:tcW w:type="dxa" w:w="316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44.0%</w:t>
            </w:r>
          </w:p>
        </w:tc>
      </w:tr>
      <w:tr>
        <w:trPr>
          <w:cantSplit/>
        </w:trPr>
        <w:tc>
          <w:tcPr>
            <w:tcW w:type="dxa" w:w="22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Low</w:t>
            </w:r>
          </w:p>
        </w:tc>
        <w:tc>
          <w:tcPr>
            <w:tcW w:type="dxa" w:w="20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1,217</w:t>
            </w:r>
          </w:p>
        </w:tc>
        <w:tc>
          <w:tcPr>
            <w:tcW w:type="dxa" w:w="20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1,137</w:t>
            </w:r>
          </w:p>
        </w:tc>
        <w:tc>
          <w:tcPr>
            <w:tcW w:type="dxa" w:w="31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93.4%</w:t>
            </w:r>
          </w:p>
        </w:tc>
      </w:tr>
    </w:tbl>
    <w:p>
      <w:pPr>
        <w:spacing w:after="200" w:before="60"/>
      </w:pPr>
      <w:r>
        <w:rPr>
          <w:rFonts w:ascii="Arial" w:cs="Arial" w:eastAsia="Arial" w:hAnsi="Arial"/>
          <w:i/>
          <w:iCs/>
          <w:color w:val="5C6B73"/>
          <w:sz w:val="18"/>
          <w:szCs w:val="18"/>
        </w:rPr>
        <w:t xml:space="preserve">Table 4.1: Manual-review error rate by confidence tier (share of reviewed rows the human overrode).</w:t>
      </w:r>
    </w:p>
    <w:p>
      <w:pPr>
        <w:spacing w:after="120" w:line="288"/>
      </w:pPr>
      <w:r>
        <w:rPr>
          <w:rFonts w:ascii="Arial" w:cs="Arial" w:eastAsia="Arial" w:hAnsi="Arial"/>
          <w:color w:val="1B2A33"/>
          <w:sz w:val="21"/>
          <w:szCs w:val="21"/>
        </w:rPr>
        <w:t xml:space="preserve">The confidence tiers behaved as intended: the rules were reliable where they said they were, and wrong where they said they were unsure. Rule labels alone gave 21.70% NPT; after review the figure is 20.02%.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ADD" w:sz="4"/>
              <w:left w:val="single" w:color="2E86AB" w:sz="24"/>
              <w:bottom w:val="single" w:color="D5DADD" w:sz="4"/>
              <w:right w:val="single" w:color="D5DADD" w:sz="4"/>
            </w:tcBorders>
            <w:shd w:fill="F1F7FA" w:color="auto" w:val="clear"/>
            <w:tcMar>
              <w:top w:type="dxa" w:w="100"/>
              <w:left w:type="dxa" w:w="180"/>
              <w:bottom w:type="dxa" w:w="100"/>
              <w:right w:type="dxa" w:w="160"/>
            </w:tcMar>
          </w:tcPr>
          <w:p>
            <w:pPr>
              <w:spacing w:after="60"/>
            </w:pPr>
            <w:r>
              <w:rPr>
                <w:rFonts w:ascii="Arial" w:cs="Arial" w:eastAsia="Arial" w:hAnsi="Arial"/>
                <w:b/>
                <w:bCs/>
                <w:color w:val="2E86AB"/>
                <w:sz w:val="21"/>
                <w:szCs w:val="21"/>
              </w:rPr>
              <w:t xml:space="preserve">Residual uncertainty</w:t>
            </w:r>
          </w:p>
          <w:p>
            <w:pPr>
              <w:spacing w:after="0" w:line="276"/>
            </w:pPr>
            <w:r>
              <w:rPr>
                <w:rFonts w:ascii="Arial" w:cs="Arial" w:eastAsia="Arial" w:hAnsi="Arial"/>
                <w:color w:val="1B2A33"/>
                <w:sz w:val="21"/>
                <w:szCs w:val="21"/>
              </w:rPr>
              <w:t xml:space="preserve">About 2,462 low-confidence productive-flavoured rows (2,180 hours) were sampled, not fully reviewed. Only 6 of 150 sampled rows (about 4%) were hidden NPT. Extrapolated, at most about 87 hours (0.2 percentage points) of NPT could remain hidden, hence the headline of 20.0% ± 0.2.</w:t>
            </w:r>
          </w:p>
        </w:tc>
      </w:tr>
    </w:tbl>
    <w:p>
      <w:pPr>
        <w:spacing w:after="160"/>
      </w:pPr>
    </w:p>
    <w:p>
      <w:pPr>
        <w:pStyle w:val="Heading2"/>
        <w:keepNext/>
        <w:spacing w:after="120" w:before="240"/>
      </w:pPr>
      <w:r>
        <w:rPr>
          <w:rFonts w:ascii="Arial" w:cs="Arial" w:eastAsia="Arial" w:hAnsi="Arial"/>
          <w:b/>
          <w:bCs/>
          <w:color w:val="2E86AB"/>
          <w:sz w:val="26"/>
          <w:szCs w:val="26"/>
        </w:rPr>
        <w:t xml:space="preserve">4.4 Data warehouse (PostgreSQL star schema)</w:t>
      </w:r>
    </w:p>
    <w:p>
      <w:pPr>
        <w:spacing w:after="120" w:line="288"/>
      </w:pPr>
      <w:r>
        <w:rPr>
          <w:rFonts w:ascii="Arial" w:cs="Arial" w:eastAsia="Arial" w:hAnsi="Arial"/>
          <w:color w:val="1B2A33"/>
          <w:sz w:val="21"/>
          <w:szCs w:val="21"/>
        </w:rPr>
        <w:t xml:space="preserve">The cleaned data is loaded into PostgreSQL 18 by src/05_load_to_postgres.py, which is idempotent: it drops and recreates the schema, loads the tables and rebuilds the views on every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left"/>
            </w:pPr>
            <w:r>
              <w:rPr>
                <w:rFonts w:ascii="Arial" w:cs="Arial" w:eastAsia="Arial" w:hAnsi="Arial"/>
                <w:b/>
                <w:bCs/>
                <w:color w:val="FFFFFF"/>
                <w:sz w:val="19"/>
                <w:szCs w:val="19"/>
              </w:rPr>
              <w:t xml:space="preserve">Table</w:t>
            </w:r>
          </w:p>
        </w:tc>
        <w:tc>
          <w:tcPr>
            <w:tcW w:type="dxa" w:w="150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right"/>
            </w:pPr>
            <w:r>
              <w:rPr>
                <w:rFonts w:ascii="Arial" w:cs="Arial" w:eastAsia="Arial" w:hAnsi="Arial"/>
                <w:b/>
                <w:bCs/>
                <w:color w:val="FFFFFF"/>
                <w:sz w:val="19"/>
                <w:szCs w:val="19"/>
              </w:rPr>
              <w:t xml:space="preserve">Rows</w:t>
            </w:r>
          </w:p>
        </w:tc>
        <w:tc>
          <w:tcPr>
            <w:tcW w:type="dxa" w:w="516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left"/>
            </w:pPr>
            <w:r>
              <w:rPr>
                <w:rFonts w:ascii="Arial" w:cs="Arial" w:eastAsia="Arial" w:hAnsi="Arial"/>
                <w:b/>
                <w:bCs/>
                <w:color w:val="FFFFFF"/>
                <w:sz w:val="19"/>
                <w:szCs w:val="19"/>
              </w:rPr>
              <w:t xml:space="preserve">Purpose</w:t>
            </w:r>
          </w:p>
        </w:tc>
      </w:tr>
      <w:tr>
        <w:trPr>
          <w:cantSplit/>
        </w:trPr>
        <w:tc>
          <w:tcPr>
            <w:tcW w:type="dxa" w:w="27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fact_drilling_activity</w:t>
            </w:r>
          </w:p>
        </w:tc>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23,447</w:t>
            </w:r>
          </w:p>
        </w:tc>
        <w:tc>
          <w:tcPr>
            <w:tcW w:type="dxa" w:w="51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One row per logged activity: hours, phase, NPT category, narrative, confidence, classification source</w:t>
            </w:r>
          </w:p>
        </w:tc>
      </w:tr>
      <w:tr>
        <w:trPr>
          <w:cantSplit/>
        </w:trPr>
        <w:tc>
          <w:tcPr>
            <w:tcW w:type="dxa" w:w="27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fact_daily_production</w:t>
            </w:r>
          </w:p>
        </w:tc>
        <w:tc>
          <w:tcPr>
            <w:tcW w:type="dxa" w:w="1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15,634</w:t>
            </w:r>
          </w:p>
        </w:tc>
        <w:tc>
          <w:tcPr>
            <w:tcW w:type="dxa" w:w="516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One row per well per day: oil, gas, water, injection, on-stream hours, pressures</w:t>
            </w:r>
          </w:p>
        </w:tc>
      </w:tr>
      <w:tr>
        <w:trPr>
          <w:cantSplit/>
        </w:trPr>
        <w:tc>
          <w:tcPr>
            <w:tcW w:type="dxa" w:w="27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dim_wellbore</w:t>
            </w:r>
          </w:p>
        </w:tc>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26</w:t>
            </w:r>
          </w:p>
        </w:tc>
        <w:tc>
          <w:tcPr>
            <w:tcW w:type="dxa" w:w="51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Wellbore key, parent well, sidetrack, exploration and production flags</w:t>
            </w:r>
          </w:p>
        </w:tc>
      </w:tr>
      <w:tr>
        <w:trPr>
          <w:cantSplit/>
        </w:trPr>
        <w:tc>
          <w:tcPr>
            <w:tcW w:type="dxa" w:w="27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dim_npt_category</w:t>
            </w:r>
          </w:p>
        </w:tc>
        <w:tc>
          <w:tcPr>
            <w:tcW w:type="dxa" w:w="1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31</w:t>
            </w:r>
          </w:p>
        </w:tc>
        <w:tc>
          <w:tcPr>
            <w:tcW w:type="dxa" w:w="516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Level-1 / Level-2 taxonomy with is_npt and is_rig_move flags</w:t>
            </w:r>
          </w:p>
        </w:tc>
      </w:tr>
      <w:tr>
        <w:trPr>
          <w:cantSplit/>
        </w:trPr>
        <w:tc>
          <w:tcPr>
            <w:tcW w:type="dxa" w:w="27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dim_date</w:t>
            </w:r>
          </w:p>
        </w:tc>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9,862</w:t>
            </w:r>
          </w:p>
        </w:tc>
        <w:tc>
          <w:tcPr>
            <w:tcW w:type="dxa" w:w="51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Calendar attributes</w:t>
            </w:r>
          </w:p>
        </w:tc>
      </w:tr>
      <w:tr>
        <w:trPr>
          <w:cantSplit/>
        </w:trPr>
        <w:tc>
          <w:tcPr>
            <w:tcW w:type="dxa" w:w="27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dim_hole_phase</w:t>
            </w:r>
          </w:p>
        </w:tc>
        <w:tc>
          <w:tcPr>
            <w:tcW w:type="dxa" w:w="1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10</w:t>
            </w:r>
          </w:p>
        </w:tc>
        <w:tc>
          <w:tcPr>
            <w:tcW w:type="dxa" w:w="516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Hole section (for example 8.5 in hole) and phase type</w:t>
            </w:r>
          </w:p>
        </w:tc>
      </w:tr>
    </w:tbl>
    <w:p>
      <w:pPr>
        <w:spacing w:after="200" w:before="60"/>
      </w:pPr>
      <w:r>
        <w:rPr>
          <w:rFonts w:ascii="Arial" w:cs="Arial" w:eastAsia="Arial" w:hAnsi="Arial"/>
          <w:i/>
          <w:iCs/>
          <w:color w:val="5C6B73"/>
          <w:sz w:val="18"/>
          <w:szCs w:val="18"/>
        </w:rPr>
        <w:t xml:space="preserve">Table 4.2: Star schema. Both fact tables share dim_wellbore and dim_date.</w:t>
      </w:r>
    </w:p>
    <w:p>
      <w:pPr>
        <w:spacing w:after="120" w:line="288"/>
      </w:pPr>
      <w:r>
        <w:rPr>
          <w:rFonts w:ascii="Arial" w:cs="Arial" w:eastAsia="Arial" w:hAnsi="Arial"/>
          <w:color w:val="1B2A33"/>
          <w:sz w:val="21"/>
          <w:szCs w:val="21"/>
        </w:rPr>
        <w:t xml:space="preserve">Five views support the analysis: v_npt_by_wellbore, v_npt_pareto, v_npt_cost, v_wellbore_production and v_npt_vs_production. Sidetracks are separate wellbores with the parent well kept as a roll-up attribute.</w:t>
      </w:r>
    </w:p>
    <w:p>
      <w:pPr>
        <w:pStyle w:val="Heading2"/>
        <w:keepNext/>
        <w:spacing w:after="120" w:before="240"/>
      </w:pPr>
      <w:r>
        <w:rPr>
          <w:rFonts w:ascii="Arial" w:cs="Arial" w:eastAsia="Arial" w:hAnsi="Arial"/>
          <w:b/>
          <w:bCs/>
          <w:color w:val="2E86AB"/>
          <w:sz w:val="26"/>
          <w:szCs w:val="26"/>
        </w:rPr>
        <w:t xml:space="preserve">4.5 Power BI report</w:t>
      </w:r>
    </w:p>
    <w:p>
      <w:pPr>
        <w:spacing w:after="120" w:line="288"/>
      </w:pPr>
      <w:r>
        <w:rPr>
          <w:rFonts w:ascii="Arial" w:cs="Arial" w:eastAsia="Arial" w:hAnsi="Arial"/>
          <w:color w:val="1B2A33"/>
          <w:sz w:val="21"/>
          <w:szCs w:val="21"/>
        </w:rPr>
        <w:t xml:space="preserve">The report imports the six tables from PostgreSQL (Import mode). Four relationships were auto-detected, all one-to-many with single-direction filtering, and dim_date connects to both fact tables, so there are no ambiguous filter paths. dim_date is marked as the date table and raw key columns are hidden from report view. All logic lives in DAX measures held in a dedicated _Measures table (Appendix B), and the measures were validated against the database views before any visual was built. A custom theme (powerbi/volve_theme.json) and a shared header with page navigation give the five pages a consistent look.</w:t>
      </w:r>
    </w:p>
    <w:p>
      <w:r>
        <w:br w:type="page"/>
      </w:r>
    </w:p>
    <w:p>
      <w:pPr>
        <w:pStyle w:val="Heading1"/>
        <w:keepNext/>
        <w:spacing w:after="160" w:before="360"/>
      </w:pPr>
      <w:r>
        <w:rPr>
          <w:rFonts w:ascii="Arial" w:cs="Arial" w:eastAsia="Arial" w:hAnsi="Arial"/>
          <w:b/>
          <w:bCs/>
          <w:color w:val="1B2A33"/>
          <w:sz w:val="32"/>
          <w:szCs w:val="32"/>
        </w:rPr>
        <w:t xml:space="preserve">5.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ADD" w:sz="4"/>
              <w:left w:val="single" w:color="2E86AB" w:sz="24"/>
              <w:bottom w:val="single" w:color="D5DADD" w:sz="4"/>
              <w:right w:val="single" w:color="D5DADD" w:sz="4"/>
            </w:tcBorders>
            <w:shd w:fill="F1F7FA" w:color="auto" w:val="clear"/>
            <w:tcMar>
              <w:top w:type="dxa" w:w="100"/>
              <w:left w:type="dxa" w:w="180"/>
              <w:bottom w:type="dxa" w:w="100"/>
              <w:right w:type="dxa" w:w="160"/>
            </w:tcMar>
          </w:tcPr>
          <w:p>
            <w:pPr>
              <w:spacing w:after="60"/>
            </w:pPr>
            <w:r>
              <w:rPr>
                <w:rFonts w:ascii="Arial" w:cs="Arial" w:eastAsia="Arial" w:hAnsi="Arial"/>
                <w:b/>
                <w:bCs/>
                <w:color w:val="2E86AB"/>
                <w:sz w:val="21"/>
                <w:szCs w:val="21"/>
              </w:rPr>
              <w:t xml:space="preserve">How percentages are defined</w:t>
            </w:r>
          </w:p>
          <w:p>
            <w:pPr>
              <w:spacing w:after="0" w:line="276"/>
            </w:pPr>
            <w:r>
              <w:rPr>
                <w:rFonts w:ascii="Arial" w:cs="Arial" w:eastAsia="Arial" w:hAnsi="Arial"/>
                <w:color w:val="1B2A33"/>
                <w:sz w:val="21"/>
                <w:szCs w:val="21"/>
              </w:rPr>
              <w:t xml:space="preserve">Throughout this report, NPT % = NPT hours divided by total logged hours (including rig-move time in the denominator). This matches the 20.0% headline and the Power BI measure. The SQL view v_npt_by_wellbore uses a slightly different denominator (it excludes rig moves), which gives 20.5% field-wide. See Section 7.</w:t>
            </w:r>
          </w:p>
        </w:tc>
      </w:tr>
    </w:tbl>
    <w:p>
      <w:pPr>
        <w:spacing w:after="160"/>
      </w:pPr>
    </w:p>
    <w:p>
      <w:pPr>
        <w:pStyle w:val="Heading2"/>
        <w:keepNext/>
        <w:spacing w:after="120" w:before="240"/>
      </w:pPr>
      <w:r>
        <w:rPr>
          <w:rFonts w:ascii="Arial" w:cs="Arial" w:eastAsia="Arial" w:hAnsi="Arial"/>
          <w:b/>
          <w:bCs/>
          <w:color w:val="2E86AB"/>
          <w:sz w:val="26"/>
          <w:szCs w:val="26"/>
        </w:rPr>
        <w:t xml:space="preserve">5.1 Where the hours went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rPr>
          <w:tblHeader/>
        </w:trPr>
        <w:tc>
          <w:tcPr>
            <w:tcW w:type="dxa" w:w="380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left"/>
            </w:pPr>
            <w:r>
              <w:rPr>
                <w:rFonts w:ascii="Arial" w:cs="Arial" w:eastAsia="Arial" w:hAnsi="Arial"/>
                <w:b/>
                <w:bCs/>
                <w:color w:val="FFFFFF"/>
                <w:sz w:val="19"/>
                <w:szCs w:val="19"/>
              </w:rPr>
              <w:t xml:space="preserve">Category</w:t>
            </w:r>
          </w:p>
        </w:tc>
        <w:tc>
          <w:tcPr>
            <w:tcW w:type="dxa" w:w="278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right"/>
            </w:pPr>
            <w:r>
              <w:rPr>
                <w:rFonts w:ascii="Arial" w:cs="Arial" w:eastAsia="Arial" w:hAnsi="Arial"/>
                <w:b/>
                <w:bCs/>
                <w:color w:val="FFFFFF"/>
                <w:sz w:val="19"/>
                <w:szCs w:val="19"/>
              </w:rPr>
              <w:t xml:space="preserve">Hours</w:t>
            </w:r>
          </w:p>
        </w:tc>
        <w:tc>
          <w:tcPr>
            <w:tcW w:type="dxa" w:w="278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right"/>
            </w:pPr>
            <w:r>
              <w:rPr>
                <w:rFonts w:ascii="Arial" w:cs="Arial" w:eastAsia="Arial" w:hAnsi="Arial"/>
                <w:b/>
                <w:bCs/>
                <w:color w:val="FFFFFF"/>
                <w:sz w:val="19"/>
                <w:szCs w:val="19"/>
              </w:rPr>
              <w:t xml:space="preserve">Share of total</w:t>
            </w:r>
          </w:p>
        </w:tc>
      </w:tr>
      <w:tr>
        <w:trPr>
          <w:cantSplit/>
        </w:trPr>
        <w:tc>
          <w:tcPr>
            <w:tcW w:type="dxa" w:w="38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b w:val="false"/>
                <w:bCs w:val="false"/>
                <w:color w:val="1B2A33"/>
                <w:sz w:val="19"/>
                <w:szCs w:val="19"/>
              </w:rPr>
              <w:t xml:space="preserve">Productive</w:t>
            </w:r>
          </w:p>
        </w:tc>
        <w:tc>
          <w:tcPr>
            <w:tcW w:type="dxa" w:w="278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b w:val="false"/>
                <w:bCs w:val="false"/>
                <w:color w:val="1B2A33"/>
                <w:sz w:val="19"/>
                <w:szCs w:val="19"/>
              </w:rPr>
              <w:t xml:space="preserve">30,509.7</w:t>
            </w:r>
          </w:p>
        </w:tc>
        <w:tc>
          <w:tcPr>
            <w:tcW w:type="dxa" w:w="278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b w:val="false"/>
                <w:bCs w:val="false"/>
                <w:color w:val="1B2A33"/>
                <w:sz w:val="19"/>
                <w:szCs w:val="19"/>
              </w:rPr>
              <w:t xml:space="preserve">77.4%</w:t>
            </w:r>
          </w:p>
        </w:tc>
      </w:tr>
      <w:tr>
        <w:trPr>
          <w:cantSplit/>
        </w:trPr>
        <w:tc>
          <w:tcPr>
            <w:tcW w:type="dxa" w:w="38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b w:val="false"/>
                <w:bCs w:val="false"/>
                <w:color w:val="1B2A33"/>
                <w:sz w:val="19"/>
                <w:szCs w:val="19"/>
              </w:rPr>
              <w:t xml:space="preserve">NPT (all sub-categories)</w:t>
            </w:r>
          </w:p>
        </w:tc>
        <w:tc>
          <w:tcPr>
            <w:tcW w:type="dxa" w:w="278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b w:val="false"/>
                <w:bCs w:val="false"/>
                <w:color w:val="1B2A33"/>
                <w:sz w:val="19"/>
                <w:szCs w:val="19"/>
              </w:rPr>
              <w:t xml:space="preserve">7,888.3</w:t>
            </w:r>
          </w:p>
        </w:tc>
        <w:tc>
          <w:tcPr>
            <w:tcW w:type="dxa" w:w="278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b w:val="false"/>
                <w:bCs w:val="false"/>
                <w:color w:val="1B2A33"/>
                <w:sz w:val="19"/>
                <w:szCs w:val="19"/>
              </w:rPr>
              <w:t xml:space="preserve">20.0%</w:t>
            </w:r>
          </w:p>
        </w:tc>
      </w:tr>
      <w:tr>
        <w:trPr>
          <w:cantSplit/>
        </w:trPr>
        <w:tc>
          <w:tcPr>
            <w:tcW w:type="dxa" w:w="38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b w:val="false"/>
                <w:bCs w:val="false"/>
                <w:color w:val="1B2A33"/>
                <w:sz w:val="19"/>
                <w:szCs w:val="19"/>
              </w:rPr>
              <w:t xml:space="preserve">Rig move / mobilisation</w:t>
            </w:r>
          </w:p>
        </w:tc>
        <w:tc>
          <w:tcPr>
            <w:tcW w:type="dxa" w:w="278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b w:val="false"/>
                <w:bCs w:val="false"/>
                <w:color w:val="1B2A33"/>
                <w:sz w:val="19"/>
                <w:szCs w:val="19"/>
              </w:rPr>
              <w:t xml:space="preserve">997.0</w:t>
            </w:r>
          </w:p>
        </w:tc>
        <w:tc>
          <w:tcPr>
            <w:tcW w:type="dxa" w:w="278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b w:val="false"/>
                <w:bCs w:val="false"/>
                <w:color w:val="1B2A33"/>
                <w:sz w:val="19"/>
                <w:szCs w:val="19"/>
              </w:rPr>
              <w:t xml:space="preserve">2.5%</w:t>
            </w:r>
          </w:p>
        </w:tc>
      </w:tr>
      <w:tr>
        <w:trPr>
          <w:cantSplit/>
        </w:trPr>
        <w:tc>
          <w:tcPr>
            <w:tcW w:type="dxa" w:w="38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b/>
                <w:bCs/>
                <w:color w:val="1B2A33"/>
                <w:sz w:val="19"/>
                <w:szCs w:val="19"/>
              </w:rPr>
              <w:t xml:space="preserve">Total logged</w:t>
            </w:r>
          </w:p>
        </w:tc>
        <w:tc>
          <w:tcPr>
            <w:tcW w:type="dxa" w:w="278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b/>
                <w:bCs/>
                <w:color w:val="1B2A33"/>
                <w:sz w:val="19"/>
                <w:szCs w:val="19"/>
              </w:rPr>
              <w:t xml:space="preserve">39,395.0</w:t>
            </w:r>
          </w:p>
        </w:tc>
        <w:tc>
          <w:tcPr>
            <w:tcW w:type="dxa" w:w="278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b/>
                <w:bCs/>
                <w:color w:val="1B2A33"/>
                <w:sz w:val="19"/>
                <w:szCs w:val="19"/>
              </w:rPr>
              <w:t xml:space="preserve">100%</w:t>
            </w:r>
          </w:p>
        </w:tc>
      </w:tr>
    </w:tbl>
    <w:p>
      <w:pPr>
        <w:spacing w:after="200" w:before="60"/>
      </w:pPr>
      <w:r>
        <w:rPr>
          <w:rFonts w:ascii="Arial" w:cs="Arial" w:eastAsia="Arial" w:hAnsi="Arial"/>
          <w:i/>
          <w:iCs/>
          <w:color w:val="5C6B73"/>
          <w:sz w:val="18"/>
          <w:szCs w:val="18"/>
        </w:rPr>
        <w:t xml:space="preserve">Table 5.1: Hours by top-level category.</w:t>
      </w:r>
    </w:p>
    <w:p>
      <w:pPr>
        <w:pStyle w:val="Heading2"/>
        <w:keepNext/>
        <w:spacing w:after="120" w:before="240"/>
      </w:pPr>
      <w:r>
        <w:rPr>
          <w:rFonts w:ascii="Arial" w:cs="Arial" w:eastAsia="Arial" w:hAnsi="Arial"/>
          <w:b/>
          <w:bCs/>
          <w:color w:val="2E86AB"/>
          <w:sz w:val="26"/>
          <w:szCs w:val="26"/>
        </w:rPr>
        <w:t xml:space="preserve">5.2 NPT Pareto: what caused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1400"/>
        <w:gridCol w:w="1260"/>
        <w:gridCol w:w="1300"/>
      </w:tblGrid>
      <w:tr>
        <w:trPr>
          <w:tblHeader/>
        </w:trPr>
        <w:tc>
          <w:tcPr>
            <w:tcW w:type="dxa" w:w="300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left"/>
            </w:pPr>
            <w:r>
              <w:rPr>
                <w:rFonts w:ascii="Arial" w:cs="Arial" w:eastAsia="Arial" w:hAnsi="Arial"/>
                <w:b/>
                <w:bCs/>
                <w:color w:val="FFFFFF"/>
                <w:sz w:val="19"/>
                <w:szCs w:val="19"/>
              </w:rPr>
              <w:t xml:space="preserve">Level 1</w:t>
            </w:r>
          </w:p>
        </w:tc>
        <w:tc>
          <w:tcPr>
            <w:tcW w:type="dxa" w:w="240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left"/>
            </w:pPr>
            <w:r>
              <w:rPr>
                <w:rFonts w:ascii="Arial" w:cs="Arial" w:eastAsia="Arial" w:hAnsi="Arial"/>
                <w:b/>
                <w:bCs/>
                <w:color w:val="FFFFFF"/>
                <w:sz w:val="19"/>
                <w:szCs w:val="19"/>
              </w:rPr>
              <w:t xml:space="preserve">Level 2</w:t>
            </w:r>
          </w:p>
        </w:tc>
        <w:tc>
          <w:tcPr>
            <w:tcW w:type="dxa" w:w="140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right"/>
            </w:pPr>
            <w:r>
              <w:rPr>
                <w:rFonts w:ascii="Arial" w:cs="Arial" w:eastAsia="Arial" w:hAnsi="Arial"/>
                <w:b/>
                <w:bCs/>
                <w:color w:val="FFFFFF"/>
                <w:sz w:val="19"/>
                <w:szCs w:val="19"/>
              </w:rPr>
              <w:t xml:space="preserve">Hours</w:t>
            </w:r>
          </w:p>
        </w:tc>
        <w:tc>
          <w:tcPr>
            <w:tcW w:type="dxa" w:w="126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right"/>
            </w:pPr>
            <w:r>
              <w:rPr>
                <w:rFonts w:ascii="Arial" w:cs="Arial" w:eastAsia="Arial" w:hAnsi="Arial"/>
                <w:b/>
                <w:bCs/>
                <w:color w:val="FFFFFF"/>
                <w:sz w:val="19"/>
                <w:szCs w:val="19"/>
              </w:rPr>
              <w:t xml:space="preserve">% of NPT</w:t>
            </w:r>
          </w:p>
        </w:tc>
        <w:tc>
          <w:tcPr>
            <w:tcW w:type="dxa" w:w="130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right"/>
            </w:pPr>
            <w:r>
              <w:rPr>
                <w:rFonts w:ascii="Arial" w:cs="Arial" w:eastAsia="Arial" w:hAnsi="Arial"/>
                <w:b/>
                <w:bCs/>
                <w:color w:val="FFFFFF"/>
                <w:sz w:val="19"/>
                <w:szCs w:val="19"/>
              </w:rPr>
              <w:t xml:space="preserve">Cumulative</w:t>
            </w:r>
          </w:p>
        </w:tc>
      </w:tr>
      <w:tr>
        <w:trPr>
          <w:cantSplit/>
        </w:trPr>
        <w:tc>
          <w:tcPr>
            <w:tcW w:type="dxa" w:w="30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NPT - Surface Equipment</w:t>
            </w:r>
          </w:p>
        </w:tc>
        <w:tc>
          <w:tcPr>
            <w:tcW w:type="dxa" w:w="24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Repair/Maintenance</w:t>
            </w:r>
          </w:p>
        </w:tc>
        <w:tc>
          <w:tcPr>
            <w:tcW w:type="dxa" w:w="14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2,914.9</w:t>
            </w:r>
          </w:p>
        </w:tc>
        <w:tc>
          <w:tcPr>
            <w:tcW w:type="dxa" w:w="12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36.9%</w:t>
            </w:r>
          </w:p>
        </w:tc>
        <w:tc>
          <w:tcPr>
            <w:tcW w:type="dxa" w:w="13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36.9%</w:t>
            </w:r>
          </w:p>
        </w:tc>
      </w:tr>
      <w:tr>
        <w:trPr>
          <w:cantSplit/>
        </w:trPr>
        <w:tc>
          <w:tcPr>
            <w:tcW w:type="dxa" w:w="30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NPT - External</w:t>
            </w:r>
          </w:p>
        </w:tc>
        <w:tc>
          <w:tcPr>
            <w:tcW w:type="dxa" w:w="24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Weather</w:t>
            </w:r>
          </w:p>
        </w:tc>
        <w:tc>
          <w:tcPr>
            <w:tcW w:type="dxa" w:w="14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1,933.3</w:t>
            </w:r>
          </w:p>
        </w:tc>
        <w:tc>
          <w:tcPr>
            <w:tcW w:type="dxa" w:w="126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24.5%</w:t>
            </w:r>
          </w:p>
        </w:tc>
        <w:tc>
          <w:tcPr>
            <w:tcW w:type="dxa" w:w="13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61.4%</w:t>
            </w:r>
          </w:p>
        </w:tc>
      </w:tr>
      <w:tr>
        <w:trPr>
          <w:cantSplit/>
        </w:trPr>
        <w:tc>
          <w:tcPr>
            <w:tcW w:type="dxa" w:w="30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NPT - External</w:t>
            </w:r>
          </w:p>
        </w:tc>
        <w:tc>
          <w:tcPr>
            <w:tcW w:type="dxa" w:w="24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Labor Action</w:t>
            </w:r>
          </w:p>
        </w:tc>
        <w:tc>
          <w:tcPr>
            <w:tcW w:type="dxa" w:w="14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746.0</w:t>
            </w:r>
          </w:p>
        </w:tc>
        <w:tc>
          <w:tcPr>
            <w:tcW w:type="dxa" w:w="12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9.5%</w:t>
            </w:r>
          </w:p>
        </w:tc>
        <w:tc>
          <w:tcPr>
            <w:tcW w:type="dxa" w:w="13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70.9%</w:t>
            </w:r>
          </w:p>
        </w:tc>
      </w:tr>
      <w:tr>
        <w:trPr>
          <w:cantSplit/>
        </w:trPr>
        <w:tc>
          <w:tcPr>
            <w:tcW w:type="dxa" w:w="30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NPT - Downhole Equipment</w:t>
            </w:r>
          </w:p>
        </w:tc>
        <w:tc>
          <w:tcPr>
            <w:tcW w:type="dxa" w:w="24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Fishing</w:t>
            </w:r>
          </w:p>
        </w:tc>
        <w:tc>
          <w:tcPr>
            <w:tcW w:type="dxa" w:w="14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581.3</w:t>
            </w:r>
          </w:p>
        </w:tc>
        <w:tc>
          <w:tcPr>
            <w:tcW w:type="dxa" w:w="126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7.4%</w:t>
            </w:r>
          </w:p>
        </w:tc>
        <w:tc>
          <w:tcPr>
            <w:tcW w:type="dxa" w:w="13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78.3%</w:t>
            </w:r>
          </w:p>
        </w:tc>
      </w:tr>
      <w:tr>
        <w:trPr>
          <w:cantSplit/>
        </w:trPr>
        <w:tc>
          <w:tcPr>
            <w:tcW w:type="dxa" w:w="30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NPT - Downhole Equipment</w:t>
            </w:r>
          </w:p>
        </w:tc>
        <w:tc>
          <w:tcPr>
            <w:tcW w:type="dxa" w:w="24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Failure</w:t>
            </w:r>
          </w:p>
        </w:tc>
        <w:tc>
          <w:tcPr>
            <w:tcW w:type="dxa" w:w="14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426.9</w:t>
            </w:r>
          </w:p>
        </w:tc>
        <w:tc>
          <w:tcPr>
            <w:tcW w:type="dxa" w:w="12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5.4%</w:t>
            </w:r>
          </w:p>
        </w:tc>
        <w:tc>
          <w:tcPr>
            <w:tcW w:type="dxa" w:w="13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83.7%</w:t>
            </w:r>
          </w:p>
        </w:tc>
      </w:tr>
      <w:tr>
        <w:trPr>
          <w:cantSplit/>
        </w:trPr>
        <w:tc>
          <w:tcPr>
            <w:tcW w:type="dxa" w:w="30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NPT - External</w:t>
            </w:r>
          </w:p>
        </w:tc>
        <w:tc>
          <w:tcPr>
            <w:tcW w:type="dxa" w:w="24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Materials/Logistics</w:t>
            </w:r>
          </w:p>
        </w:tc>
        <w:tc>
          <w:tcPr>
            <w:tcW w:type="dxa" w:w="14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295.2</w:t>
            </w:r>
          </w:p>
        </w:tc>
        <w:tc>
          <w:tcPr>
            <w:tcW w:type="dxa" w:w="126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3.7%</w:t>
            </w:r>
          </w:p>
        </w:tc>
        <w:tc>
          <w:tcPr>
            <w:tcW w:type="dxa" w:w="13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87.4%</w:t>
            </w:r>
          </w:p>
        </w:tc>
      </w:tr>
      <w:tr>
        <w:trPr>
          <w:cantSplit/>
        </w:trPr>
        <w:tc>
          <w:tcPr>
            <w:tcW w:type="dxa" w:w="30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NPT - Other</w:t>
            </w:r>
          </w:p>
        </w:tc>
        <w:tc>
          <w:tcPr>
            <w:tcW w:type="dxa" w:w="24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HSE/Permits</w:t>
            </w:r>
          </w:p>
        </w:tc>
        <w:tc>
          <w:tcPr>
            <w:tcW w:type="dxa" w:w="14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258.1</w:t>
            </w:r>
          </w:p>
        </w:tc>
        <w:tc>
          <w:tcPr>
            <w:tcW w:type="dxa" w:w="12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3.3%</w:t>
            </w:r>
          </w:p>
        </w:tc>
        <w:tc>
          <w:tcPr>
            <w:tcW w:type="dxa" w:w="13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90.7%</w:t>
            </w:r>
          </w:p>
        </w:tc>
      </w:tr>
      <w:tr>
        <w:trPr>
          <w:cantSplit/>
        </w:trPr>
        <w:tc>
          <w:tcPr>
            <w:tcW w:type="dxa" w:w="30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NPT - Other</w:t>
            </w:r>
          </w:p>
        </w:tc>
        <w:tc>
          <w:tcPr>
            <w:tcW w:type="dxa" w:w="24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Operational Failure</w:t>
            </w:r>
          </w:p>
        </w:tc>
        <w:tc>
          <w:tcPr>
            <w:tcW w:type="dxa" w:w="14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211.0</w:t>
            </w:r>
          </w:p>
        </w:tc>
        <w:tc>
          <w:tcPr>
            <w:tcW w:type="dxa" w:w="126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2.7%</w:t>
            </w:r>
          </w:p>
        </w:tc>
        <w:tc>
          <w:tcPr>
            <w:tcW w:type="dxa" w:w="13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93.4%</w:t>
            </w:r>
          </w:p>
        </w:tc>
      </w:tr>
      <w:tr>
        <w:trPr>
          <w:cantSplit/>
        </w:trPr>
        <w:tc>
          <w:tcPr>
            <w:tcW w:type="dxa" w:w="30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NPT - Wellbore</w:t>
            </w:r>
          </w:p>
        </w:tc>
        <w:tc>
          <w:tcPr>
            <w:tcW w:type="dxa" w:w="24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Hole Instability</w:t>
            </w:r>
          </w:p>
        </w:tc>
        <w:tc>
          <w:tcPr>
            <w:tcW w:type="dxa" w:w="14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192.2</w:t>
            </w:r>
          </w:p>
        </w:tc>
        <w:tc>
          <w:tcPr>
            <w:tcW w:type="dxa" w:w="12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2.4%</w:t>
            </w:r>
          </w:p>
        </w:tc>
        <w:tc>
          <w:tcPr>
            <w:tcW w:type="dxa" w:w="13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95.8%</w:t>
            </w:r>
          </w:p>
        </w:tc>
      </w:tr>
      <w:tr>
        <w:trPr>
          <w:cantSplit/>
        </w:trPr>
        <w:tc>
          <w:tcPr>
            <w:tcW w:type="dxa" w:w="30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NPT - Wellbore</w:t>
            </w:r>
          </w:p>
        </w:tc>
        <w:tc>
          <w:tcPr>
            <w:tcW w:type="dxa" w:w="24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Losses</w:t>
            </w:r>
          </w:p>
        </w:tc>
        <w:tc>
          <w:tcPr>
            <w:tcW w:type="dxa" w:w="14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162.5</w:t>
            </w:r>
          </w:p>
        </w:tc>
        <w:tc>
          <w:tcPr>
            <w:tcW w:type="dxa" w:w="126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2.1%</w:t>
            </w:r>
          </w:p>
        </w:tc>
        <w:tc>
          <w:tcPr>
            <w:tcW w:type="dxa" w:w="13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97.9%</w:t>
            </w:r>
          </w:p>
        </w:tc>
      </w:tr>
      <w:tr>
        <w:trPr>
          <w:cantSplit/>
        </w:trPr>
        <w:tc>
          <w:tcPr>
            <w:tcW w:type="dxa" w:w="30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Other categories (4)</w:t>
            </w:r>
          </w:p>
        </w:tc>
        <w:tc>
          <w:tcPr>
            <w:tcW w:type="dxa" w:w="24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Well control, unclassified, waits, corrective sidetrack</w:t>
            </w:r>
          </w:p>
        </w:tc>
        <w:tc>
          <w:tcPr>
            <w:tcW w:type="dxa" w:w="14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167.0</w:t>
            </w:r>
          </w:p>
        </w:tc>
        <w:tc>
          <w:tcPr>
            <w:tcW w:type="dxa" w:w="12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2.1%</w:t>
            </w:r>
          </w:p>
        </w:tc>
        <w:tc>
          <w:tcPr>
            <w:tcW w:type="dxa" w:w="13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100%</w:t>
            </w:r>
          </w:p>
        </w:tc>
      </w:tr>
    </w:tbl>
    <w:p>
      <w:pPr>
        <w:spacing w:after="200" w:before="60"/>
      </w:pPr>
      <w:r>
        <w:rPr>
          <w:rFonts w:ascii="Arial" w:cs="Arial" w:eastAsia="Arial" w:hAnsi="Arial"/>
          <w:i/>
          <w:iCs/>
          <w:color w:val="5C6B73"/>
          <w:sz w:val="18"/>
          <w:szCs w:val="18"/>
        </w:rPr>
        <w:t xml:space="preserve">Table 5.2: NPT hours by category, largest first. Cumulative column is the Pareto line.</w:t>
      </w:r>
    </w:p>
    <w:p>
      <w:pPr>
        <w:spacing w:after="120" w:line="288"/>
      </w:pPr>
      <w:r>
        <w:rPr>
          <w:rFonts w:ascii="Arial" w:cs="Arial" w:eastAsia="Arial" w:hAnsi="Arial"/>
          <w:color w:val="1B2A33"/>
          <w:sz w:val="21"/>
          <w:szCs w:val="21"/>
        </w:rPr>
        <w:t xml:space="preserve">Two categories explain over 60% of all NPT, and five explain 83.7%. The Labor Action category is a single documented event: an oilfield-services strike that suspended operations across 32 well-days (746 hours), which is better read as an outlier than as a recurring cause.</w:t>
      </w:r>
    </w:p>
    <w:p>
      <w:pPr>
        <w:pStyle w:val="Heading2"/>
        <w:keepNext/>
        <w:spacing w:after="120" w:before="240"/>
      </w:pPr>
      <w:r>
        <w:rPr>
          <w:rFonts w:ascii="Arial" w:cs="Arial" w:eastAsia="Arial" w:hAnsi="Arial"/>
          <w:b/>
          <w:bCs/>
          <w:color w:val="2E86AB"/>
          <w:sz w:val="26"/>
          <w:szCs w:val="26"/>
        </w:rPr>
        <w:t xml:space="preserve">5.3 NPT by wellbore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860"/>
      </w:tblGrid>
      <w:tr>
        <w:trPr>
          <w:tblHeader/>
        </w:trPr>
        <w:tc>
          <w:tcPr>
            <w:tcW w:type="dxa" w:w="150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left"/>
            </w:pPr>
            <w:r>
              <w:rPr>
                <w:rFonts w:ascii="Arial" w:cs="Arial" w:eastAsia="Arial" w:hAnsi="Arial"/>
                <w:b/>
                <w:bCs/>
                <w:color w:val="FFFFFF"/>
                <w:sz w:val="19"/>
                <w:szCs w:val="19"/>
              </w:rPr>
              <w:t xml:space="preserve">Wellbore</w:t>
            </w:r>
          </w:p>
        </w:tc>
        <w:tc>
          <w:tcPr>
            <w:tcW w:type="dxa" w:w="150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left"/>
            </w:pPr>
            <w:r>
              <w:rPr>
                <w:rFonts w:ascii="Arial" w:cs="Arial" w:eastAsia="Arial" w:hAnsi="Arial"/>
                <w:b/>
                <w:bCs/>
                <w:color w:val="FFFFFF"/>
                <w:sz w:val="19"/>
                <w:szCs w:val="19"/>
              </w:rPr>
              <w:t xml:space="preserve">Type</w:t>
            </w:r>
          </w:p>
        </w:tc>
        <w:tc>
          <w:tcPr>
            <w:tcW w:type="dxa" w:w="150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right"/>
            </w:pPr>
            <w:r>
              <w:rPr>
                <w:rFonts w:ascii="Arial" w:cs="Arial" w:eastAsia="Arial" w:hAnsi="Arial"/>
                <w:b/>
                <w:bCs/>
                <w:color w:val="FFFFFF"/>
                <w:sz w:val="19"/>
                <w:szCs w:val="19"/>
              </w:rPr>
              <w:t xml:space="preserve">Total hrs</w:t>
            </w:r>
          </w:p>
        </w:tc>
        <w:tc>
          <w:tcPr>
            <w:tcW w:type="dxa" w:w="150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right"/>
            </w:pPr>
            <w:r>
              <w:rPr>
                <w:rFonts w:ascii="Arial" w:cs="Arial" w:eastAsia="Arial" w:hAnsi="Arial"/>
                <w:b/>
                <w:bCs/>
                <w:color w:val="FFFFFF"/>
                <w:sz w:val="19"/>
                <w:szCs w:val="19"/>
              </w:rPr>
              <w:t xml:space="preserve">NPT hrs</w:t>
            </w:r>
          </w:p>
        </w:tc>
        <w:tc>
          <w:tcPr>
            <w:tcW w:type="dxa" w:w="150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right"/>
            </w:pPr>
            <w:r>
              <w:rPr>
                <w:rFonts w:ascii="Arial" w:cs="Arial" w:eastAsia="Arial" w:hAnsi="Arial"/>
                <w:b/>
                <w:bCs/>
                <w:color w:val="FFFFFF"/>
                <w:sz w:val="19"/>
                <w:szCs w:val="19"/>
              </w:rPr>
              <w:t xml:space="preserve">NPT %</w:t>
            </w:r>
          </w:p>
        </w:tc>
        <w:tc>
          <w:tcPr>
            <w:tcW w:type="dxa" w:w="186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left"/>
            </w:pPr>
            <w:r>
              <w:rPr>
                <w:rFonts w:ascii="Arial" w:cs="Arial" w:eastAsia="Arial" w:hAnsi="Arial"/>
                <w:b/>
                <w:bCs/>
                <w:color w:val="FFFFFF"/>
                <w:sz w:val="19"/>
                <w:szCs w:val="19"/>
              </w:rPr>
              <w:t xml:space="preserve">Note</w:t>
            </w:r>
          </w:p>
        </w:tc>
      </w:tr>
      <w:tr>
        <w:trPr>
          <w:cantSplit/>
        </w:trPr>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19-B</w:t>
            </w:r>
          </w:p>
        </w:tc>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Exploration</w:t>
            </w:r>
          </w:p>
        </w:tc>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617</w:t>
            </w:r>
          </w:p>
        </w:tc>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485</w:t>
            </w:r>
          </w:p>
        </w:tc>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78.5%</w:t>
            </w:r>
          </w:p>
        </w:tc>
        <w:tc>
          <w:tcPr>
            <w:tcW w:type="dxa" w:w="18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Short well</w:t>
            </w:r>
          </w:p>
        </w:tc>
      </w:tr>
      <w:tr>
        <w:trPr>
          <w:cantSplit/>
        </w:trPr>
        <w:tc>
          <w:tcPr>
            <w:tcW w:type="dxa" w:w="1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F-11</w:t>
            </w:r>
          </w:p>
        </w:tc>
        <w:tc>
          <w:tcPr>
            <w:tcW w:type="dxa" w:w="1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Development</w:t>
            </w:r>
          </w:p>
        </w:tc>
        <w:tc>
          <w:tcPr>
            <w:tcW w:type="dxa" w:w="1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390</w:t>
            </w:r>
          </w:p>
        </w:tc>
        <w:tc>
          <w:tcPr>
            <w:tcW w:type="dxa" w:w="1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219</w:t>
            </w:r>
          </w:p>
        </w:tc>
        <w:tc>
          <w:tcPr>
            <w:tcW w:type="dxa" w:w="1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56.2%</w:t>
            </w:r>
          </w:p>
        </w:tc>
        <w:tc>
          <w:tcPr>
            <w:tcW w:type="dxa" w:w="186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Short well</w:t>
            </w:r>
          </w:p>
        </w:tc>
      </w:tr>
      <w:tr>
        <w:trPr>
          <w:cantSplit/>
        </w:trPr>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19-A</w:t>
            </w:r>
          </w:p>
        </w:tc>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Exploration</w:t>
            </w:r>
          </w:p>
        </w:tc>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2,590</w:t>
            </w:r>
          </w:p>
        </w:tc>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994</w:t>
            </w:r>
          </w:p>
        </w:tc>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38.4%</w:t>
            </w:r>
          </w:p>
        </w:tc>
        <w:tc>
          <w:tcPr>
            <w:tcW w:type="dxa" w:w="18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Most NPT hours</w:t>
            </w:r>
          </w:p>
        </w:tc>
      </w:tr>
      <w:tr>
        <w:trPr>
          <w:cantSplit/>
        </w:trPr>
        <w:tc>
          <w:tcPr>
            <w:tcW w:type="dxa" w:w="1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F-15-C</w:t>
            </w:r>
          </w:p>
        </w:tc>
        <w:tc>
          <w:tcPr>
            <w:tcW w:type="dxa" w:w="1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Development</w:t>
            </w:r>
          </w:p>
        </w:tc>
        <w:tc>
          <w:tcPr>
            <w:tcW w:type="dxa" w:w="1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1,820</w:t>
            </w:r>
          </w:p>
        </w:tc>
        <w:tc>
          <w:tcPr>
            <w:tcW w:type="dxa" w:w="1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505</w:t>
            </w:r>
          </w:p>
        </w:tc>
        <w:tc>
          <w:tcPr>
            <w:tcW w:type="dxa" w:w="1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27.7%</w:t>
            </w:r>
          </w:p>
        </w:tc>
        <w:tc>
          <w:tcPr>
            <w:tcW w:type="dxa" w:w="186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
            </w:r>
          </w:p>
        </w:tc>
      </w:tr>
      <w:tr>
        <w:trPr>
          <w:cantSplit/>
        </w:trPr>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19-BT2</w:t>
            </w:r>
          </w:p>
        </w:tc>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Exploration</w:t>
            </w:r>
          </w:p>
        </w:tc>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1,455</w:t>
            </w:r>
          </w:p>
        </w:tc>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395</w:t>
            </w:r>
          </w:p>
        </w:tc>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27.1%</w:t>
            </w:r>
          </w:p>
        </w:tc>
        <w:tc>
          <w:tcPr>
            <w:tcW w:type="dxa" w:w="18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
            </w:r>
          </w:p>
        </w:tc>
      </w:tr>
      <w:tr>
        <w:trPr>
          <w:cantSplit/>
        </w:trPr>
        <w:tc>
          <w:tcPr>
            <w:tcW w:type="dxa" w:w="1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F-4</w:t>
            </w:r>
          </w:p>
        </w:tc>
        <w:tc>
          <w:tcPr>
            <w:tcW w:type="dxa" w:w="1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Development</w:t>
            </w:r>
          </w:p>
        </w:tc>
        <w:tc>
          <w:tcPr>
            <w:tcW w:type="dxa" w:w="1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2,858</w:t>
            </w:r>
          </w:p>
        </w:tc>
        <w:tc>
          <w:tcPr>
            <w:tcW w:type="dxa" w:w="1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697</w:t>
            </w:r>
          </w:p>
        </w:tc>
        <w:tc>
          <w:tcPr>
            <w:tcW w:type="dxa" w:w="1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24.4%</w:t>
            </w:r>
          </w:p>
        </w:tc>
        <w:tc>
          <w:tcPr>
            <w:tcW w:type="dxa" w:w="186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Water injector</w:t>
            </w:r>
          </w:p>
        </w:tc>
      </w:tr>
      <w:tr>
        <w:trPr>
          <w:cantSplit/>
        </w:trPr>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F-12</w:t>
            </w:r>
          </w:p>
        </w:tc>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Development</w:t>
            </w:r>
          </w:p>
        </w:tc>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3,764</w:t>
            </w:r>
          </w:p>
        </w:tc>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675</w:t>
            </w:r>
          </w:p>
        </w:tc>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17.9%</w:t>
            </w:r>
          </w:p>
        </w:tc>
        <w:tc>
          <w:tcPr>
            <w:tcW w:type="dxa" w:w="18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Largest producer</w:t>
            </w:r>
          </w:p>
        </w:tc>
      </w:tr>
      <w:tr>
        <w:trPr>
          <w:cantSplit/>
        </w:trPr>
        <w:tc>
          <w:tcPr>
            <w:tcW w:type="dxa" w:w="1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F-14</w:t>
            </w:r>
          </w:p>
        </w:tc>
        <w:tc>
          <w:tcPr>
            <w:tcW w:type="dxa" w:w="1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Development</w:t>
            </w:r>
          </w:p>
        </w:tc>
        <w:tc>
          <w:tcPr>
            <w:tcW w:type="dxa" w:w="1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2,946</w:t>
            </w:r>
          </w:p>
        </w:tc>
        <w:tc>
          <w:tcPr>
            <w:tcW w:type="dxa" w:w="1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383</w:t>
            </w:r>
          </w:p>
        </w:tc>
        <w:tc>
          <w:tcPr>
            <w:tcW w:type="dxa" w:w="1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13.0%</w:t>
            </w:r>
          </w:p>
        </w:tc>
        <w:tc>
          <w:tcPr>
            <w:tcW w:type="dxa" w:w="186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Most efficient</w:t>
            </w:r>
          </w:p>
        </w:tc>
      </w:tr>
      <w:tr>
        <w:trPr>
          <w:cantSplit/>
        </w:trPr>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F-5</w:t>
            </w:r>
          </w:p>
        </w:tc>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Development</w:t>
            </w:r>
          </w:p>
        </w:tc>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2,171</w:t>
            </w:r>
          </w:p>
        </w:tc>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219</w:t>
            </w:r>
          </w:p>
        </w:tc>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10.1%</w:t>
            </w:r>
          </w:p>
        </w:tc>
        <w:tc>
          <w:tcPr>
            <w:tcW w:type="dxa" w:w="18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
            </w:r>
          </w:p>
        </w:tc>
      </w:tr>
      <w:tr>
        <w:trPr>
          <w:cantSplit/>
        </w:trPr>
        <w:tc>
          <w:tcPr>
            <w:tcW w:type="dxa" w:w="1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F-1-A</w:t>
            </w:r>
          </w:p>
        </w:tc>
        <w:tc>
          <w:tcPr>
            <w:tcW w:type="dxa" w:w="1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Development</w:t>
            </w:r>
          </w:p>
        </w:tc>
        <w:tc>
          <w:tcPr>
            <w:tcW w:type="dxa" w:w="1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155</w:t>
            </w:r>
          </w:p>
        </w:tc>
        <w:tc>
          <w:tcPr>
            <w:tcW w:type="dxa" w:w="1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6</w:t>
            </w:r>
          </w:p>
        </w:tc>
        <w:tc>
          <w:tcPr>
            <w:tcW w:type="dxa" w:w="1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3.9%</w:t>
            </w:r>
          </w:p>
        </w:tc>
        <w:tc>
          <w:tcPr>
            <w:tcW w:type="dxa" w:w="186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Lowest; tiny well</w:t>
            </w:r>
          </w:p>
        </w:tc>
      </w:tr>
    </w:tbl>
    <w:p>
      <w:pPr>
        <w:spacing w:after="200" w:before="60"/>
      </w:pPr>
      <w:r>
        <w:rPr>
          <w:rFonts w:ascii="Arial" w:cs="Arial" w:eastAsia="Arial" w:hAnsi="Arial"/>
          <w:i/>
          <w:iCs/>
          <w:color w:val="5C6B73"/>
          <w:sz w:val="18"/>
          <w:szCs w:val="18"/>
        </w:rPr>
        <w:t xml:space="preserve">Table 5.3: Selected wellbores, worst to best (10 of 26). Full list in the report page and database view.</w:t>
      </w:r>
    </w:p>
    <w:p>
      <w:pPr>
        <w:pStyle w:val="ListParagraph"/>
        <w:numPr>
          <w:ilvl w:val="0"/>
          <w:numId w:val="2"/>
        </w:numPr>
        <w:spacing w:after="70" w:line="276"/>
      </w:pPr>
      <w:r>
        <w:rPr>
          <w:rFonts w:ascii="Arial" w:cs="Arial" w:eastAsia="Arial" w:hAnsi="Arial"/>
          <w:color w:val="1B2A33"/>
          <w:sz w:val="21"/>
          <w:szCs w:val="21"/>
        </w:rPr>
        <w:t xml:space="preserve">The five exploration wellbores average 29.8% NPT (2,604 of 8,733 hours) against 17.2% for the 21 development wellbores (5,285 of 30,662 hours).</w:t>
      </w:r>
    </w:p>
    <w:p>
      <w:pPr>
        <w:pStyle w:val="ListParagraph"/>
        <w:numPr>
          <w:ilvl w:val="0"/>
          <w:numId w:val="2"/>
        </w:numPr>
        <w:spacing w:after="70" w:line="276"/>
      </w:pPr>
      <w:r>
        <w:rPr>
          <w:rFonts w:ascii="Arial" w:cs="Arial" w:eastAsia="Arial" w:hAnsi="Arial"/>
          <w:color w:val="1B2A33"/>
          <w:sz w:val="21"/>
          <w:szCs w:val="21"/>
        </w:rPr>
        <w:t xml:space="preserve">The exploration effect is not uniform: 19-B and 19-A are high, but 19-ST2 (19.3%) is about average and 19-S (14.2%) is below average.</w:t>
      </w:r>
    </w:p>
    <w:p>
      <w:pPr>
        <w:pStyle w:val="ListParagraph"/>
        <w:numPr>
          <w:ilvl w:val="0"/>
          <w:numId w:val="2"/>
        </w:numPr>
        <w:spacing w:after="70" w:line="276"/>
      </w:pPr>
      <w:r>
        <w:rPr>
          <w:rFonts w:ascii="Arial" w:cs="Arial" w:eastAsia="Arial" w:hAnsi="Arial"/>
          <w:color w:val="1B2A33"/>
          <w:sz w:val="21"/>
          <w:szCs w:val="21"/>
        </w:rPr>
        <w:t xml:space="preserve">The two highest rates (19-B and F-11) are on short wells of under 650 hours each, so a few bad days move the percentage a lot. Absolute hours tell a different story: 19-A, F-4 and F-12 lost the most time.</w:t>
      </w:r>
    </w:p>
    <w:p>
      <w:pPr>
        <w:pStyle w:val="ListParagraph"/>
        <w:numPr>
          <w:ilvl w:val="0"/>
          <w:numId w:val="2"/>
        </w:numPr>
        <w:spacing w:after="70" w:line="276"/>
      </w:pPr>
      <w:r>
        <w:rPr>
          <w:rFonts w:ascii="Arial" w:cs="Arial" w:eastAsia="Arial" w:hAnsi="Arial"/>
          <w:color w:val="1B2A33"/>
          <w:sz w:val="21"/>
          <w:szCs w:val="21"/>
        </w:rPr>
        <w:t xml:space="preserve">Concentration: the 13 worst wellbores by NPT hours account for 82.3% of all NPT.</w:t>
      </w:r>
    </w:p>
    <w:p>
      <w:pPr>
        <w:pStyle w:val="Heading2"/>
        <w:keepNext/>
        <w:spacing w:after="120" w:before="240"/>
      </w:pPr>
      <w:r>
        <w:rPr>
          <w:rFonts w:ascii="Arial" w:cs="Arial" w:eastAsia="Arial" w:hAnsi="Arial"/>
          <w:b/>
          <w:bCs/>
          <w:color w:val="2E86AB"/>
          <w:sz w:val="26"/>
          <w:szCs w:val="26"/>
        </w:rPr>
        <w:t xml:space="preserve">5.4 NPT by hole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left"/>
            </w:pPr>
            <w:r>
              <w:rPr>
                <w:rFonts w:ascii="Arial" w:cs="Arial" w:eastAsia="Arial" w:hAnsi="Arial"/>
                <w:b/>
                <w:bCs/>
                <w:color w:val="FFFFFF"/>
                <w:sz w:val="19"/>
                <w:szCs w:val="19"/>
              </w:rPr>
              <w:t xml:space="preserve">Hole section</w:t>
            </w:r>
          </w:p>
        </w:tc>
        <w:tc>
          <w:tcPr>
            <w:tcW w:type="dxa" w:w="200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right"/>
            </w:pPr>
            <w:r>
              <w:rPr>
                <w:rFonts w:ascii="Arial" w:cs="Arial" w:eastAsia="Arial" w:hAnsi="Arial"/>
                <w:b/>
                <w:bCs/>
                <w:color w:val="FFFFFF"/>
                <w:sz w:val="19"/>
                <w:szCs w:val="19"/>
              </w:rPr>
              <w:t xml:space="preserve">NPT hrs</w:t>
            </w:r>
          </w:p>
        </w:tc>
        <w:tc>
          <w:tcPr>
            <w:tcW w:type="dxa" w:w="200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right"/>
            </w:pPr>
            <w:r>
              <w:rPr>
                <w:rFonts w:ascii="Arial" w:cs="Arial" w:eastAsia="Arial" w:hAnsi="Arial"/>
                <w:b/>
                <w:bCs/>
                <w:color w:val="FFFFFF"/>
                <w:sz w:val="19"/>
                <w:szCs w:val="19"/>
              </w:rPr>
              <w:t xml:space="preserve">Total hrs</w:t>
            </w:r>
          </w:p>
        </w:tc>
        <w:tc>
          <w:tcPr>
            <w:tcW w:type="dxa" w:w="256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right"/>
            </w:pPr>
            <w:r>
              <w:rPr>
                <w:rFonts w:ascii="Arial" w:cs="Arial" w:eastAsia="Arial" w:hAnsi="Arial"/>
                <w:b/>
                <w:bCs/>
                <w:color w:val="FFFFFF"/>
                <w:sz w:val="19"/>
                <w:szCs w:val="19"/>
              </w:rPr>
              <w:t xml:space="preserve">NPT %</w:t>
            </w:r>
          </w:p>
        </w:tc>
      </w:tr>
      <w:tr>
        <w:trPr>
          <w:cantSplit/>
        </w:trPr>
        <w:tc>
          <w:tcPr>
            <w:tcW w:type="dxa" w:w="28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post-completion</w:t>
            </w:r>
          </w:p>
        </w:tc>
        <w:tc>
          <w:tcPr>
            <w:tcW w:type="dxa" w:w="20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2,753</w:t>
            </w:r>
          </w:p>
        </w:tc>
        <w:tc>
          <w:tcPr>
            <w:tcW w:type="dxa" w:w="20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8,610</w:t>
            </w:r>
          </w:p>
        </w:tc>
        <w:tc>
          <w:tcPr>
            <w:tcW w:type="dxa" w:w="25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32.0%</w:t>
            </w:r>
          </w:p>
        </w:tc>
      </w:tr>
      <w:tr>
        <w:trPr>
          <w:cantSplit/>
        </w:trPr>
        <w:tc>
          <w:tcPr>
            <w:tcW w:type="dxa" w:w="28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8.5 in hole</w:t>
            </w:r>
          </w:p>
        </w:tc>
        <w:tc>
          <w:tcPr>
            <w:tcW w:type="dxa" w:w="20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2,517</w:t>
            </w:r>
          </w:p>
        </w:tc>
        <w:tc>
          <w:tcPr>
            <w:tcW w:type="dxa" w:w="20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9,086</w:t>
            </w:r>
          </w:p>
        </w:tc>
        <w:tc>
          <w:tcPr>
            <w:tcW w:type="dxa" w:w="256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27.7%</w:t>
            </w:r>
          </w:p>
        </w:tc>
      </w:tr>
      <w:tr>
        <w:trPr>
          <w:cantSplit/>
        </w:trPr>
        <w:tc>
          <w:tcPr>
            <w:tcW w:type="dxa" w:w="28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12.25 in hole</w:t>
            </w:r>
          </w:p>
        </w:tc>
        <w:tc>
          <w:tcPr>
            <w:tcW w:type="dxa" w:w="20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843</w:t>
            </w:r>
          </w:p>
        </w:tc>
        <w:tc>
          <w:tcPr>
            <w:tcW w:type="dxa" w:w="20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4,857</w:t>
            </w:r>
          </w:p>
        </w:tc>
        <w:tc>
          <w:tcPr>
            <w:tcW w:type="dxa" w:w="25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17.3%</w:t>
            </w:r>
          </w:p>
        </w:tc>
      </w:tr>
      <w:tr>
        <w:trPr>
          <w:cantSplit/>
        </w:trPr>
        <w:tc>
          <w:tcPr>
            <w:tcW w:type="dxa" w:w="28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17.5 in hole</w:t>
            </w:r>
          </w:p>
        </w:tc>
        <w:tc>
          <w:tcPr>
            <w:tcW w:type="dxa" w:w="20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552</w:t>
            </w:r>
          </w:p>
        </w:tc>
        <w:tc>
          <w:tcPr>
            <w:tcW w:type="dxa" w:w="20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3,590</w:t>
            </w:r>
          </w:p>
        </w:tc>
        <w:tc>
          <w:tcPr>
            <w:tcW w:type="dxa" w:w="256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15.4%</w:t>
            </w:r>
          </w:p>
        </w:tc>
      </w:tr>
      <w:tr>
        <w:trPr>
          <w:cantSplit/>
        </w:trPr>
        <w:tc>
          <w:tcPr>
            <w:tcW w:type="dxa" w:w="28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26 in hole</w:t>
            </w:r>
          </w:p>
        </w:tc>
        <w:tc>
          <w:tcPr>
            <w:tcW w:type="dxa" w:w="20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431</w:t>
            </w:r>
          </w:p>
        </w:tc>
        <w:tc>
          <w:tcPr>
            <w:tcW w:type="dxa" w:w="20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2,335</w:t>
            </w:r>
          </w:p>
        </w:tc>
        <w:tc>
          <w:tcPr>
            <w:tcW w:type="dxa" w:w="25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18.4%</w:t>
            </w:r>
          </w:p>
        </w:tc>
      </w:tr>
      <w:tr>
        <w:trPr>
          <w:cantSplit/>
        </w:trPr>
        <w:tc>
          <w:tcPr>
            <w:tcW w:type="dxa" w:w="28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36 in hole</w:t>
            </w:r>
          </w:p>
        </w:tc>
        <w:tc>
          <w:tcPr>
            <w:tcW w:type="dxa" w:w="20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274</w:t>
            </w:r>
          </w:p>
        </w:tc>
        <w:tc>
          <w:tcPr>
            <w:tcW w:type="dxa" w:w="20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1,273</w:t>
            </w:r>
          </w:p>
        </w:tc>
        <w:tc>
          <w:tcPr>
            <w:tcW w:type="dxa" w:w="256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21.5%</w:t>
            </w:r>
          </w:p>
        </w:tc>
      </w:tr>
      <w:tr>
        <w:trPr>
          <w:cantSplit/>
        </w:trPr>
        <w:tc>
          <w:tcPr>
            <w:tcW w:type="dxa" w:w="28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6 in hole</w:t>
            </w:r>
          </w:p>
        </w:tc>
        <w:tc>
          <w:tcPr>
            <w:tcW w:type="dxa" w:w="20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211</w:t>
            </w:r>
          </w:p>
        </w:tc>
        <w:tc>
          <w:tcPr>
            <w:tcW w:type="dxa" w:w="20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942</w:t>
            </w:r>
          </w:p>
        </w:tc>
        <w:tc>
          <w:tcPr>
            <w:tcW w:type="dxa" w:w="25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22.4%</w:t>
            </w:r>
          </w:p>
        </w:tc>
      </w:tr>
      <w:tr>
        <w:trPr>
          <w:cantSplit/>
        </w:trPr>
        <w:tc>
          <w:tcPr>
            <w:tcW w:type="dxa" w:w="28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plug abandon</w:t>
            </w:r>
          </w:p>
        </w:tc>
        <w:tc>
          <w:tcPr>
            <w:tcW w:type="dxa" w:w="20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291</w:t>
            </w:r>
          </w:p>
        </w:tc>
        <w:tc>
          <w:tcPr>
            <w:tcW w:type="dxa" w:w="20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4,277</w:t>
            </w:r>
          </w:p>
        </w:tc>
        <w:tc>
          <w:tcPr>
            <w:tcW w:type="dxa" w:w="256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6.8%</w:t>
            </w:r>
          </w:p>
        </w:tc>
      </w:tr>
    </w:tbl>
    <w:p>
      <w:pPr>
        <w:spacing w:after="200" w:before="60"/>
      </w:pPr>
      <w:r>
        <w:rPr>
          <w:rFonts w:ascii="Arial" w:cs="Arial" w:eastAsia="Arial" w:hAnsi="Arial"/>
          <w:i/>
          <w:iCs/>
          <w:color w:val="5C6B73"/>
          <w:sz w:val="18"/>
          <w:szCs w:val="18"/>
        </w:rPr>
        <w:t xml:space="preserve">Table 5.4: NPT by hole section (sections with under 30 hours and rows with no section omitted).</w:t>
      </w:r>
    </w:p>
    <w:p>
      <w:pPr>
        <w:spacing w:after="120" w:line="288"/>
      </w:pPr>
      <w:r>
        <w:rPr>
          <w:rFonts w:ascii="Arial" w:cs="Arial" w:eastAsia="Arial" w:hAnsi="Arial"/>
          <w:color w:val="1B2A33"/>
          <w:sz w:val="21"/>
          <w:szCs w:val="21"/>
        </w:rPr>
        <w:t xml:space="preserve">The post-completion phase (workover and interventions) and the 8.5-inch section are the two heaviest in absolute hours. Plug-and-abandon is the cleanest at 6.8%. The completion phase logs 4,136 hours with no NPT assigned and is omitted from the table.</w:t>
      </w:r>
    </w:p>
    <w:p>
      <w:pPr>
        <w:pStyle w:val="Heading2"/>
        <w:keepNext/>
        <w:spacing w:after="120" w:before="240"/>
      </w:pPr>
      <w:r>
        <w:rPr>
          <w:rFonts w:ascii="Arial" w:cs="Arial" w:eastAsia="Arial" w:hAnsi="Arial"/>
          <w:b/>
          <w:bCs/>
          <w:color w:val="2E86AB"/>
          <w:sz w:val="26"/>
          <w:szCs w:val="26"/>
        </w:rPr>
        <w:t xml:space="preserve">5.5 Annual trend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860"/>
      </w:tblGrid>
      <w:tr>
        <w:trPr>
          <w:tblHeader/>
        </w:trPr>
        <w:tc>
          <w:tcPr>
            <w:tcW w:type="dxa" w:w="150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left"/>
            </w:pPr>
            <w:r>
              <w:rPr>
                <w:rFonts w:ascii="Arial" w:cs="Arial" w:eastAsia="Arial" w:hAnsi="Arial"/>
                <w:b/>
                <w:bCs/>
                <w:color w:val="FFFFFF"/>
                <w:sz w:val="19"/>
                <w:szCs w:val="19"/>
              </w:rPr>
              <w:t xml:space="preserve">Year</w:t>
            </w:r>
          </w:p>
        </w:tc>
        <w:tc>
          <w:tcPr>
            <w:tcW w:type="dxa" w:w="150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right"/>
            </w:pPr>
            <w:r>
              <w:rPr>
                <w:rFonts w:ascii="Arial" w:cs="Arial" w:eastAsia="Arial" w:hAnsi="Arial"/>
                <w:b/>
                <w:bCs/>
                <w:color w:val="FFFFFF"/>
                <w:sz w:val="19"/>
                <w:szCs w:val="19"/>
              </w:rPr>
              <w:t xml:space="preserve">NPT %</w:t>
            </w:r>
          </w:p>
        </w:tc>
        <w:tc>
          <w:tcPr>
            <w:tcW w:type="dxa" w:w="150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left"/>
            </w:pPr>
            <w:r>
              <w:rPr>
                <w:rFonts w:ascii="Arial" w:cs="Arial" w:eastAsia="Arial" w:hAnsi="Arial"/>
                <w:b/>
                <w:bCs/>
                <w:color w:val="FFFFFF"/>
                <w:sz w:val="19"/>
                <w:szCs w:val="19"/>
              </w:rPr>
              <w:t xml:space="preserve">Year</w:t>
            </w:r>
          </w:p>
        </w:tc>
        <w:tc>
          <w:tcPr>
            <w:tcW w:type="dxa" w:w="150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right"/>
            </w:pPr>
            <w:r>
              <w:rPr>
                <w:rFonts w:ascii="Arial" w:cs="Arial" w:eastAsia="Arial" w:hAnsi="Arial"/>
                <w:b/>
                <w:bCs/>
                <w:color w:val="FFFFFF"/>
                <w:sz w:val="19"/>
                <w:szCs w:val="19"/>
              </w:rPr>
              <w:t xml:space="preserve">NPT %</w:t>
            </w:r>
          </w:p>
        </w:tc>
        <w:tc>
          <w:tcPr>
            <w:tcW w:type="dxa" w:w="150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left"/>
            </w:pPr>
            <w:r>
              <w:rPr>
                <w:rFonts w:ascii="Arial" w:cs="Arial" w:eastAsia="Arial" w:hAnsi="Arial"/>
                <w:b/>
                <w:bCs/>
                <w:color w:val="FFFFFF"/>
                <w:sz w:val="19"/>
                <w:szCs w:val="19"/>
              </w:rPr>
              <w:t xml:space="preserve">Year</w:t>
            </w:r>
          </w:p>
        </w:tc>
        <w:tc>
          <w:tcPr>
            <w:tcW w:type="dxa" w:w="186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right"/>
            </w:pPr>
            <w:r>
              <w:rPr>
                <w:rFonts w:ascii="Arial" w:cs="Arial" w:eastAsia="Arial" w:hAnsi="Arial"/>
                <w:b/>
                <w:bCs/>
                <w:color w:val="FFFFFF"/>
                <w:sz w:val="19"/>
                <w:szCs w:val="19"/>
              </w:rPr>
              <w:t xml:space="preserve">NPT %</w:t>
            </w:r>
          </w:p>
        </w:tc>
      </w:tr>
      <w:tr>
        <w:trPr>
          <w:cantSplit/>
        </w:trPr>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1992</w:t>
            </w:r>
          </w:p>
        </w:tc>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13.3%</w:t>
            </w:r>
          </w:p>
        </w:tc>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2008</w:t>
            </w:r>
          </w:p>
        </w:tc>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17.5%</w:t>
            </w:r>
          </w:p>
        </w:tc>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2014</w:t>
            </w:r>
          </w:p>
        </w:tc>
        <w:tc>
          <w:tcPr>
            <w:tcW w:type="dxa" w:w="18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19.5%</w:t>
            </w:r>
          </w:p>
        </w:tc>
      </w:tr>
      <w:tr>
        <w:trPr>
          <w:cantSplit/>
        </w:trPr>
        <w:tc>
          <w:tcPr>
            <w:tcW w:type="dxa" w:w="1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1993</w:t>
            </w:r>
          </w:p>
        </w:tc>
        <w:tc>
          <w:tcPr>
            <w:tcW w:type="dxa" w:w="1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21.0%</w:t>
            </w:r>
          </w:p>
        </w:tc>
        <w:tc>
          <w:tcPr>
            <w:tcW w:type="dxa" w:w="1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2009</w:t>
            </w:r>
          </w:p>
        </w:tc>
        <w:tc>
          <w:tcPr>
            <w:tcW w:type="dxa" w:w="1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10.7%</w:t>
            </w:r>
          </w:p>
        </w:tc>
        <w:tc>
          <w:tcPr>
            <w:tcW w:type="dxa" w:w="1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2015</w:t>
            </w:r>
          </w:p>
        </w:tc>
        <w:tc>
          <w:tcPr>
            <w:tcW w:type="dxa" w:w="186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15.8%</w:t>
            </w:r>
          </w:p>
        </w:tc>
      </w:tr>
      <w:tr>
        <w:trPr>
          <w:cantSplit/>
        </w:trPr>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1997</w:t>
            </w:r>
          </w:p>
        </w:tc>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42.7%</w:t>
            </w:r>
          </w:p>
        </w:tc>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2010</w:t>
            </w:r>
          </w:p>
        </w:tc>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14.8%</w:t>
            </w:r>
          </w:p>
        </w:tc>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2016</w:t>
            </w:r>
          </w:p>
        </w:tc>
        <w:tc>
          <w:tcPr>
            <w:tcW w:type="dxa" w:w="18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21.0%</w:t>
            </w:r>
          </w:p>
        </w:tc>
      </w:tr>
      <w:tr>
        <w:trPr>
          <w:cantSplit/>
        </w:trPr>
        <w:tc>
          <w:tcPr>
            <w:tcW w:type="dxa" w:w="1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1998</w:t>
            </w:r>
          </w:p>
        </w:tc>
        <w:tc>
          <w:tcPr>
            <w:tcW w:type="dxa" w:w="1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21.9%</w:t>
            </w:r>
          </w:p>
        </w:tc>
        <w:tc>
          <w:tcPr>
            <w:tcW w:type="dxa" w:w="1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2012</w:t>
            </w:r>
          </w:p>
        </w:tc>
        <w:tc>
          <w:tcPr>
            <w:tcW w:type="dxa" w:w="1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12.4%</w:t>
            </w:r>
          </w:p>
        </w:tc>
        <w:tc>
          <w:tcPr>
            <w:tcW w:type="dxa" w:w="1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
            </w:r>
          </w:p>
        </w:tc>
        <w:tc>
          <w:tcPr>
            <w:tcW w:type="dxa" w:w="186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
            </w:r>
          </w:p>
        </w:tc>
      </w:tr>
      <w:tr>
        <w:trPr>
          <w:cantSplit/>
        </w:trPr>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2007</w:t>
            </w:r>
          </w:p>
        </w:tc>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14.0%</w:t>
            </w:r>
          </w:p>
        </w:tc>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2013</w:t>
            </w:r>
          </w:p>
        </w:tc>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20.5%</w:t>
            </w:r>
          </w:p>
        </w:tc>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
            </w:r>
          </w:p>
        </w:tc>
        <w:tc>
          <w:tcPr>
            <w:tcW w:type="dxa" w:w="18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
            </w:r>
          </w:p>
        </w:tc>
      </w:tr>
    </w:tbl>
    <w:p>
      <w:pPr>
        <w:spacing w:after="200" w:before="60"/>
      </w:pPr>
      <w:r>
        <w:rPr>
          <w:rFonts w:ascii="Arial" w:cs="Arial" w:eastAsia="Arial" w:hAnsi="Arial"/>
          <w:i/>
          <w:iCs/>
          <w:color w:val="5C6B73"/>
          <w:sz w:val="18"/>
          <w:szCs w:val="18"/>
        </w:rPr>
        <w:t xml:space="preserve">Table 5.5: NPT % by year. Years with no drilling reports (1994–96, 1999–2006, 2011) do not appear.</w:t>
      </w:r>
    </w:p>
    <w:p>
      <w:pPr>
        <w:spacing w:after="120" w:line="288"/>
      </w:pPr>
      <w:r>
        <w:rPr>
          <w:rFonts w:ascii="Arial" w:cs="Arial" w:eastAsia="Arial" w:hAnsi="Arial"/>
          <w:color w:val="1B2A33"/>
          <w:sz w:val="21"/>
          <w:szCs w:val="21"/>
        </w:rPr>
        <w:t xml:space="preserve">The 1997 exploration campaign is the outlier at 42.7%. From 2007 to 2016 the rate moved between about 11% and 21% with no clear improving trend; 2009 was the best year at 10.7%.</w:t>
      </w:r>
    </w:p>
    <w:p>
      <w:pPr>
        <w:pStyle w:val="Heading2"/>
        <w:keepNext/>
        <w:spacing w:after="120" w:before="240"/>
      </w:pPr>
      <w:r>
        <w:rPr>
          <w:rFonts w:ascii="Arial" w:cs="Arial" w:eastAsia="Arial" w:hAnsi="Arial"/>
          <w:b/>
          <w:bCs/>
          <w:color w:val="2E86AB"/>
          <w:sz w:val="26"/>
          <w:szCs w:val="26"/>
        </w:rPr>
        <w:t xml:space="preserve">5.6 Modelled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2360"/>
      </w:tblGrid>
      <w:tr>
        <w:trPr>
          <w:tblHeader/>
        </w:trPr>
        <w:tc>
          <w:tcPr>
            <w:tcW w:type="dxa" w:w="240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left"/>
            </w:pPr>
            <w:r>
              <w:rPr>
                <w:rFonts w:ascii="Arial" w:cs="Arial" w:eastAsia="Arial" w:hAnsi="Arial"/>
                <w:b/>
                <w:bCs/>
                <w:color w:val="FFFFFF"/>
                <w:sz w:val="19"/>
                <w:szCs w:val="19"/>
              </w:rPr>
              <w:t xml:space="preserve">Wellbore</w:t>
            </w:r>
          </w:p>
        </w:tc>
        <w:tc>
          <w:tcPr>
            <w:tcW w:type="dxa" w:w="230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right"/>
            </w:pPr>
            <w:r>
              <w:rPr>
                <w:rFonts w:ascii="Arial" w:cs="Arial" w:eastAsia="Arial" w:hAnsi="Arial"/>
                <w:b/>
                <w:bCs/>
                <w:color w:val="FFFFFF"/>
                <w:sz w:val="19"/>
                <w:szCs w:val="19"/>
              </w:rPr>
              <w:t xml:space="preserve">NPT hours</w:t>
            </w:r>
          </w:p>
        </w:tc>
        <w:tc>
          <w:tcPr>
            <w:tcW w:type="dxa" w:w="230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right"/>
            </w:pPr>
            <w:r>
              <w:rPr>
                <w:rFonts w:ascii="Arial" w:cs="Arial" w:eastAsia="Arial" w:hAnsi="Arial"/>
                <w:b/>
                <w:bCs/>
                <w:color w:val="FFFFFF"/>
                <w:sz w:val="19"/>
                <w:szCs w:val="19"/>
              </w:rPr>
              <w:t xml:space="preserve">Modelled cost</w:t>
            </w:r>
          </w:p>
        </w:tc>
        <w:tc>
          <w:tcPr>
            <w:tcW w:type="dxa" w:w="236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right"/>
            </w:pPr>
            <w:r>
              <w:rPr>
                <w:rFonts w:ascii="Arial" w:cs="Arial" w:eastAsia="Arial" w:hAnsi="Arial"/>
                <w:b/>
                <w:bCs/>
                <w:color w:val="FFFFFF"/>
                <w:sz w:val="19"/>
                <w:szCs w:val="19"/>
              </w:rPr>
              <w:t xml:space="preserve">Share of total</w:t>
            </w:r>
          </w:p>
        </w:tc>
      </w:tr>
      <w:tr>
        <w:trPr>
          <w:cantSplit/>
        </w:trPr>
        <w:tc>
          <w:tcPr>
            <w:tcW w:type="dxa" w:w="24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b w:val="false"/>
                <w:bCs w:val="false"/>
                <w:color w:val="1B2A33"/>
                <w:sz w:val="19"/>
                <w:szCs w:val="19"/>
              </w:rPr>
              <w:t xml:space="preserve">19-A</w:t>
            </w:r>
          </w:p>
        </w:tc>
        <w:tc>
          <w:tcPr>
            <w:tcW w:type="dxa" w:w="23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b w:val="false"/>
                <w:bCs w:val="false"/>
                <w:color w:val="1B2A33"/>
                <w:sz w:val="19"/>
                <w:szCs w:val="19"/>
              </w:rPr>
              <w:t xml:space="preserve">994</w:t>
            </w:r>
          </w:p>
        </w:tc>
        <w:tc>
          <w:tcPr>
            <w:tcW w:type="dxa" w:w="23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b w:val="false"/>
                <w:bCs w:val="false"/>
                <w:color w:val="1B2A33"/>
                <w:sz w:val="19"/>
                <w:szCs w:val="19"/>
              </w:rPr>
              <w:t xml:space="preserve">$12.4M</w:t>
            </w:r>
          </w:p>
        </w:tc>
        <w:tc>
          <w:tcPr>
            <w:tcW w:type="dxa" w:w="23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b w:val="false"/>
                <w:bCs w:val="false"/>
                <w:color w:val="1B2A33"/>
                <w:sz w:val="19"/>
                <w:szCs w:val="19"/>
              </w:rPr>
              <w:t xml:space="preserve">12.6%</w:t>
            </w:r>
          </w:p>
        </w:tc>
      </w:tr>
      <w:tr>
        <w:trPr>
          <w:cantSplit/>
        </w:trPr>
        <w:tc>
          <w:tcPr>
            <w:tcW w:type="dxa" w:w="24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b w:val="false"/>
                <w:bCs w:val="false"/>
                <w:color w:val="1B2A33"/>
                <w:sz w:val="19"/>
                <w:szCs w:val="19"/>
              </w:rPr>
              <w:t xml:space="preserve">F-4</w:t>
            </w:r>
          </w:p>
        </w:tc>
        <w:tc>
          <w:tcPr>
            <w:tcW w:type="dxa" w:w="23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b w:val="false"/>
                <w:bCs w:val="false"/>
                <w:color w:val="1B2A33"/>
                <w:sz w:val="19"/>
                <w:szCs w:val="19"/>
              </w:rPr>
              <w:t xml:space="preserve">697</w:t>
            </w:r>
          </w:p>
        </w:tc>
        <w:tc>
          <w:tcPr>
            <w:tcW w:type="dxa" w:w="23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b w:val="false"/>
                <w:bCs w:val="false"/>
                <w:color w:val="1B2A33"/>
                <w:sz w:val="19"/>
                <w:szCs w:val="19"/>
              </w:rPr>
              <w:t xml:space="preserve">$8.7M</w:t>
            </w:r>
          </w:p>
        </w:tc>
        <w:tc>
          <w:tcPr>
            <w:tcW w:type="dxa" w:w="236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b w:val="false"/>
                <w:bCs w:val="false"/>
                <w:color w:val="1B2A33"/>
                <w:sz w:val="19"/>
                <w:szCs w:val="19"/>
              </w:rPr>
              <w:t xml:space="preserve">8.8%</w:t>
            </w:r>
          </w:p>
        </w:tc>
      </w:tr>
      <w:tr>
        <w:trPr>
          <w:cantSplit/>
        </w:trPr>
        <w:tc>
          <w:tcPr>
            <w:tcW w:type="dxa" w:w="24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b w:val="false"/>
                <w:bCs w:val="false"/>
                <w:color w:val="1B2A33"/>
                <w:sz w:val="19"/>
                <w:szCs w:val="19"/>
              </w:rPr>
              <w:t xml:space="preserve">F-12</w:t>
            </w:r>
          </w:p>
        </w:tc>
        <w:tc>
          <w:tcPr>
            <w:tcW w:type="dxa" w:w="23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b w:val="false"/>
                <w:bCs w:val="false"/>
                <w:color w:val="1B2A33"/>
                <w:sz w:val="19"/>
                <w:szCs w:val="19"/>
              </w:rPr>
              <w:t xml:space="preserve">675</w:t>
            </w:r>
          </w:p>
        </w:tc>
        <w:tc>
          <w:tcPr>
            <w:tcW w:type="dxa" w:w="23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b w:val="false"/>
                <w:bCs w:val="false"/>
                <w:color w:val="1B2A33"/>
                <w:sz w:val="19"/>
                <w:szCs w:val="19"/>
              </w:rPr>
              <w:t xml:space="preserve">$8.4M</w:t>
            </w:r>
          </w:p>
        </w:tc>
        <w:tc>
          <w:tcPr>
            <w:tcW w:type="dxa" w:w="23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b w:val="false"/>
                <w:bCs w:val="false"/>
                <w:color w:val="1B2A33"/>
                <w:sz w:val="19"/>
                <w:szCs w:val="19"/>
              </w:rPr>
              <w:t xml:space="preserve">8.6%</w:t>
            </w:r>
          </w:p>
        </w:tc>
      </w:tr>
      <w:tr>
        <w:trPr>
          <w:cantSplit/>
        </w:trPr>
        <w:tc>
          <w:tcPr>
            <w:tcW w:type="dxa" w:w="24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b w:val="false"/>
                <w:bCs w:val="false"/>
                <w:color w:val="1B2A33"/>
                <w:sz w:val="19"/>
                <w:szCs w:val="19"/>
              </w:rPr>
              <w:t xml:space="preserve">19-ST2</w:t>
            </w:r>
          </w:p>
        </w:tc>
        <w:tc>
          <w:tcPr>
            <w:tcW w:type="dxa" w:w="23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b w:val="false"/>
                <w:bCs w:val="false"/>
                <w:color w:val="1B2A33"/>
                <w:sz w:val="19"/>
                <w:szCs w:val="19"/>
              </w:rPr>
              <w:t xml:space="preserve">572</w:t>
            </w:r>
          </w:p>
        </w:tc>
        <w:tc>
          <w:tcPr>
            <w:tcW w:type="dxa" w:w="23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b w:val="false"/>
                <w:bCs w:val="false"/>
                <w:color w:val="1B2A33"/>
                <w:sz w:val="19"/>
                <w:szCs w:val="19"/>
              </w:rPr>
              <w:t xml:space="preserve">$7.1M</w:t>
            </w:r>
          </w:p>
        </w:tc>
        <w:tc>
          <w:tcPr>
            <w:tcW w:type="dxa" w:w="236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b w:val="false"/>
                <w:bCs w:val="false"/>
                <w:color w:val="1B2A33"/>
                <w:sz w:val="19"/>
                <w:szCs w:val="19"/>
              </w:rPr>
              <w:t xml:space="preserve">7.2%</w:t>
            </w:r>
          </w:p>
        </w:tc>
      </w:tr>
      <w:tr>
        <w:trPr>
          <w:cantSplit/>
        </w:trPr>
        <w:tc>
          <w:tcPr>
            <w:tcW w:type="dxa" w:w="24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b w:val="false"/>
                <w:bCs w:val="false"/>
                <w:color w:val="1B2A33"/>
                <w:sz w:val="19"/>
                <w:szCs w:val="19"/>
              </w:rPr>
              <w:t xml:space="preserve">F-15-C</w:t>
            </w:r>
          </w:p>
        </w:tc>
        <w:tc>
          <w:tcPr>
            <w:tcW w:type="dxa" w:w="23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b w:val="false"/>
                <w:bCs w:val="false"/>
                <w:color w:val="1B2A33"/>
                <w:sz w:val="19"/>
                <w:szCs w:val="19"/>
              </w:rPr>
              <w:t xml:space="preserve">505</w:t>
            </w:r>
          </w:p>
        </w:tc>
        <w:tc>
          <w:tcPr>
            <w:tcW w:type="dxa" w:w="23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b w:val="false"/>
                <w:bCs w:val="false"/>
                <w:color w:val="1B2A33"/>
                <w:sz w:val="19"/>
                <w:szCs w:val="19"/>
              </w:rPr>
              <w:t xml:space="preserve">$6.3M</w:t>
            </w:r>
          </w:p>
        </w:tc>
        <w:tc>
          <w:tcPr>
            <w:tcW w:type="dxa" w:w="23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b w:val="false"/>
                <w:bCs w:val="false"/>
                <w:color w:val="1B2A33"/>
                <w:sz w:val="19"/>
                <w:szCs w:val="19"/>
              </w:rPr>
              <w:t xml:space="preserve">6.4%</w:t>
            </w:r>
          </w:p>
        </w:tc>
      </w:tr>
      <w:tr>
        <w:trPr>
          <w:cantSplit/>
        </w:trPr>
        <w:tc>
          <w:tcPr>
            <w:tcW w:type="dxa" w:w="24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b/>
                <w:bCs/>
                <w:color w:val="1B2A33"/>
                <w:sz w:val="19"/>
                <w:szCs w:val="19"/>
              </w:rPr>
              <w:t xml:space="preserve">All 26 wellbores</w:t>
            </w:r>
          </w:p>
        </w:tc>
        <w:tc>
          <w:tcPr>
            <w:tcW w:type="dxa" w:w="23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b/>
                <w:bCs/>
                <w:color w:val="1B2A33"/>
                <w:sz w:val="19"/>
                <w:szCs w:val="19"/>
              </w:rPr>
              <w:t xml:space="preserve">7,888</w:t>
            </w:r>
          </w:p>
        </w:tc>
        <w:tc>
          <w:tcPr>
            <w:tcW w:type="dxa" w:w="23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b/>
                <w:bCs/>
                <w:color w:val="1B2A33"/>
                <w:sz w:val="19"/>
                <w:szCs w:val="19"/>
              </w:rPr>
              <w:t xml:space="preserve">$98.6M</w:t>
            </w:r>
          </w:p>
        </w:tc>
        <w:tc>
          <w:tcPr>
            <w:tcW w:type="dxa" w:w="236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b/>
                <w:bCs/>
                <w:color w:val="1B2A33"/>
                <w:sz w:val="19"/>
                <w:szCs w:val="19"/>
              </w:rPr>
              <w:t xml:space="preserve">100%</w:t>
            </w:r>
          </w:p>
        </w:tc>
      </w:tr>
    </w:tbl>
    <w:p>
      <w:pPr>
        <w:spacing w:after="200" w:before="60"/>
      </w:pPr>
      <w:r>
        <w:rPr>
          <w:rFonts w:ascii="Arial" w:cs="Arial" w:eastAsia="Arial" w:hAnsi="Arial"/>
          <w:i/>
          <w:iCs/>
          <w:color w:val="5C6B73"/>
          <w:sz w:val="18"/>
          <w:szCs w:val="18"/>
        </w:rPr>
        <w:t xml:space="preserve">Table 5.6: Modelled NPT cost = NPT hours x $12,500 per hour. The rate is an assumption (Section 7).</w:t>
      </w:r>
    </w:p>
    <w:p>
      <w:pPr>
        <w:pStyle w:val="Heading2"/>
        <w:keepNext/>
        <w:spacing w:after="120" w:before="240"/>
      </w:pPr>
      <w:r>
        <w:rPr>
          <w:rFonts w:ascii="Arial" w:cs="Arial" w:eastAsia="Arial" w:hAnsi="Arial"/>
          <w:b/>
          <w:bCs/>
          <w:color w:val="2E86AB"/>
          <w:sz w:val="26"/>
          <w:szCs w:val="26"/>
        </w:rPr>
        <w:t xml:space="preserve">5.7 NPT versus production</w:t>
      </w:r>
    </w:p>
    <w:p>
      <w:pPr>
        <w:spacing w:after="120" w:line="288"/>
      </w:pPr>
      <w:r>
        <w:rPr>
          <w:rFonts w:ascii="Arial" w:cs="Arial" w:eastAsia="Arial" w:hAnsi="Arial"/>
          <w:color w:val="1B2A33"/>
          <w:sz w:val="21"/>
          <w:szCs w:val="21"/>
        </w:rPr>
        <w:t xml:space="preserve">Production volumes come from the six wellbores with oil output. F-4 is a pure water injector and is excluded. F-1-C and F-5 also carry some injection rows later in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900"/>
        <w:gridCol w:w="1600"/>
        <w:gridCol w:w="2860"/>
      </w:tblGrid>
      <w:tr>
        <w:trPr>
          <w:tblHeader/>
        </w:trPr>
        <w:tc>
          <w:tcPr>
            <w:tcW w:type="dxa" w:w="150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left"/>
            </w:pPr>
            <w:r>
              <w:rPr>
                <w:rFonts w:ascii="Arial" w:cs="Arial" w:eastAsia="Arial" w:hAnsi="Arial"/>
                <w:b/>
                <w:bCs/>
                <w:color w:val="FFFFFF"/>
                <w:sz w:val="19"/>
                <w:szCs w:val="19"/>
              </w:rPr>
              <w:t xml:space="preserve">Wellbore</w:t>
            </w:r>
          </w:p>
        </w:tc>
        <w:tc>
          <w:tcPr>
            <w:tcW w:type="dxa" w:w="150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right"/>
            </w:pPr>
            <w:r>
              <w:rPr>
                <w:rFonts w:ascii="Arial" w:cs="Arial" w:eastAsia="Arial" w:hAnsi="Arial"/>
                <w:b/>
                <w:bCs/>
                <w:color w:val="FFFFFF"/>
                <w:sz w:val="19"/>
                <w:szCs w:val="19"/>
              </w:rPr>
              <w:t xml:space="preserve">NPT %</w:t>
            </w:r>
          </w:p>
        </w:tc>
        <w:tc>
          <w:tcPr>
            <w:tcW w:type="dxa" w:w="190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right"/>
            </w:pPr>
            <w:r>
              <w:rPr>
                <w:rFonts w:ascii="Arial" w:cs="Arial" w:eastAsia="Arial" w:hAnsi="Arial"/>
                <w:b/>
                <w:bCs/>
                <w:color w:val="FFFFFF"/>
                <w:sz w:val="19"/>
                <w:szCs w:val="19"/>
              </w:rPr>
              <w:t xml:space="preserve">Cum. oil (M bbl)</w:t>
            </w:r>
          </w:p>
        </w:tc>
        <w:tc>
          <w:tcPr>
            <w:tcW w:type="dxa" w:w="160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right"/>
            </w:pPr>
            <w:r>
              <w:rPr>
                <w:rFonts w:ascii="Arial" w:cs="Arial" w:eastAsia="Arial" w:hAnsi="Arial"/>
                <w:b/>
                <w:bCs/>
                <w:color w:val="FFFFFF"/>
                <w:sz w:val="19"/>
                <w:szCs w:val="19"/>
              </w:rPr>
              <w:t xml:space="preserve">NPT hrs</w:t>
            </w:r>
          </w:p>
        </w:tc>
        <w:tc>
          <w:tcPr>
            <w:tcW w:type="dxa" w:w="286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right"/>
            </w:pPr>
            <w:r>
              <w:rPr>
                <w:rFonts w:ascii="Arial" w:cs="Arial" w:eastAsia="Arial" w:hAnsi="Arial"/>
                <w:b/>
                <w:bCs/>
                <w:color w:val="FFFFFF"/>
                <w:sz w:val="19"/>
                <w:szCs w:val="19"/>
              </w:rPr>
              <w:t xml:space="preserve">NPT hrs per 1,000 bbl</w:t>
            </w:r>
          </w:p>
        </w:tc>
      </w:tr>
      <w:tr>
        <w:trPr>
          <w:cantSplit/>
        </w:trPr>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F-12</w:t>
            </w:r>
          </w:p>
        </w:tc>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17.9%</w:t>
            </w:r>
          </w:p>
        </w:tc>
        <w:tc>
          <w:tcPr>
            <w:tcW w:type="dxa" w:w="19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28.8</w:t>
            </w:r>
          </w:p>
        </w:tc>
        <w:tc>
          <w:tcPr>
            <w:tcW w:type="dxa" w:w="16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675</w:t>
            </w:r>
          </w:p>
        </w:tc>
        <w:tc>
          <w:tcPr>
            <w:tcW w:type="dxa" w:w="28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0.023</w:t>
            </w:r>
          </w:p>
        </w:tc>
      </w:tr>
      <w:tr>
        <w:trPr>
          <w:cantSplit/>
        </w:trPr>
        <w:tc>
          <w:tcPr>
            <w:tcW w:type="dxa" w:w="1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F-14</w:t>
            </w:r>
          </w:p>
        </w:tc>
        <w:tc>
          <w:tcPr>
            <w:tcW w:type="dxa" w:w="1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13.0%</w:t>
            </w:r>
          </w:p>
        </w:tc>
        <w:tc>
          <w:tcPr>
            <w:tcW w:type="dxa" w:w="19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24.8</w:t>
            </w:r>
          </w:p>
        </w:tc>
        <w:tc>
          <w:tcPr>
            <w:tcW w:type="dxa" w:w="16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383</w:t>
            </w:r>
          </w:p>
        </w:tc>
        <w:tc>
          <w:tcPr>
            <w:tcW w:type="dxa" w:w="286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0.015</w:t>
            </w:r>
          </w:p>
        </w:tc>
      </w:tr>
      <w:tr>
        <w:trPr>
          <w:cantSplit/>
        </w:trPr>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F-11</w:t>
            </w:r>
          </w:p>
        </w:tc>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56.2%</w:t>
            </w:r>
          </w:p>
        </w:tc>
        <w:tc>
          <w:tcPr>
            <w:tcW w:type="dxa" w:w="19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7.2</w:t>
            </w:r>
          </w:p>
        </w:tc>
        <w:tc>
          <w:tcPr>
            <w:tcW w:type="dxa" w:w="16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219</w:t>
            </w:r>
          </w:p>
        </w:tc>
        <w:tc>
          <w:tcPr>
            <w:tcW w:type="dxa" w:w="28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0.030</w:t>
            </w:r>
          </w:p>
        </w:tc>
      </w:tr>
      <w:tr>
        <w:trPr>
          <w:cantSplit/>
        </w:trPr>
        <w:tc>
          <w:tcPr>
            <w:tcW w:type="dxa" w:w="1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F-1-C</w:t>
            </w:r>
          </w:p>
        </w:tc>
        <w:tc>
          <w:tcPr>
            <w:tcW w:type="dxa" w:w="1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19.8%</w:t>
            </w:r>
          </w:p>
        </w:tc>
        <w:tc>
          <w:tcPr>
            <w:tcW w:type="dxa" w:w="19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1.1</w:t>
            </w:r>
          </w:p>
        </w:tc>
        <w:tc>
          <w:tcPr>
            <w:tcW w:type="dxa" w:w="16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440</w:t>
            </w:r>
          </w:p>
        </w:tc>
        <w:tc>
          <w:tcPr>
            <w:tcW w:type="dxa" w:w="286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0.395</w:t>
            </w:r>
          </w:p>
        </w:tc>
      </w:tr>
      <w:tr>
        <w:trPr>
          <w:cantSplit/>
        </w:trPr>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F-15-D</w:t>
            </w:r>
          </w:p>
        </w:tc>
        <w:tc>
          <w:tcPr>
            <w:tcW w:type="dxa" w:w="15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19.3%</w:t>
            </w:r>
          </w:p>
        </w:tc>
        <w:tc>
          <w:tcPr>
            <w:tcW w:type="dxa" w:w="19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0.93</w:t>
            </w:r>
          </w:p>
        </w:tc>
        <w:tc>
          <w:tcPr>
            <w:tcW w:type="dxa" w:w="16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435</w:t>
            </w:r>
          </w:p>
        </w:tc>
        <w:tc>
          <w:tcPr>
            <w:tcW w:type="dxa" w:w="28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right"/>
            </w:pPr>
            <w:r>
              <w:rPr>
                <w:rFonts w:ascii="Arial" w:cs="Arial" w:eastAsia="Arial" w:hAnsi="Arial"/>
                <w:color w:val="1B2A33"/>
                <w:sz w:val="19"/>
                <w:szCs w:val="19"/>
              </w:rPr>
              <w:t xml:space="preserve">0.466</w:t>
            </w:r>
          </w:p>
        </w:tc>
      </w:tr>
      <w:tr>
        <w:trPr>
          <w:cantSplit/>
        </w:trPr>
        <w:tc>
          <w:tcPr>
            <w:tcW w:type="dxa" w:w="1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F-5</w:t>
            </w:r>
          </w:p>
        </w:tc>
        <w:tc>
          <w:tcPr>
            <w:tcW w:type="dxa" w:w="15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10.1%</w:t>
            </w:r>
          </w:p>
        </w:tc>
        <w:tc>
          <w:tcPr>
            <w:tcW w:type="dxa" w:w="19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0.24</w:t>
            </w:r>
          </w:p>
        </w:tc>
        <w:tc>
          <w:tcPr>
            <w:tcW w:type="dxa" w:w="16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219</w:t>
            </w:r>
          </w:p>
        </w:tc>
        <w:tc>
          <w:tcPr>
            <w:tcW w:type="dxa" w:w="286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right"/>
            </w:pPr>
            <w:r>
              <w:rPr>
                <w:rFonts w:ascii="Arial" w:cs="Arial" w:eastAsia="Arial" w:hAnsi="Arial"/>
                <w:color w:val="1B2A33"/>
                <w:sz w:val="19"/>
                <w:szCs w:val="19"/>
              </w:rPr>
              <w:t xml:space="preserve">0.907</w:t>
            </w:r>
          </w:p>
        </w:tc>
      </w:tr>
    </w:tbl>
    <w:p>
      <w:pPr>
        <w:spacing w:after="200" w:before="60"/>
      </w:pPr>
      <w:r>
        <w:rPr>
          <w:rFonts w:ascii="Arial" w:cs="Arial" w:eastAsia="Arial" w:hAnsi="Arial"/>
          <w:i/>
          <w:iCs/>
          <w:color w:val="5C6B73"/>
          <w:sz w:val="18"/>
          <w:szCs w:val="18"/>
        </w:rPr>
        <w:t xml:space="preserve">Table 5.7: Oil-producing wellbores. “M bbl” here means million barrels.</w:t>
      </w:r>
    </w:p>
    <w:p>
      <w:pPr>
        <w:pStyle w:val="ListParagraph"/>
        <w:numPr>
          <w:ilvl w:val="0"/>
          <w:numId w:val="2"/>
        </w:numPr>
        <w:spacing w:after="70" w:line="276"/>
      </w:pPr>
      <w:r>
        <w:rPr>
          <w:rFonts w:ascii="Arial" w:cs="Arial" w:eastAsia="Arial" w:hAnsi="Arial"/>
          <w:color w:val="1B2A33"/>
          <w:sz w:val="21"/>
          <w:szCs w:val="21"/>
        </w:rPr>
        <w:t xml:space="preserve">F-14 was the most efficient producer at 0.015 NPT hours per thousand barrels, with 13.0% NPT.</w:t>
      </w:r>
    </w:p>
    <w:p>
      <w:pPr>
        <w:pStyle w:val="ListParagraph"/>
        <w:numPr>
          <w:ilvl w:val="0"/>
          <w:numId w:val="2"/>
        </w:numPr>
        <w:spacing w:after="70" w:line="276"/>
      </w:pPr>
      <w:r>
        <w:rPr>
          <w:rFonts w:ascii="Arial" w:cs="Arial" w:eastAsia="Arial" w:hAnsi="Arial"/>
          <w:color w:val="1B2A33"/>
          <w:sz w:val="21"/>
          <w:szCs w:val="21"/>
        </w:rPr>
        <w:t xml:space="preserve">F-12 produced the most oil (28.8 million barrels) at 17.9% NPT.</w:t>
      </w:r>
    </w:p>
    <w:p>
      <w:pPr>
        <w:pStyle w:val="ListParagraph"/>
        <w:numPr>
          <w:ilvl w:val="0"/>
          <w:numId w:val="2"/>
        </w:numPr>
        <w:spacing w:after="70" w:line="276"/>
      </w:pPr>
      <w:r>
        <w:rPr>
          <w:rFonts w:ascii="Arial" w:cs="Arial" w:eastAsia="Arial" w:hAnsi="Arial"/>
          <w:color w:val="1B2A33"/>
          <w:sz w:val="21"/>
          <w:szCs w:val="21"/>
        </w:rPr>
        <w:t xml:space="preserve">F-11 lost 56.2% of its hours to NPT and still produced 7.2 million barrels.</w:t>
      </w:r>
    </w:p>
    <w:p>
      <w:pPr>
        <w:pStyle w:val="ListParagraph"/>
        <w:numPr>
          <w:ilvl w:val="0"/>
          <w:numId w:val="2"/>
        </w:numPr>
        <w:spacing w:after="70" w:line="276"/>
      </w:pPr>
      <w:r>
        <w:rPr>
          <w:rFonts w:ascii="Arial" w:cs="Arial" w:eastAsia="Arial" w:hAnsi="Arial"/>
          <w:color w:val="1B2A33"/>
          <w:sz w:val="21"/>
          <w:szCs w:val="21"/>
        </w:rPr>
        <w:t xml:space="preserve">F-5 had low NPT (10.1%) but only 0.24 million barrels, the worst ratio. F-1-C and F-15-D are also high on this ratio. Hours per barrel is NPT hours divided by volume, so low-volume wells score badly almost by construction.</w:t>
      </w:r>
    </w:p>
    <w:p>
      <w:pPr>
        <w:spacing w:after="120" w:line="288"/>
      </w:pPr>
      <w:r>
        <w:rPr>
          <w:rFonts w:ascii="Arial" w:cs="Arial" w:eastAsia="Arial" w:hAnsi="Arial"/>
          <w:color w:val="1B2A33"/>
          <w:sz w:val="21"/>
          <w:szCs w:val="21"/>
        </w:rPr>
        <w:t xml:space="preserve">With only six wells, and F-11 the only high-NPT well among them, this supports a modest statement: in this field, NPT rate did not line up with output. It cannot show that NPT has no effect on production.</w:t>
      </w:r>
    </w:p>
    <w:p>
      <w:r>
        <w:br w:type="page"/>
      </w:r>
    </w:p>
    <w:p>
      <w:pPr>
        <w:pStyle w:val="Heading1"/>
        <w:keepNext/>
        <w:spacing w:after="160" w:before="360"/>
      </w:pPr>
      <w:r>
        <w:rPr>
          <w:rFonts w:ascii="Arial" w:cs="Arial" w:eastAsia="Arial" w:hAnsi="Arial"/>
          <w:b/>
          <w:bCs/>
          <w:color w:val="1B2A33"/>
          <w:sz w:val="32"/>
          <w:szCs w:val="32"/>
        </w:rPr>
        <w:t xml:space="preserve">6. The Power BI Report</w:t>
      </w:r>
    </w:p>
    <w:p>
      <w:pPr>
        <w:spacing w:after="120" w:line="288"/>
      </w:pPr>
      <w:r>
        <w:rPr>
          <w:rFonts w:ascii="Arial" w:cs="Arial" w:eastAsia="Arial" w:hAnsi="Arial"/>
          <w:color w:val="1B2A33"/>
          <w:sz w:val="21"/>
          <w:szCs w:val="21"/>
        </w:rPr>
        <w:t xml:space="preserve">The report is built on the star schema and has five pages that share a header, a navigation bar, a blue/orange/slate palette and a rule that blue always means development and orange exploration.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860"/>
      </w:tblGrid>
      <w:tr>
        <w:trPr>
          <w:tblHeader/>
        </w:trPr>
        <w:tc>
          <w:tcPr>
            <w:tcW w:type="dxa" w:w="190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left"/>
            </w:pPr>
            <w:r>
              <w:rPr>
                <w:rFonts w:ascii="Arial" w:cs="Arial" w:eastAsia="Arial" w:hAnsi="Arial"/>
                <w:b/>
                <w:bCs/>
                <w:color w:val="FFFFFF"/>
                <w:sz w:val="19"/>
                <w:szCs w:val="19"/>
              </w:rPr>
              <w:t xml:space="preserve">Page</w:t>
            </w:r>
          </w:p>
        </w:tc>
        <w:tc>
          <w:tcPr>
            <w:tcW w:type="dxa" w:w="360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left"/>
            </w:pPr>
            <w:r>
              <w:rPr>
                <w:rFonts w:ascii="Arial" w:cs="Arial" w:eastAsia="Arial" w:hAnsi="Arial"/>
                <w:b/>
                <w:bCs/>
                <w:color w:val="FFFFFF"/>
                <w:sz w:val="19"/>
                <w:szCs w:val="19"/>
              </w:rPr>
              <w:t xml:space="preserve">Visuals</w:t>
            </w:r>
          </w:p>
        </w:tc>
        <w:tc>
          <w:tcPr>
            <w:tcW w:type="dxa" w:w="386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left"/>
            </w:pPr>
            <w:r>
              <w:rPr>
                <w:rFonts w:ascii="Arial" w:cs="Arial" w:eastAsia="Arial" w:hAnsi="Arial"/>
                <w:b/>
                <w:bCs/>
                <w:color w:val="FFFFFF"/>
                <w:sz w:val="19"/>
                <w:szCs w:val="19"/>
              </w:rPr>
              <w:t xml:space="preserve">Message</w:t>
            </w:r>
          </w:p>
        </w:tc>
      </w:tr>
      <w:tr>
        <w:trPr>
          <w:cantSplit/>
        </w:trPr>
        <w:tc>
          <w:tcPr>
            <w:tcW w:type="dxa" w:w="19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Headline</w:t>
            </w:r>
          </w:p>
        </w:tc>
        <w:tc>
          <w:tcPr>
            <w:tcW w:type="dxa" w:w="36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KPI cards (NPT %, total hours, NPT hours, NPT cost); hours-by-category donut with total in the centre; treemap of NPT by category; gauge against a 10% reference; annual trend line with a 20% average line</w:t>
            </w:r>
          </w:p>
        </w:tc>
        <w:tc>
          <w:tcPr>
            <w:tcW w:type="dxa" w:w="38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One in five rig hours was non-productive</w:t>
            </w:r>
          </w:p>
        </w:tc>
      </w:tr>
      <w:tr>
        <w:trPr>
          <w:cantSplit/>
        </w:trPr>
        <w:tc>
          <w:tcPr>
            <w:tcW w:type="dxa" w:w="19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Pareto</w:t>
            </w:r>
          </w:p>
        </w:tc>
        <w:tc>
          <w:tcPr>
            <w:tcW w:type="dxa" w:w="36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Column-and-line Pareto of NPT hours with cumulative %; top-1, top-2 and top-5 share cards; category table</w:t>
            </w:r>
          </w:p>
        </w:tc>
        <w:tc>
          <w:tcPr>
            <w:tcW w:type="dxa" w:w="386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Two categories own 62% of NPT</w:t>
            </w:r>
          </w:p>
        </w:tc>
      </w:tr>
      <w:tr>
        <w:trPr>
          <w:cantSplit/>
        </w:trPr>
        <w:tc>
          <w:tcPr>
            <w:tcW w:type="dxa" w:w="19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Wellbore</w:t>
            </w:r>
          </w:p>
        </w:tc>
        <w:tc>
          <w:tcPr>
            <w:tcW w:type="dxa" w:w="36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Ranked bar of NPT % by wellbore coloured by well type; parent-well and exploration slicers; worst / best NPT cards; sentence tooltips</w:t>
            </w:r>
          </w:p>
        </w:tc>
        <w:tc>
          <w:tcPr>
            <w:tcW w:type="dxa" w:w="38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A few short and exploratory wells have the worst rates</w:t>
            </w:r>
          </w:p>
        </w:tc>
      </w:tr>
      <w:tr>
        <w:trPr>
          <w:cantSplit/>
        </w:trPr>
        <w:tc>
          <w:tcPr>
            <w:tcW w:type="dxa" w:w="19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Cost</w:t>
            </w:r>
          </w:p>
        </w:tc>
        <w:tc>
          <w:tcPr>
            <w:tcW w:type="dxa" w:w="36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Bar of modelled NPT cost by wellbore; total, rig-rate and costliest-well cards</w:t>
            </w:r>
          </w:p>
        </w:tc>
        <w:tc>
          <w:tcPr>
            <w:tcW w:type="dxa" w:w="386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About $98.6M of modelled cost, concentrated in a few wells</w:t>
            </w:r>
          </w:p>
        </w:tc>
      </w:tr>
      <w:tr>
        <w:trPr>
          <w:cantSplit/>
        </w:trPr>
        <w:tc>
          <w:tcPr>
            <w:tcW w:type="dxa" w:w="19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NPT vs Production</w:t>
            </w:r>
          </w:p>
        </w:tc>
        <w:tc>
          <w:tcPr>
            <w:tcW w:type="dxa" w:w="36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Scatter of NPT % against cumulative oil, bubble size = cost, oil producers only; findings text</w:t>
            </w:r>
          </w:p>
        </w:tc>
        <w:tc>
          <w:tcPr>
            <w:tcW w:type="dxa" w:w="38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High NPT did not predict low output (small sample)</w:t>
            </w:r>
          </w:p>
        </w:tc>
      </w:tr>
    </w:tbl>
    <w:p>
      <w:pPr>
        <w:spacing w:after="160"/>
      </w:pPr>
    </w:p>
    <w:p>
      <w:pPr>
        <w:spacing w:after="120" w:line="288"/>
      </w:pPr>
      <w:r>
        <w:rPr>
          <w:rFonts w:ascii="Arial" w:cs="Arial" w:eastAsia="Arial" w:hAnsi="Arial"/>
          <w:color w:val="1B2A33"/>
          <w:sz w:val="21"/>
          <w:szCs w:val="21"/>
        </w:rPr>
        <w:t xml:space="preserve">Tooltips use Power BI’s sentence format so a hover reads as a plain sentence, for example “Wellbore F-12 ran at 17.9% NPT and produced 28.8M bbl”. The .pbix file embeds the imported data, so it opens anywhere, but Refresh only works on a machine that can reach the local PostgreSQL server.</w:t>
      </w:r>
    </w:p>
    <w:p>
      <w:pPr>
        <w:spacing w:after="200" w:before="60"/>
      </w:pPr>
      <w:r>
        <w:rPr>
          <w:rFonts w:ascii="Arial" w:cs="Arial" w:eastAsia="Arial" w:hAnsi="Arial"/>
          <w:i/>
          <w:iCs/>
          <w:color w:val="5C6B73"/>
          <w:sz w:val="18"/>
          <w:szCs w:val="18"/>
        </w:rPr>
        <w:t xml:space="preserve">Screenshots of each page can be exported from Power BI Desktop (File &gt; Export &gt; PDF) and inserted here.</w:t>
      </w:r>
    </w:p>
    <w:p>
      <w:r>
        <w:br w:type="page"/>
      </w:r>
    </w:p>
    <w:p>
      <w:pPr>
        <w:pStyle w:val="Heading1"/>
        <w:keepNext/>
        <w:spacing w:after="160" w:before="360"/>
      </w:pPr>
      <w:r>
        <w:rPr>
          <w:rFonts w:ascii="Arial" w:cs="Arial" w:eastAsia="Arial" w:hAnsi="Arial"/>
          <w:b/>
          <w:bCs/>
          <w:color w:val="1B2A33"/>
          <w:sz w:val="32"/>
          <w:szCs w:val="32"/>
        </w:rPr>
        <w:t xml:space="preserve">7. Limitations and Assumptions</w:t>
      </w:r>
    </w:p>
    <w:p>
      <w:pPr>
        <w:pStyle w:val="ListParagraph"/>
        <w:numPr>
          <w:ilvl w:val="0"/>
          <w:numId w:val="5"/>
        </w:numPr>
        <w:spacing w:after="80" w:line="276"/>
      </w:pPr>
      <w:r>
        <w:rPr>
          <w:rFonts w:ascii="Arial" w:cs="Arial" w:eastAsia="Arial" w:hAnsi="Arial"/>
          <w:b/>
          <w:bCs/>
          <w:color w:val="1B2A33"/>
          <w:sz w:val="21"/>
          <w:szCs w:val="21"/>
        </w:rPr>
        <w:t xml:space="preserve">The cost rate is an assumption. </w:t>
      </w:r>
      <w:r>
        <w:rPr>
          <w:rFonts w:ascii="Arial" w:cs="Arial" w:eastAsia="Arial" w:hAnsi="Arial"/>
          <w:color w:val="1B2A33"/>
          <w:sz w:val="21"/>
          <w:szCs w:val="21"/>
        </w:rPr>
        <w:t xml:space="preserve">The $12,500 per hour used for every NPT hour is hard-coded in the SQL (v_npt_cost) and in the Power BI measure. No source for it is recorded in the repository, and the README describes a different method (published North Sea day rates with a spread multiplier) that the code does not implement. Treat the dollar figures as indicative; the ranking of categories and wells is the durable result. This should be reconciled before the cost figures are quoted externally.</w:t>
      </w:r>
    </w:p>
    <w:p>
      <w:pPr>
        <w:pStyle w:val="ListParagraph"/>
        <w:numPr>
          <w:ilvl w:val="0"/>
          <w:numId w:val="5"/>
        </w:numPr>
        <w:spacing w:after="80" w:line="276"/>
      </w:pPr>
      <w:r>
        <w:rPr>
          <w:rFonts w:ascii="Arial" w:cs="Arial" w:eastAsia="Arial" w:hAnsi="Arial"/>
          <w:b/>
          <w:bCs/>
          <w:color w:val="1B2A33"/>
          <w:sz w:val="21"/>
          <w:szCs w:val="21"/>
        </w:rPr>
        <w:t xml:space="preserve">Two NPT % definitions exist. </w:t>
      </w:r>
      <w:r>
        <w:rPr>
          <w:rFonts w:ascii="Arial" w:cs="Arial" w:eastAsia="Arial" w:hAnsi="Arial"/>
          <w:color w:val="1B2A33"/>
          <w:sz w:val="21"/>
          <w:szCs w:val="21"/>
        </w:rPr>
        <w:t xml:space="preserve">The report and Power BI divide by total logged hours (20.0% field-wide). The SQL view v_npt_by_wellbore divides by hours excluding rig moves (20.5% field-wide), which is why some earlier figures (for example 19-A at 41.0% and F-14 at 13.3%) are slightly higher than those here (38.4% and 13.0%). Standardising the view on one definition is a pending clean-up.</w:t>
      </w:r>
    </w:p>
    <w:p>
      <w:pPr>
        <w:pStyle w:val="ListParagraph"/>
        <w:numPr>
          <w:ilvl w:val="0"/>
          <w:numId w:val="5"/>
        </w:numPr>
        <w:spacing w:after="80" w:line="276"/>
      </w:pPr>
      <w:r>
        <w:rPr>
          <w:rFonts w:ascii="Arial" w:cs="Arial" w:eastAsia="Arial" w:hAnsi="Arial"/>
          <w:b/>
          <w:bCs/>
          <w:color w:val="1B2A33"/>
          <w:sz w:val="21"/>
          <w:szCs w:val="21"/>
        </w:rPr>
        <w:t xml:space="preserve">Small production sample. </w:t>
      </w:r>
      <w:r>
        <w:rPr>
          <w:rFonts w:ascii="Arial" w:cs="Arial" w:eastAsia="Arial" w:hAnsi="Arial"/>
          <w:color w:val="1B2A33"/>
          <w:sz w:val="21"/>
          <w:szCs w:val="21"/>
        </w:rPr>
        <w:t xml:space="preserve">Six wells have oil data. The NPT-versus-production comparison is descriptive and cannot support a statistical claim or any statement about cause.</w:t>
      </w:r>
    </w:p>
    <w:p>
      <w:pPr>
        <w:pStyle w:val="ListParagraph"/>
        <w:numPr>
          <w:ilvl w:val="0"/>
          <w:numId w:val="5"/>
        </w:numPr>
        <w:spacing w:after="80" w:line="276"/>
      </w:pPr>
      <w:r>
        <w:rPr>
          <w:rFonts w:ascii="Arial" w:cs="Arial" w:eastAsia="Arial" w:hAnsi="Arial"/>
          <w:b/>
          <w:bCs/>
          <w:color w:val="1B2A33"/>
          <w:sz w:val="21"/>
          <w:szCs w:val="21"/>
        </w:rPr>
        <w:t xml:space="preserve">Classification involves judgement. </w:t>
      </w:r>
      <w:r>
        <w:rPr>
          <w:rFonts w:ascii="Arial" w:cs="Arial" w:eastAsia="Arial" w:hAnsi="Arial"/>
          <w:color w:val="1B2A33"/>
          <w:sz w:val="21"/>
          <w:szCs w:val="21"/>
        </w:rPr>
        <w:t xml:space="preserve">Distinguishing planned from corrective work depends on narrative text. The audit quantifies the uncertainty (about ±0.2 percentage points on the headline) but cannot remove it. The manual review was done by one reviewer.</w:t>
      </w:r>
    </w:p>
    <w:p>
      <w:pPr>
        <w:pStyle w:val="ListParagraph"/>
        <w:numPr>
          <w:ilvl w:val="0"/>
          <w:numId w:val="5"/>
        </w:numPr>
        <w:spacing w:after="80" w:line="276"/>
      </w:pPr>
      <w:r>
        <w:rPr>
          <w:rFonts w:ascii="Arial" w:cs="Arial" w:eastAsia="Arial" w:hAnsi="Arial"/>
          <w:b/>
          <w:bCs/>
          <w:color w:val="1B2A33"/>
          <w:sz w:val="21"/>
          <w:szCs w:val="21"/>
        </w:rPr>
        <w:t xml:space="preserve">Uneven time coverage. </w:t>
      </w:r>
      <w:r>
        <w:rPr>
          <w:rFonts w:ascii="Arial" w:cs="Arial" w:eastAsia="Arial" w:hAnsi="Arial"/>
          <w:color w:val="1B2A33"/>
          <w:sz w:val="21"/>
          <w:szCs w:val="21"/>
        </w:rPr>
        <w:t xml:space="preserve">Drilling reports cover 1992–93, 1997–98 and 2007–2016 with gaps. Production data covers only 2007–2016 and 7 wellbores. Year-over-year comparisons mix very different campaigns.</w:t>
      </w:r>
    </w:p>
    <w:p>
      <w:pPr>
        <w:pStyle w:val="ListParagraph"/>
        <w:numPr>
          <w:ilvl w:val="0"/>
          <w:numId w:val="5"/>
        </w:numPr>
        <w:spacing w:after="80" w:line="276"/>
      </w:pPr>
      <w:r>
        <w:rPr>
          <w:rFonts w:ascii="Arial" w:cs="Arial" w:eastAsia="Arial" w:hAnsi="Arial"/>
          <w:b/>
          <w:bCs/>
          <w:color w:val="1B2A33"/>
          <w:sz w:val="21"/>
          <w:szCs w:val="21"/>
        </w:rPr>
        <w:t xml:space="preserve">Percentages on short wells are volatile. </w:t>
      </w:r>
      <w:r>
        <w:rPr>
          <w:rFonts w:ascii="Arial" w:cs="Arial" w:eastAsia="Arial" w:hAnsi="Arial"/>
          <w:color w:val="1B2A33"/>
          <w:sz w:val="21"/>
          <w:szCs w:val="21"/>
        </w:rPr>
        <w:t xml:space="preserve">Wells such as 19-B and F-11 have under 650 hours, so their rates swing widely. Read them together with absolute hours.</w:t>
      </w:r>
    </w:p>
    <w:p>
      <w:pPr>
        <w:pStyle w:val="ListParagraph"/>
        <w:numPr>
          <w:ilvl w:val="0"/>
          <w:numId w:val="5"/>
        </w:numPr>
        <w:spacing w:after="80" w:line="276"/>
      </w:pPr>
      <w:r>
        <w:rPr>
          <w:rFonts w:ascii="Arial" w:cs="Arial" w:eastAsia="Arial" w:hAnsi="Arial"/>
          <w:b/>
          <w:bCs/>
          <w:color w:val="1B2A33"/>
          <w:sz w:val="21"/>
          <w:szCs w:val="21"/>
        </w:rPr>
        <w:t xml:space="preserve">Well identity is taken from file names. </w:t>
      </w:r>
      <w:r>
        <w:rPr>
          <w:rFonts w:ascii="Arial" w:cs="Arial" w:eastAsia="Arial" w:hAnsi="Arial"/>
          <w:color w:val="1B2A33"/>
          <w:sz w:val="21"/>
          <w:szCs w:val="21"/>
        </w:rPr>
        <w:t xml:space="preserve">Rig-move days can be split across two well files, so a few hours may sit on the neighbouring wellbore.</w:t>
      </w:r>
    </w:p>
    <w:p>
      <w:pPr>
        <w:pStyle w:val="ListParagraph"/>
        <w:numPr>
          <w:ilvl w:val="0"/>
          <w:numId w:val="5"/>
        </w:numPr>
        <w:spacing w:after="80" w:line="276"/>
      </w:pPr>
      <w:r>
        <w:rPr>
          <w:rFonts w:ascii="Arial" w:cs="Arial" w:eastAsia="Arial" w:hAnsi="Arial"/>
          <w:b/>
          <w:bCs/>
          <w:color w:val="1B2A33"/>
          <w:sz w:val="21"/>
          <w:szCs w:val="21"/>
        </w:rPr>
        <w:t xml:space="preserve">Production allocation. </w:t>
      </w:r>
      <w:r>
        <w:rPr>
          <w:rFonts w:ascii="Arial" w:cs="Arial" w:eastAsia="Arial" w:hAnsi="Arial"/>
          <w:color w:val="1B2A33"/>
          <w:sz w:val="21"/>
          <w:szCs w:val="21"/>
        </w:rPr>
        <w:t xml:space="preserve">Volumes are the dataset’s allocated figures. Gaps of up to 85 days exist on two wells and were not interpolated.</w:t>
      </w:r>
    </w:p>
    <w:p>
      <w:r>
        <w:br w:type="page"/>
      </w:r>
    </w:p>
    <w:p>
      <w:pPr>
        <w:pStyle w:val="Heading1"/>
        <w:keepNext/>
        <w:spacing w:after="160" w:before="360"/>
      </w:pPr>
      <w:r>
        <w:rPr>
          <w:rFonts w:ascii="Arial" w:cs="Arial" w:eastAsia="Arial" w:hAnsi="Arial"/>
          <w:b/>
          <w:bCs/>
          <w:color w:val="1B2A33"/>
          <w:sz w:val="32"/>
          <w:szCs w:val="32"/>
        </w:rPr>
        <w:t xml:space="preserve">8. Conclusions and Recommendations</w:t>
      </w:r>
    </w:p>
    <w:p>
      <w:pPr>
        <w:pStyle w:val="Heading2"/>
        <w:keepNext/>
        <w:spacing w:after="120" w:before="240"/>
      </w:pPr>
      <w:r>
        <w:rPr>
          <w:rFonts w:ascii="Arial" w:cs="Arial" w:eastAsia="Arial" w:hAnsi="Arial"/>
          <w:b/>
          <w:bCs/>
          <w:color w:val="2E86AB"/>
          <w:sz w:val="26"/>
          <w:szCs w:val="26"/>
        </w:rPr>
        <w:t xml:space="preserve">8.1 Conclusions</w:t>
      </w:r>
    </w:p>
    <w:p>
      <w:pPr>
        <w:pStyle w:val="ListParagraph"/>
        <w:numPr>
          <w:ilvl w:val="0"/>
          <w:numId w:val="2"/>
        </w:numPr>
        <w:spacing w:after="70" w:line="276"/>
      </w:pPr>
      <w:r>
        <w:rPr>
          <w:rFonts w:ascii="Arial" w:cs="Arial" w:eastAsia="Arial" w:hAnsi="Arial"/>
          <w:color w:val="1B2A33"/>
          <w:sz w:val="21"/>
          <w:szCs w:val="21"/>
        </w:rPr>
        <w:t xml:space="preserve">About 20% of logged rig time was non-productive, roughly 7,900 hours.</w:t>
      </w:r>
    </w:p>
    <w:p>
      <w:pPr>
        <w:pStyle w:val="ListParagraph"/>
        <w:numPr>
          <w:ilvl w:val="0"/>
          <w:numId w:val="2"/>
        </w:numPr>
        <w:spacing w:after="70" w:line="276"/>
      </w:pPr>
      <w:r>
        <w:rPr>
          <w:rFonts w:ascii="Arial" w:cs="Arial" w:eastAsia="Arial" w:hAnsi="Arial"/>
          <w:color w:val="1B2A33"/>
          <w:sz w:val="21"/>
          <w:szCs w:val="21"/>
        </w:rPr>
        <w:t xml:space="preserve">Most NPT had causes that sit largely outside the well: equipment maintenance and weather explain 61% of it.</w:t>
      </w:r>
    </w:p>
    <w:p>
      <w:pPr>
        <w:pStyle w:val="ListParagraph"/>
        <w:numPr>
          <w:ilvl w:val="0"/>
          <w:numId w:val="2"/>
        </w:numPr>
        <w:spacing w:after="70" w:line="276"/>
      </w:pPr>
      <w:r>
        <w:rPr>
          <w:rFonts w:ascii="Arial" w:cs="Arial" w:eastAsia="Arial" w:hAnsi="Arial"/>
          <w:color w:val="1B2A33"/>
          <w:sz w:val="21"/>
          <w:szCs w:val="21"/>
        </w:rPr>
        <w:t xml:space="preserve">NPT was concentrated: 13 wells carry 82% of the hours, and the extreme percentages belong to a few short or exploratory wellbores.</w:t>
      </w:r>
    </w:p>
    <w:p>
      <w:pPr>
        <w:pStyle w:val="ListParagraph"/>
        <w:numPr>
          <w:ilvl w:val="0"/>
          <w:numId w:val="2"/>
        </w:numPr>
        <w:spacing w:after="70" w:line="276"/>
      </w:pPr>
      <w:r>
        <w:rPr>
          <w:rFonts w:ascii="Arial" w:cs="Arial" w:eastAsia="Arial" w:hAnsi="Arial"/>
          <w:color w:val="1B2A33"/>
          <w:sz w:val="21"/>
          <w:szCs w:val="21"/>
        </w:rPr>
        <w:t xml:space="preserve">In this field and this small sample, NPT rate did not track production output.</w:t>
      </w:r>
    </w:p>
    <w:p>
      <w:pPr>
        <w:pStyle w:val="ListParagraph"/>
        <w:numPr>
          <w:ilvl w:val="0"/>
          <w:numId w:val="2"/>
        </w:numPr>
        <w:spacing w:after="70" w:line="276"/>
      </w:pPr>
      <w:r>
        <w:rPr>
          <w:rFonts w:ascii="Arial" w:cs="Arial" w:eastAsia="Arial" w:hAnsi="Arial"/>
          <w:color w:val="1B2A33"/>
          <w:sz w:val="21"/>
          <w:szCs w:val="21"/>
        </w:rPr>
        <w:t xml:space="preserve">The 20.0% figure rests on an audited classification, with a stated error rate and a stated residual uncertainty.</w:t>
      </w:r>
    </w:p>
    <w:p>
      <w:pPr>
        <w:pStyle w:val="Heading2"/>
        <w:keepNext/>
        <w:spacing w:after="120" w:before="240"/>
      </w:pPr>
      <w:r>
        <w:rPr>
          <w:rFonts w:ascii="Arial" w:cs="Arial" w:eastAsia="Arial" w:hAnsi="Arial"/>
          <w:b/>
          <w:bCs/>
          <w:color w:val="2E86AB"/>
          <w:sz w:val="26"/>
          <w:szCs w:val="26"/>
        </w:rPr>
        <w:t xml:space="preserve">8.2 Recommendations</w:t>
      </w:r>
    </w:p>
    <w:p>
      <w:pPr>
        <w:spacing w:after="120" w:line="288"/>
      </w:pPr>
      <w:r>
        <w:rPr>
          <w:rFonts w:ascii="Arial" w:cs="Arial" w:eastAsia="Arial" w:hAnsi="Arial"/>
          <w:color w:val="1B2A33"/>
          <w:sz w:val="21"/>
          <w:szCs w:val="21"/>
        </w:rPr>
        <w:t xml:space="preserve">These follow from the data but are hypotheses for an operator to test, because the study is descriptive.</w:t>
      </w:r>
    </w:p>
    <w:p>
      <w:pPr>
        <w:pStyle w:val="ListParagraph"/>
        <w:numPr>
          <w:ilvl w:val="0"/>
          <w:numId w:val="6"/>
        </w:numPr>
        <w:spacing w:after="80" w:line="276"/>
      </w:pPr>
      <w:r>
        <w:rPr>
          <w:rFonts w:ascii="Arial" w:cs="Arial" w:eastAsia="Arial" w:hAnsi="Arial"/>
          <w:b/>
          <w:bCs/>
          <w:color w:val="1B2A33"/>
          <w:sz w:val="21"/>
          <w:szCs w:val="21"/>
        </w:rPr>
        <w:t xml:space="preserve">Target surface-equipment reliability first. </w:t>
      </w:r>
      <w:r>
        <w:rPr>
          <w:rFonts w:ascii="Arial" w:cs="Arial" w:eastAsia="Arial" w:hAnsi="Arial"/>
          <w:color w:val="1B2A33"/>
          <w:sz w:val="21"/>
          <w:szCs w:val="21"/>
        </w:rPr>
        <w:t xml:space="preserve">It is the largest single cause (36.9%). A preventive-maintenance review of rig and surface equipment has the highest potential payback.</w:t>
      </w:r>
    </w:p>
    <w:p>
      <w:pPr>
        <w:pStyle w:val="ListParagraph"/>
        <w:numPr>
          <w:ilvl w:val="0"/>
          <w:numId w:val="6"/>
        </w:numPr>
        <w:spacing w:after="80" w:line="276"/>
      </w:pPr>
      <w:r>
        <w:rPr>
          <w:rFonts w:ascii="Arial" w:cs="Arial" w:eastAsia="Arial" w:hAnsi="Arial"/>
          <w:b/>
          <w:bCs/>
          <w:color w:val="1B2A33"/>
          <w:sz w:val="21"/>
          <w:szCs w:val="21"/>
        </w:rPr>
        <w:t xml:space="preserve">Plan for weather. </w:t>
      </w:r>
      <w:r>
        <w:rPr>
          <w:rFonts w:ascii="Arial" w:cs="Arial" w:eastAsia="Arial" w:hAnsi="Arial"/>
          <w:color w:val="1B2A33"/>
          <w:sz w:val="21"/>
          <w:szCs w:val="21"/>
        </w:rPr>
        <w:t xml:space="preserve">At 24.5% of NPT, schedule weather-sensitive operations with contingency time and review seasonal planning.</w:t>
      </w:r>
    </w:p>
    <w:p>
      <w:pPr>
        <w:pStyle w:val="ListParagraph"/>
        <w:numPr>
          <w:ilvl w:val="0"/>
          <w:numId w:val="6"/>
        </w:numPr>
        <w:spacing w:after="80" w:line="276"/>
      </w:pPr>
      <w:r>
        <w:rPr>
          <w:rFonts w:ascii="Arial" w:cs="Arial" w:eastAsia="Arial" w:hAnsi="Arial"/>
          <w:b/>
          <w:bCs/>
          <w:color w:val="1B2A33"/>
          <w:sz w:val="21"/>
          <w:szCs w:val="21"/>
        </w:rPr>
        <w:t xml:space="preserve">Treat the strike as an outlier. </w:t>
      </w:r>
      <w:r>
        <w:rPr>
          <w:rFonts w:ascii="Arial" w:cs="Arial" w:eastAsia="Arial" w:hAnsi="Arial"/>
          <w:color w:val="1B2A33"/>
          <w:sz w:val="21"/>
          <w:szCs w:val="21"/>
        </w:rPr>
        <w:t xml:space="preserve">The 746 labour-action hours are one event. Remove them when benchmarking normal performance, and manage the contract risk separately.</w:t>
      </w:r>
    </w:p>
    <w:p>
      <w:pPr>
        <w:pStyle w:val="ListParagraph"/>
        <w:numPr>
          <w:ilvl w:val="0"/>
          <w:numId w:val="6"/>
        </w:numPr>
        <w:spacing w:after="80" w:line="276"/>
      </w:pPr>
      <w:r>
        <w:rPr>
          <w:rFonts w:ascii="Arial" w:cs="Arial" w:eastAsia="Arial" w:hAnsi="Arial"/>
          <w:b/>
          <w:bCs/>
          <w:color w:val="1B2A33"/>
          <w:sz w:val="21"/>
          <w:szCs w:val="21"/>
        </w:rPr>
        <w:t xml:space="preserve">Review exploration and sidetrack planning. </w:t>
      </w:r>
      <w:r>
        <w:rPr>
          <w:rFonts w:ascii="Arial" w:cs="Arial" w:eastAsia="Arial" w:hAnsi="Arial"/>
          <w:color w:val="1B2A33"/>
          <w:sz w:val="21"/>
          <w:szCs w:val="21"/>
        </w:rPr>
        <w:t xml:space="preserve">Exploration wellbores ran at 29.8% against 17.2%. The extra time is partly expected in unknown ground, but 19-A alone cost about $12.4M of modelled NPT.</w:t>
      </w:r>
    </w:p>
    <w:p>
      <w:pPr>
        <w:pStyle w:val="ListParagraph"/>
        <w:numPr>
          <w:ilvl w:val="0"/>
          <w:numId w:val="6"/>
        </w:numPr>
        <w:spacing w:after="80" w:line="276"/>
      </w:pPr>
      <w:r>
        <w:rPr>
          <w:rFonts w:ascii="Arial" w:cs="Arial" w:eastAsia="Arial" w:hAnsi="Arial"/>
          <w:b/>
          <w:bCs/>
          <w:color w:val="1B2A33"/>
          <w:sz w:val="21"/>
          <w:szCs w:val="21"/>
        </w:rPr>
        <w:t xml:space="preserve">Judge wells by hours and output together. </w:t>
      </w:r>
      <w:r>
        <w:rPr>
          <w:rFonts w:ascii="Arial" w:cs="Arial" w:eastAsia="Arial" w:hAnsi="Arial"/>
          <w:color w:val="1B2A33"/>
          <w:sz w:val="21"/>
          <w:szCs w:val="21"/>
        </w:rPr>
        <w:t xml:space="preserve">NPT percentage alone misleads on short wells; pair it with absolute hours and production volume.</w:t>
      </w:r>
    </w:p>
    <w:p>
      <w:pPr>
        <w:pStyle w:val="Heading2"/>
        <w:keepNext/>
        <w:spacing w:after="120" w:before="240"/>
      </w:pPr>
      <w:r>
        <w:rPr>
          <w:rFonts w:ascii="Arial" w:cs="Arial" w:eastAsia="Arial" w:hAnsi="Arial"/>
          <w:b/>
          <w:bCs/>
          <w:color w:val="2E86AB"/>
          <w:sz w:val="26"/>
          <w:szCs w:val="26"/>
        </w:rPr>
        <w:t xml:space="preserve">8.3 Next steps for the project</w:t>
      </w:r>
    </w:p>
    <w:p>
      <w:pPr>
        <w:pStyle w:val="ListParagraph"/>
        <w:numPr>
          <w:ilvl w:val="0"/>
          <w:numId w:val="2"/>
        </w:numPr>
        <w:spacing w:after="70" w:line="276"/>
      </w:pPr>
      <w:r>
        <w:rPr>
          <w:rFonts w:ascii="Arial" w:cs="Arial" w:eastAsia="Arial" w:hAnsi="Arial"/>
          <w:color w:val="1B2A33"/>
          <w:sz w:val="21"/>
          <w:szCs w:val="21"/>
        </w:rPr>
        <w:t xml:space="preserve">Standardise the NPT % definition in the SQL views and document the choice.</w:t>
      </w:r>
    </w:p>
    <w:p>
      <w:pPr>
        <w:pStyle w:val="ListParagraph"/>
        <w:numPr>
          <w:ilvl w:val="0"/>
          <w:numId w:val="2"/>
        </w:numPr>
        <w:spacing w:after="70" w:line="276"/>
      </w:pPr>
      <w:r>
        <w:rPr>
          <w:rFonts w:ascii="Arial" w:cs="Arial" w:eastAsia="Arial" w:hAnsi="Arial"/>
          <w:color w:val="1B2A33"/>
          <w:sz w:val="21"/>
          <w:szCs w:val="21"/>
        </w:rPr>
        <w:t xml:space="preserve">Source or replace the $12,500 rate, and show cost as a range (low / base / high).</w:t>
      </w:r>
    </w:p>
    <w:p>
      <w:pPr>
        <w:pStyle w:val="ListParagraph"/>
        <w:numPr>
          <w:ilvl w:val="0"/>
          <w:numId w:val="2"/>
        </w:numPr>
        <w:spacing w:after="70" w:line="276"/>
      </w:pPr>
      <w:r>
        <w:rPr>
          <w:rFonts w:ascii="Arial" w:cs="Arial" w:eastAsia="Arial" w:hAnsi="Arial"/>
          <w:color w:val="1B2A33"/>
          <w:sz w:val="21"/>
          <w:szCs w:val="21"/>
        </w:rPr>
        <w:t xml:space="preserve">Add more comparison data (other fields) before testing NPT against production statistically.</w:t>
      </w:r>
    </w:p>
    <w:p>
      <w:pPr>
        <w:pStyle w:val="ListParagraph"/>
        <w:numPr>
          <w:ilvl w:val="0"/>
          <w:numId w:val="2"/>
        </w:numPr>
        <w:spacing w:after="70" w:line="276"/>
      </w:pPr>
      <w:r>
        <w:rPr>
          <w:rFonts w:ascii="Arial" w:cs="Arial" w:eastAsia="Arial" w:hAnsi="Arial"/>
          <w:color w:val="1B2A33"/>
          <w:sz w:val="21"/>
          <w:szCs w:val="21"/>
        </w:rPr>
        <w:t xml:space="preserve">Mine the narrative text to give root causes inside the large categories, such as which equipment failed.</w:t>
      </w:r>
    </w:p>
    <w:p>
      <w:r>
        <w:br w:type="page"/>
      </w:r>
    </w:p>
    <w:p>
      <w:pPr>
        <w:pStyle w:val="Heading1"/>
        <w:keepNext/>
        <w:spacing w:after="160" w:before="360"/>
      </w:pPr>
      <w:r>
        <w:rPr>
          <w:rFonts w:ascii="Arial" w:cs="Arial" w:eastAsia="Arial" w:hAnsi="Arial"/>
          <w:b/>
          <w:bCs/>
          <w:color w:val="1B2A33"/>
          <w:sz w:val="32"/>
          <w:szCs w:val="32"/>
        </w:rPr>
        <w:t xml:space="preserve">9. Interview Preparation</w:t>
      </w:r>
    </w:p>
    <w:p>
      <w:pPr>
        <w:spacing w:after="120" w:line="288"/>
      </w:pPr>
      <w:r>
        <w:rPr>
          <w:rFonts w:ascii="Arial" w:cs="Arial" w:eastAsia="Arial" w:hAnsi="Arial"/>
          <w:color w:val="1B2A33"/>
          <w:sz w:val="21"/>
          <w:szCs w:val="21"/>
        </w:rPr>
        <w:t xml:space="preserve">Short answers to the questions this project is most likely to prompt. Numbers are from this report.</w:t>
      </w:r>
    </w:p>
    <w:p>
      <w:pPr>
        <w:pStyle w:val="Heading3"/>
        <w:keepNext/>
        <w:spacing w:after="80" w:before="160"/>
      </w:pPr>
      <w:r>
        <w:rPr>
          <w:rFonts w:ascii="Arial" w:cs="Arial" w:eastAsia="Arial" w:hAnsi="Arial"/>
          <w:b/>
          <w:bCs/>
          <w:color w:val="1B2A33"/>
          <w:sz w:val="22"/>
          <w:szCs w:val="22"/>
        </w:rPr>
        <w:t xml:space="preserve">1. Give me the project in 60 seconds.</w:t>
      </w:r>
    </w:p>
    <w:p>
      <w:pPr>
        <w:spacing w:after="120" w:line="288"/>
      </w:pPr>
      <w:r>
        <w:rPr>
          <w:rFonts w:ascii="Arial" w:cs="Arial" w:eastAsia="Arial" w:hAnsi="Arial"/>
          <w:color w:val="1B2A33"/>
          <w:sz w:val="21"/>
          <w:szCs w:val="21"/>
        </w:rPr>
        <w:t xml:space="preserve">I took Equinor’s public Volve drilling reports, parsed about 23,000 logged activities, and classified each as productive, non-productive or rig move. I audited the classification by hand on 1,517 rows. I loaded the result into a PostgreSQL star schema and built a five-page Power BI report. About 20% of rig time was lost, 61% of that to equipment maintenance and weather, and high NPT did not coincide with low production in the six wells that have oil data.</w:t>
      </w:r>
    </w:p>
    <w:p>
      <w:pPr>
        <w:pStyle w:val="Heading3"/>
        <w:keepNext/>
        <w:spacing w:after="80" w:before="160"/>
      </w:pPr>
      <w:r>
        <w:rPr>
          <w:rFonts w:ascii="Arial" w:cs="Arial" w:eastAsia="Arial" w:hAnsi="Arial"/>
          <w:b/>
          <w:bCs/>
          <w:color w:val="1B2A33"/>
          <w:sz w:val="22"/>
          <w:szCs w:val="22"/>
        </w:rPr>
        <w:t xml:space="preserve">2. How did you define NPT, and why not just use the source flag?</w:t>
      </w:r>
    </w:p>
    <w:p>
      <w:pPr>
        <w:spacing w:after="120" w:line="288"/>
      </w:pPr>
      <w:r>
        <w:rPr>
          <w:rFonts w:ascii="Arial" w:cs="Arial" w:eastAsia="Arial" w:hAnsi="Arial"/>
          <w:color w:val="1B2A33"/>
          <w:sz w:val="21"/>
          <w:szCs w:val="21"/>
        </w:rPr>
        <w:t xml:space="preserve">The source flag marks 3.2% of hours, while the interruption activity marks 21.2%, a sixfold gap. Neither is right on its own. I defined NPT by a taxonomy applied to the activity and its narrative, treated rig moves as a separate category, and used the source failure flag only as an override.</w:t>
      </w:r>
    </w:p>
    <w:p>
      <w:pPr>
        <w:pStyle w:val="Heading3"/>
        <w:keepNext/>
        <w:spacing w:after="80" w:before="160"/>
      </w:pPr>
      <w:r>
        <w:rPr>
          <w:rFonts w:ascii="Arial" w:cs="Arial" w:eastAsia="Arial" w:hAnsi="Arial"/>
          <w:b/>
          <w:bCs/>
          <w:color w:val="1B2A33"/>
          <w:sz w:val="22"/>
          <w:szCs w:val="22"/>
        </w:rPr>
        <w:t xml:space="preserve">3. How do you know the classification is reliable?</w:t>
      </w:r>
    </w:p>
    <w:p>
      <w:pPr>
        <w:spacing w:after="120" w:line="288"/>
      </w:pPr>
      <w:r>
        <w:rPr>
          <w:rFonts w:ascii="Arial" w:cs="Arial" w:eastAsia="Arial" w:hAnsi="Arial"/>
          <w:color w:val="1B2A33"/>
          <w:sz w:val="21"/>
          <w:szCs w:val="21"/>
        </w:rPr>
        <w:t xml:space="preserve">I measured it. Confidence tiers were audited: 0% error on 150 high-confidence rows, 44% on medium, 93% on low. All low-confidence NPT rows were reviewed in full. Rule-only NPT was 21.7% and the audited figure is 20.0%, with at most about 0.2 points of NPT possibly hidden in the unreviewed remainder.</w:t>
      </w:r>
    </w:p>
    <w:p>
      <w:pPr>
        <w:pStyle w:val="Heading3"/>
        <w:keepNext/>
        <w:spacing w:after="80" w:before="160"/>
      </w:pPr>
      <w:r>
        <w:rPr>
          <w:rFonts w:ascii="Arial" w:cs="Arial" w:eastAsia="Arial" w:hAnsi="Arial"/>
          <w:b/>
          <w:bCs/>
          <w:color w:val="1B2A33"/>
          <w:sz w:val="22"/>
          <w:szCs w:val="22"/>
        </w:rPr>
        <w:t xml:space="preserve">4. Why a star schema?</w:t>
      </w:r>
    </w:p>
    <w:p>
      <w:pPr>
        <w:spacing w:after="120" w:line="288"/>
      </w:pPr>
      <w:r>
        <w:rPr>
          <w:rFonts w:ascii="Arial" w:cs="Arial" w:eastAsia="Arial" w:hAnsi="Arial"/>
          <w:color w:val="1B2A33"/>
          <w:sz w:val="21"/>
          <w:szCs w:val="21"/>
        </w:rPr>
        <w:t xml:space="preserve">There are two fact tables at different grains (one row per activity, one row per well per day) that share wellbore and date dimensions. That lets one slicer filter both drilling and production, and it keeps measures simple.</w:t>
      </w:r>
    </w:p>
    <w:p>
      <w:pPr>
        <w:pStyle w:val="Heading3"/>
        <w:keepNext/>
        <w:spacing w:after="80" w:before="160"/>
      </w:pPr>
      <w:r>
        <w:rPr>
          <w:rFonts w:ascii="Arial" w:cs="Arial" w:eastAsia="Arial" w:hAnsi="Arial"/>
          <w:b/>
          <w:bCs/>
          <w:color w:val="1B2A33"/>
          <w:sz w:val="22"/>
          <w:szCs w:val="22"/>
        </w:rPr>
        <w:t xml:space="preserve">5. Your report shows 20.0% in one place and 20.5% in another. Why?</w:t>
      </w:r>
    </w:p>
    <w:p>
      <w:pPr>
        <w:spacing w:after="120" w:line="288"/>
      </w:pPr>
      <w:r>
        <w:rPr>
          <w:rFonts w:ascii="Arial" w:cs="Arial" w:eastAsia="Arial" w:hAnsi="Arial"/>
          <w:color w:val="1B2A33"/>
          <w:sz w:val="21"/>
          <w:szCs w:val="21"/>
        </w:rPr>
        <w:t xml:space="preserve">Two denominators. The headline divides NPT hours by all logged hours (20.0%). One SQL view divides by hours excluding rig moves (20.5%). I caught it while validating the Power BI measures against the database. The fix is to standardise on one definition, which I chose to be total hours, and note it. Finding the difference during validation is the reason for validating.</w:t>
      </w:r>
    </w:p>
    <w:p>
      <w:pPr>
        <w:pStyle w:val="Heading3"/>
        <w:keepNext/>
        <w:spacing w:after="80" w:before="160"/>
      </w:pPr>
      <w:r>
        <w:rPr>
          <w:rFonts w:ascii="Arial" w:cs="Arial" w:eastAsia="Arial" w:hAnsi="Arial"/>
          <w:b/>
          <w:bCs/>
          <w:color w:val="1B2A33"/>
          <w:sz w:val="22"/>
          <w:szCs w:val="22"/>
        </w:rPr>
        <w:t xml:space="preserve">6. Explain the cumulative-percentage DAX on the Pareto page.</w:t>
      </w:r>
    </w:p>
    <w:p>
      <w:pPr>
        <w:spacing w:after="120" w:line="288"/>
      </w:pPr>
      <w:r>
        <w:rPr>
          <w:rFonts w:ascii="Arial" w:cs="Arial" w:eastAsia="Arial" w:hAnsi="Arial"/>
          <w:color w:val="1B2A33"/>
          <w:sz w:val="21"/>
          <w:szCs w:val="21"/>
        </w:rPr>
        <w:t xml:space="preserve">For each bar it keeps the categories whose NPT hours are greater than or equal to the current bar and sums them, then divides by the total of all categories shown. ALLSELECTED gives the measure a list of every category in the visual, while still respecting slicers. SUMX and FILTER evaluate NPT Hours once per category, which is context transition.</w:t>
      </w:r>
    </w:p>
    <w:p>
      <w:pPr>
        <w:pStyle w:val="Heading3"/>
        <w:keepNext/>
        <w:spacing w:after="80" w:before="160"/>
      </w:pPr>
      <w:r>
        <w:rPr>
          <w:rFonts w:ascii="Arial" w:cs="Arial" w:eastAsia="Arial" w:hAnsi="Arial"/>
          <w:b/>
          <w:bCs/>
          <w:color w:val="1B2A33"/>
          <w:sz w:val="22"/>
          <w:szCs w:val="22"/>
        </w:rPr>
        <w:t xml:space="preserve">7. How defensible is the $98.6M?</w:t>
      </w:r>
    </w:p>
    <w:p>
      <w:pPr>
        <w:spacing w:after="120" w:line="288"/>
      </w:pPr>
      <w:r>
        <w:rPr>
          <w:rFonts w:ascii="Arial" w:cs="Arial" w:eastAsia="Arial" w:hAnsi="Arial"/>
          <w:color w:val="1B2A33"/>
          <w:sz w:val="21"/>
          <w:szCs w:val="21"/>
        </w:rPr>
        <w:t xml:space="preserve">Not very, as an absolute number, and I say so. It is NPT hours times an assumed $12,500 per hour. The ranking of wells and causes holds for any constant rate, so I present the cost as indicative and would show a range with a sourced rate.</w:t>
      </w:r>
    </w:p>
    <w:p>
      <w:pPr>
        <w:pStyle w:val="Heading3"/>
        <w:keepNext/>
        <w:spacing w:after="80" w:before="160"/>
      </w:pPr>
      <w:r>
        <w:rPr>
          <w:rFonts w:ascii="Arial" w:cs="Arial" w:eastAsia="Arial" w:hAnsi="Arial"/>
          <w:b/>
          <w:bCs/>
          <w:color w:val="1B2A33"/>
          <w:sz w:val="22"/>
          <w:szCs w:val="22"/>
        </w:rPr>
        <w:t xml:space="preserve">8. Did high NPT reduce production?</w:t>
      </w:r>
    </w:p>
    <w:p>
      <w:pPr>
        <w:spacing w:after="120" w:line="288"/>
      </w:pPr>
      <w:r>
        <w:rPr>
          <w:rFonts w:ascii="Arial" w:cs="Arial" w:eastAsia="Arial" w:hAnsi="Arial"/>
          <w:color w:val="1B2A33"/>
          <w:sz w:val="21"/>
          <w:szCs w:val="21"/>
        </w:rPr>
        <w:t xml:space="preserve">In this sample, no pattern showed it: F-11 lost 56% of its time and still produced 7.2 million barrels, while the largest producer ran at 18%. But only six wells have oil data, so I would not claim more than that. I would need more wells to test it properly.</w:t>
      </w:r>
    </w:p>
    <w:p>
      <w:pPr>
        <w:pStyle w:val="Heading3"/>
        <w:keepNext/>
        <w:spacing w:after="80" w:before="160"/>
      </w:pPr>
      <w:r>
        <w:rPr>
          <w:rFonts w:ascii="Arial" w:cs="Arial" w:eastAsia="Arial" w:hAnsi="Arial"/>
          <w:b/>
          <w:bCs/>
          <w:color w:val="1B2A33"/>
          <w:sz w:val="22"/>
          <w:szCs w:val="22"/>
        </w:rPr>
        <w:t xml:space="preserve">9. What was the hardest data problem?</w:t>
      </w:r>
    </w:p>
    <w:p>
      <w:pPr>
        <w:spacing w:after="120" w:line="288"/>
      </w:pPr>
      <w:r>
        <w:rPr>
          <w:rFonts w:ascii="Arial" w:cs="Arial" w:eastAsia="Arial" w:hAnsi="Arial"/>
          <w:color w:val="1B2A33"/>
          <w:sz w:val="21"/>
          <w:szCs w:val="21"/>
        </w:rPr>
        <w:t xml:space="preserve">Telling planned work from corrective work. The same activity code, such as circulating or a sidetrack, can be productive or NPT depending on the narrative. That is why I built a confidence-tiered classifier and put a human in the loop for the uncertain rows.</w:t>
      </w:r>
    </w:p>
    <w:p>
      <w:pPr>
        <w:pStyle w:val="Heading3"/>
        <w:keepNext/>
        <w:spacing w:after="80" w:before="160"/>
      </w:pPr>
      <w:r>
        <w:rPr>
          <w:rFonts w:ascii="Arial" w:cs="Arial" w:eastAsia="Arial" w:hAnsi="Arial"/>
          <w:b/>
          <w:bCs/>
          <w:color w:val="1B2A33"/>
          <w:sz w:val="22"/>
          <w:szCs w:val="22"/>
        </w:rPr>
        <w:t xml:space="preserve">10. What would you do next?</w:t>
      </w:r>
    </w:p>
    <w:p>
      <w:pPr>
        <w:spacing w:after="120" w:line="288"/>
      </w:pPr>
      <w:r>
        <w:rPr>
          <w:rFonts w:ascii="Arial" w:cs="Arial" w:eastAsia="Arial" w:hAnsi="Arial"/>
          <w:color w:val="1B2A33"/>
          <w:sz w:val="21"/>
          <w:szCs w:val="21"/>
        </w:rPr>
        <w:t xml:space="preserve">Standardise the NPT definition in SQL, source the day rate and show cost as a range, mine the narratives for root causes inside the big categories, and add other fields to test NPT against production with enough wells.</w:t>
      </w:r>
    </w:p>
    <w:p>
      <w:r>
        <w:br w:type="page"/>
      </w:r>
    </w:p>
    <w:p>
      <w:pPr>
        <w:pStyle w:val="Heading1"/>
        <w:keepNext/>
        <w:spacing w:after="160" w:before="360"/>
      </w:pPr>
      <w:r>
        <w:rPr>
          <w:rFonts w:ascii="Arial" w:cs="Arial" w:eastAsia="Arial" w:hAnsi="Arial"/>
          <w:b/>
          <w:bCs/>
          <w:color w:val="1B2A33"/>
          <w:sz w:val="32"/>
          <w:szCs w:val="32"/>
        </w:rPr>
        <w:t xml:space="preserve">Appendix A.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left"/>
            </w:pPr>
            <w:r>
              <w:rPr>
                <w:rFonts w:ascii="Arial" w:cs="Arial" w:eastAsia="Arial" w:hAnsi="Arial"/>
                <w:b/>
                <w:bCs/>
                <w:color w:val="FFFFFF"/>
                <w:sz w:val="19"/>
                <w:szCs w:val="19"/>
              </w:rPr>
              <w:t xml:space="preserve">Path</w:t>
            </w:r>
          </w:p>
        </w:tc>
        <w:tc>
          <w:tcPr>
            <w:tcW w:type="dxa" w:w="6760"/>
            <w:tcBorders>
              <w:top w:val="single" w:color="D5DADD" w:sz="4"/>
              <w:left w:val="single" w:color="D5DADD" w:sz="4"/>
              <w:bottom w:val="single" w:color="D5DADD" w:sz="4"/>
              <w:right w:val="single" w:color="D5DADD" w:sz="4"/>
            </w:tcBorders>
            <w:shd w:fill="1B2A33" w:color="auto" w:val="clear"/>
            <w:tcMar>
              <w:top w:type="dxa" w:w="70"/>
              <w:left w:type="dxa" w:w="110"/>
              <w:bottom w:type="dxa" w:w="70"/>
              <w:right w:type="dxa" w:w="110"/>
            </w:tcMar>
          </w:tcPr>
          <w:p>
            <w:pPr>
              <w:jc w:val="left"/>
            </w:pPr>
            <w:r>
              <w:rPr>
                <w:rFonts w:ascii="Arial" w:cs="Arial" w:eastAsia="Arial" w:hAnsi="Arial"/>
                <w:b/>
                <w:bCs/>
                <w:color w:val="FFFFFF"/>
                <w:sz w:val="19"/>
                <w:szCs w:val="19"/>
              </w:rPr>
              <w:t xml:space="preserve">Contents</w:t>
            </w:r>
          </w:p>
        </w:tc>
      </w:tr>
      <w:tr>
        <w:trPr>
          <w:cantSplit/>
        </w:trPr>
        <w:tc>
          <w:tcPr>
            <w:tcW w:type="dxa" w:w="26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src/</w:t>
            </w:r>
          </w:p>
        </w:tc>
        <w:tc>
          <w:tcPr>
            <w:tcW w:type="dxa" w:w="67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00_download_selected.py, 01_inventory.py, 02_parse_production.py, 03_parse_drilling_reports.py, 04_classify_npt.py, 04b_apply_review.py, 05_load_to_postgres.py, build_wellbore_map.py</w:t>
            </w:r>
          </w:p>
        </w:tc>
      </w:tr>
      <w:tr>
        <w:trPr>
          <w:cantSplit/>
        </w:trPr>
        <w:tc>
          <w:tcPr>
            <w:tcW w:type="dxa" w:w="26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sql/</w:t>
            </w:r>
          </w:p>
        </w:tc>
        <w:tc>
          <w:tcPr>
            <w:tcW w:type="dxa" w:w="676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01_ddl_dimensions.sql, 02_ddl_facts.sql, 03_transforms.sql (views), 04_analysis_queries.sql</w:t>
            </w:r>
          </w:p>
        </w:tc>
      </w:tr>
      <w:tr>
        <w:trPr>
          <w:cantSplit/>
        </w:trPr>
        <w:tc>
          <w:tcPr>
            <w:tcW w:type="dxa" w:w="26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data/reference/</w:t>
            </w:r>
          </w:p>
        </w:tc>
        <w:tc>
          <w:tcPr>
            <w:tcW w:type="dxa" w:w="67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wellbore_map.csv, npt_taxonomy.csv (versioned)</w:t>
            </w:r>
          </w:p>
        </w:tc>
      </w:tr>
      <w:tr>
        <w:trPr>
          <w:cantSplit/>
        </w:trPr>
        <w:tc>
          <w:tcPr>
            <w:tcW w:type="dxa" w:w="26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data/raw, data/interim</w:t>
            </w:r>
          </w:p>
        </w:tc>
        <w:tc>
          <w:tcPr>
            <w:tcW w:type="dxa" w:w="676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Local only (licence); parquet intermediates</w:t>
            </w:r>
          </w:p>
        </w:tc>
      </w:tr>
      <w:tr>
        <w:trPr>
          <w:cantSplit/>
        </w:trPr>
        <w:tc>
          <w:tcPr>
            <w:tcW w:type="dxa" w:w="26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docs/</w:t>
            </w:r>
          </w:p>
        </w:tc>
        <w:tc>
          <w:tcPr>
            <w:tcW w:type="dxa" w:w="67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npt_taxonomy.md, quality reports, manual-review CSV, this report</w:t>
            </w:r>
          </w:p>
        </w:tc>
      </w:tr>
      <w:tr>
        <w:trPr>
          <w:cantSplit/>
        </w:trPr>
        <w:tc>
          <w:tcPr>
            <w:tcW w:type="dxa" w:w="260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powerbi/</w:t>
            </w:r>
          </w:p>
        </w:tc>
        <w:tc>
          <w:tcPr>
            <w:tcW w:type="dxa" w:w="6760"/>
            <w:tcBorders>
              <w:top w:val="single" w:color="D5DADD" w:sz="4"/>
              <w:left w:val="single" w:color="D5DADD" w:sz="4"/>
              <w:bottom w:val="single" w:color="D5DADD" w:sz="4"/>
              <w:right w:val="single" w:color="D5DADD" w:sz="4"/>
            </w:tcBorders>
            <w:shd w:fill="F6F8F9" w:color="auto" w:val="clear"/>
            <w:tcMar>
              <w:top w:type="dxa" w:w="70"/>
              <w:left w:type="dxa" w:w="110"/>
              <w:bottom w:type="dxa" w:w="70"/>
              <w:right w:type="dxa" w:w="110"/>
            </w:tcMar>
          </w:tcPr>
          <w:p>
            <w:pPr>
              <w:jc w:val="left"/>
            </w:pPr>
            <w:r>
              <w:rPr>
                <w:rFonts w:ascii="Arial" w:cs="Arial" w:eastAsia="Arial" w:hAnsi="Arial"/>
                <w:color w:val="1B2A33"/>
                <w:sz w:val="19"/>
                <w:szCs w:val="19"/>
              </w:rPr>
              <w:t xml:space="preserve">volve_npt.pbix and volve_theme.json</w:t>
            </w:r>
          </w:p>
        </w:tc>
      </w:tr>
      <w:tr>
        <w:trPr>
          <w:cantSplit/>
        </w:trPr>
        <w:tc>
          <w:tcPr>
            <w:tcW w:type="dxa" w:w="260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run_analysis.py</w:t>
            </w:r>
          </w:p>
        </w:tc>
        <w:tc>
          <w:tcPr>
            <w:tcW w:type="dxa" w:w="6760"/>
            <w:tcBorders>
              <w:top w:val="single" w:color="D5DADD" w:sz="4"/>
              <w:left w:val="single" w:color="D5DADD" w:sz="4"/>
              <w:bottom w:val="single" w:color="D5DADD" w:sz="4"/>
              <w:right w:val="single" w:color="D5DADD" w:sz="4"/>
            </w:tcBorders>
            <w:tcMar>
              <w:top w:type="dxa" w:w="70"/>
              <w:left w:type="dxa" w:w="110"/>
              <w:bottom w:type="dxa" w:w="70"/>
              <w:right w:type="dxa" w:w="110"/>
            </w:tcMar>
          </w:tcPr>
          <w:p>
            <w:pPr>
              <w:jc w:val="left"/>
            </w:pPr>
            <w:r>
              <w:rPr>
                <w:rFonts w:ascii="Arial" w:cs="Arial" w:eastAsia="Arial" w:hAnsi="Arial"/>
                <w:color w:val="1B2A33"/>
                <w:sz w:val="19"/>
                <w:szCs w:val="19"/>
              </w:rPr>
              <w:t xml:space="preserve">Runs the analysis queries against the database</w:t>
            </w:r>
          </w:p>
        </w:tc>
      </w:tr>
    </w:tbl>
    <w:p>
      <w:pPr>
        <w:spacing w:after="160"/>
      </w:pPr>
    </w:p>
    <w:p>
      <w:pPr>
        <w:pStyle w:val="Heading1"/>
        <w:keepNext/>
        <w:spacing w:after="160" w:before="360"/>
      </w:pPr>
      <w:r>
        <w:rPr>
          <w:rFonts w:ascii="Arial" w:cs="Arial" w:eastAsia="Arial" w:hAnsi="Arial"/>
          <w:b/>
          <w:bCs/>
          <w:color w:val="1B2A33"/>
          <w:sz w:val="32"/>
          <w:szCs w:val="32"/>
        </w:rPr>
        <w:t xml:space="preserve">Appendix B. Key DAX Measures</w:t>
      </w:r>
    </w:p>
    <w:p>
      <w:pPr>
        <w:spacing w:after="120" w:line="288"/>
      </w:pPr>
      <w:r>
        <w:rPr>
          <w:rFonts w:ascii="Arial" w:cs="Arial" w:eastAsia="Arial" w:hAnsi="Arial"/>
          <w:color w:val="1B2A33"/>
          <w:sz w:val="21"/>
          <w:szCs w:val="21"/>
        </w:rPr>
        <w:t xml:space="preserve">All measures live in the _Measures table. Table and column names are as in the model.</w:t>
      </w:r>
    </w:p>
    <w:p>
      <w:pPr>
        <w:shd w:fill="EEF2F4" w:val="clear"/>
        <w:spacing w:after="0" w:line="252"/>
        <w:ind w:left="120" w:right="120"/>
      </w:pPr>
      <w:r>
        <w:rPr>
          <w:rFonts w:ascii="Consolas" w:cs="Consolas" w:eastAsia="Consolas" w:hAnsi="Consolas"/>
          <w:color w:val="1B2A33"/>
          <w:sz w:val="18"/>
          <w:szCs w:val="18"/>
        </w:rPr>
        <w:t xml:space="preserve">Total Hours      = SUM(fact_drilling_activity[hours])</w:t>
      </w:r>
    </w:p>
    <w:p>
      <w:pPr>
        <w:shd w:fill="EEF2F4" w:val="clear"/>
        <w:spacing w:after="0" w:line="252"/>
        <w:ind w:left="120" w:right="120"/>
      </w:pPr>
      <w:r>
        <w:rPr>
          <w:rFonts w:ascii="Consolas" w:cs="Consolas" w:eastAsia="Consolas" w:hAnsi="Consolas"/>
          <w:color w:val="1B2A33"/>
          <w:sz w:val="18"/>
          <w:szCs w:val="18"/>
        </w:rPr>
        <w:t xml:space="preserve">NPT Hours        = CALCULATE([Total Hours], fact_drilling_activity[is_npt_final] = TRUE)</w:t>
      </w:r>
    </w:p>
    <w:p>
      <w:pPr>
        <w:shd w:fill="EEF2F4" w:val="clear"/>
        <w:spacing w:after="0" w:line="252"/>
        <w:ind w:left="120" w:right="120"/>
      </w:pPr>
      <w:r>
        <w:rPr>
          <w:rFonts w:ascii="Consolas" w:cs="Consolas" w:eastAsia="Consolas" w:hAnsi="Consolas"/>
          <w:color w:val="1B2A33"/>
          <w:sz w:val="18"/>
          <w:szCs w:val="18"/>
        </w:rPr>
        <w:t xml:space="preserve">Rig Move Hours   = CALCULATE([Total Hours], dim_npt_category[is_rig_move] = TRUE)</w:t>
      </w:r>
    </w:p>
    <w:p>
      <w:pPr>
        <w:shd w:fill="EEF2F4" w:val="clear"/>
        <w:spacing w:after="0" w:line="252"/>
        <w:ind w:left="120" w:right="120"/>
      </w:pPr>
      <w:r>
        <w:rPr>
          <w:rFonts w:ascii="Consolas" w:cs="Consolas" w:eastAsia="Consolas" w:hAnsi="Consolas"/>
          <w:color w:val="1B2A33"/>
          <w:sz w:val="18"/>
          <w:szCs w:val="18"/>
        </w:rPr>
        <w:t xml:space="preserve">Billable Hours   = CALCULATE([Total Hours], dim_npt_category[is_rig_move] = FALSE)</w:t>
      </w:r>
    </w:p>
    <w:p>
      <w:pPr>
        <w:shd w:fill="EEF2F4" w:val="clear"/>
        <w:spacing w:after="0" w:line="252"/>
        <w:ind w:left="120" w:right="120"/>
      </w:pPr>
      <w:r>
        <w:rPr>
          <w:rFonts w:ascii="Consolas" w:cs="Consolas" w:eastAsia="Consolas" w:hAnsi="Consolas"/>
          <w:color w:val="1B2A33"/>
          <w:sz w:val="18"/>
          <w:szCs w:val="18"/>
        </w:rPr>
        <w:t xml:space="preserve">Productive Hours = [Billable Hours] - [NPT Hours]</w:t>
      </w:r>
    </w:p>
    <w:p>
      <w:pPr>
        <w:shd w:fill="EEF2F4" w:val="clear"/>
        <w:spacing w:after="0" w:line="252"/>
        <w:ind w:left="120" w:right="120"/>
      </w:pPr>
      <w:r>
        <w:rPr>
          <w:rFonts w:ascii="Consolas" w:cs="Consolas" w:eastAsia="Consolas" w:hAnsi="Consolas"/>
          <w:color w:val="1B2A33"/>
          <w:sz w:val="18"/>
          <w:szCs w:val="18"/>
        </w:rPr>
        <w:t xml:space="preserve">NPT %            = DIVIDE([NPT Hours], [Total Hours])</w:t>
      </w:r>
    </w:p>
    <w:p>
      <w:pPr>
        <w:shd w:fill="EEF2F4" w:val="clear"/>
        <w:spacing w:after="0" w:line="252"/>
        <w:ind w:left="120" w:right="120"/>
      </w:pPr>
      <w:r>
        <w:rPr>
          <w:rFonts w:ascii="Consolas" w:cs="Consolas" w:eastAsia="Consolas" w:hAnsi="Consolas"/>
          <w:color w:val="1B2A33"/>
          <w:sz w:val="18"/>
          <w:szCs w:val="18"/>
        </w:rPr>
        <w:t xml:space="preserve">Assumed Rig Rate = 12500</w:t>
      </w:r>
    </w:p>
    <w:p>
      <w:pPr>
        <w:shd w:fill="EEF2F4" w:val="clear"/>
        <w:spacing w:after="0" w:line="252"/>
        <w:ind w:left="120" w:right="120"/>
      </w:pPr>
      <w:r>
        <w:rPr>
          <w:rFonts w:ascii="Consolas" w:cs="Consolas" w:eastAsia="Consolas" w:hAnsi="Consolas"/>
          <w:color w:val="1B2A33"/>
          <w:sz w:val="18"/>
          <w:szCs w:val="18"/>
        </w:rPr>
        <w:t xml:space="preserve">NPT Cost         = [NPT Hours] * [Assumed Rig Rate]</w:t>
      </w:r>
    </w:p>
    <w:p>
      <w:pPr>
        <w:shd w:fill="EEF2F4" w:val="clear"/>
        <w:spacing w:after="0" w:line="252"/>
        <w:ind w:left="120" w:right="120"/>
      </w:pPr>
      <w:r>
        <w:rPr>
          <w:rFonts w:ascii="Consolas" w:cs="Consolas" w:eastAsia="Consolas" w:hAnsi="Consolas"/>
          <w:color w:val="1B2A33"/>
          <w:sz w:val="18"/>
          <w:szCs w:val="18"/>
        </w:rPr>
        <w:t xml:space="preserve">Cum Oil Bbl      = SUM(fact_daily_production[oil_bbl])</w:t>
      </w:r>
    </w:p>
    <w:p>
      <w:pPr>
        <w:shd w:fill="EEF2F4" w:val="clear"/>
        <w:spacing w:after="0" w:line="252"/>
        <w:ind w:left="120" w:right="120"/>
      </w:pPr>
      <w:r>
        <w:rPr>
          <w:rFonts w:ascii="Consolas" w:cs="Consolas" w:eastAsia="Consolas" w:hAnsi="Consolas"/>
          <w:color w:val="1B2A33"/>
          <w:sz w:val="18"/>
          <w:szCs w:val="18"/>
        </w:rPr>
        <w:t xml:space="preserve">NPT Hrs per kbbl = DIVIDE([NPT Hours], [Cum Oil Bbl] / 1000)</w:t>
      </w:r>
    </w:p>
    <w:p>
      <w:pPr>
        <w:shd w:fill="EEF2F4" w:val="clear"/>
        <w:spacing w:after="0" w:line="252"/>
        <w:ind w:left="120" w:right="120"/>
      </w:pPr>
      <w:r>
        <w:rPr>
          <w:rFonts w:ascii="Consolas" w:cs="Consolas" w:eastAsia="Consolas" w:hAnsi="Consolas"/>
          <w:color w:val="1B2A33"/>
          <w:sz w:val="18"/>
          <w:szCs w:val="18"/>
        </w:rPr>
        <w:t xml:space="preserve"/>
      </w:r>
    </w:p>
    <w:p>
      <w:pPr>
        <w:shd w:fill="EEF2F4" w:val="clear"/>
        <w:spacing w:after="0" w:line="252"/>
        <w:ind w:left="120" w:right="120"/>
      </w:pPr>
      <w:r>
        <w:rPr>
          <w:rFonts w:ascii="Consolas" w:cs="Consolas" w:eastAsia="Consolas" w:hAnsi="Consolas"/>
          <w:color w:val="1B2A33"/>
          <w:sz w:val="18"/>
          <w:szCs w:val="18"/>
        </w:rPr>
        <w:t xml:space="preserve">% of Total NPT   = DIVIDE([NPT Hours],</w:t>
      </w:r>
    </w:p>
    <w:p>
      <w:pPr>
        <w:shd w:fill="EEF2F4" w:val="clear"/>
        <w:spacing w:after="0" w:line="252"/>
        <w:ind w:left="120" w:right="120"/>
      </w:pPr>
      <w:r>
        <w:rPr>
          <w:rFonts w:ascii="Consolas" w:cs="Consolas" w:eastAsia="Consolas" w:hAnsi="Consolas"/>
          <w:color w:val="1B2A33"/>
          <w:sz w:val="18"/>
          <w:szCs w:val="18"/>
        </w:rPr>
        <w:t xml:space="preserve">                    CALCULATE([NPT Hours], ALL(dim_npt_category)))</w:t>
      </w:r>
    </w:p>
    <w:p>
      <w:pPr>
        <w:shd w:fill="EEF2F4" w:val="clear"/>
        <w:spacing w:after="0" w:line="252"/>
        <w:ind w:left="120" w:right="120"/>
      </w:pPr>
      <w:r>
        <w:rPr>
          <w:rFonts w:ascii="Consolas" w:cs="Consolas" w:eastAsia="Consolas" w:hAnsi="Consolas"/>
          <w:color w:val="1B2A33"/>
          <w:sz w:val="18"/>
          <w:szCs w:val="18"/>
        </w:rPr>
        <w:t xml:space="preserve"/>
      </w:r>
    </w:p>
    <w:p>
      <w:pPr>
        <w:shd w:fill="EEF2F4" w:val="clear"/>
        <w:spacing w:after="0" w:line="252"/>
        <w:ind w:left="120" w:right="120"/>
      </w:pPr>
      <w:r>
        <w:rPr>
          <w:rFonts w:ascii="Consolas" w:cs="Consolas" w:eastAsia="Consolas" w:hAnsi="Consolas"/>
          <w:color w:val="1B2A33"/>
          <w:sz w:val="18"/>
          <w:szCs w:val="18"/>
        </w:rPr>
        <w:t xml:space="preserve">Cumulative % =</w:t>
      </w:r>
    </w:p>
    <w:p>
      <w:pPr>
        <w:shd w:fill="EEF2F4" w:val="clear"/>
        <w:spacing w:after="0" w:line="252"/>
        <w:ind w:left="120" w:right="120"/>
      </w:pPr>
      <w:r>
        <w:rPr>
          <w:rFonts w:ascii="Consolas" w:cs="Consolas" w:eastAsia="Consolas" w:hAnsi="Consolas"/>
          <w:color w:val="1B2A33"/>
          <w:sz w:val="18"/>
          <w:szCs w:val="18"/>
        </w:rPr>
        <w:t xml:space="preserve">  VAR cur = [NPT Hours]</w:t>
      </w:r>
    </w:p>
    <w:p>
      <w:pPr>
        <w:shd w:fill="EEF2F4" w:val="clear"/>
        <w:spacing w:after="0" w:line="252"/>
        <w:ind w:left="120" w:right="120"/>
      </w:pPr>
      <w:r>
        <w:rPr>
          <w:rFonts w:ascii="Consolas" w:cs="Consolas" w:eastAsia="Consolas" w:hAnsi="Consolas"/>
          <w:color w:val="1B2A33"/>
          <w:sz w:val="18"/>
          <w:szCs w:val="18"/>
        </w:rPr>
        <w:t xml:space="preserve">  VAR tbl = ALLSELECTED(dim_npt_category[Category Label])</w:t>
      </w:r>
    </w:p>
    <w:p>
      <w:pPr>
        <w:shd w:fill="EEF2F4" w:val="clear"/>
        <w:spacing w:after="0" w:line="252"/>
        <w:ind w:left="120" w:right="120"/>
      </w:pPr>
      <w:r>
        <w:rPr>
          <w:rFonts w:ascii="Consolas" w:cs="Consolas" w:eastAsia="Consolas" w:hAnsi="Consolas"/>
          <w:color w:val="1B2A33"/>
          <w:sz w:val="18"/>
          <w:szCs w:val="18"/>
        </w:rPr>
        <w:t xml:space="preserve">  RETURN DIVIDE(</w:t>
      </w:r>
    </w:p>
    <w:p>
      <w:pPr>
        <w:shd w:fill="EEF2F4" w:val="clear"/>
        <w:spacing w:after="0" w:line="252"/>
        <w:ind w:left="120" w:right="120"/>
      </w:pPr>
      <w:r>
        <w:rPr>
          <w:rFonts w:ascii="Consolas" w:cs="Consolas" w:eastAsia="Consolas" w:hAnsi="Consolas"/>
          <w:color w:val="1B2A33"/>
          <w:sz w:val="18"/>
          <w:szCs w:val="18"/>
        </w:rPr>
        <w:t xml:space="preserve">    SUMX(FILTER(tbl, [NPT Hours] &gt;= cur), [NPT Hours]),</w:t>
      </w:r>
    </w:p>
    <w:p>
      <w:pPr>
        <w:shd w:fill="EEF2F4" w:val="clear"/>
        <w:spacing w:after="0" w:line="252"/>
        <w:ind w:left="120" w:right="120"/>
      </w:pPr>
      <w:r>
        <w:rPr>
          <w:rFonts w:ascii="Consolas" w:cs="Consolas" w:eastAsia="Consolas" w:hAnsi="Consolas"/>
          <w:color w:val="1B2A33"/>
          <w:sz w:val="18"/>
          <w:szCs w:val="18"/>
        </w:rPr>
        <w:t xml:space="preserve">    SUMX(tbl, [NPT Hours]))</w:t>
      </w:r>
    </w:p>
    <w:p>
      <w:pPr>
        <w:shd w:fill="EEF2F4" w:val="clear"/>
        <w:spacing w:after="0" w:line="252"/>
        <w:ind w:left="120" w:right="120"/>
      </w:pPr>
      <w:r>
        <w:rPr>
          <w:rFonts w:ascii="Consolas" w:cs="Consolas" w:eastAsia="Consolas" w:hAnsi="Consolas"/>
          <w:color w:val="1B2A33"/>
          <w:sz w:val="18"/>
          <w:szCs w:val="18"/>
        </w:rPr>
        <w:t xml:space="preserve"/>
      </w:r>
    </w:p>
    <w:p>
      <w:pPr>
        <w:shd w:fill="EEF2F4" w:val="clear"/>
        <w:spacing w:after="0" w:line="252"/>
        <w:ind w:left="120" w:right="120"/>
      </w:pPr>
      <w:r>
        <w:rPr>
          <w:rFonts w:ascii="Consolas" w:cs="Consolas" w:eastAsia="Consolas" w:hAnsi="Consolas"/>
          <w:color w:val="1B2A33"/>
          <w:sz w:val="18"/>
          <w:szCs w:val="18"/>
        </w:rPr>
        <w:t xml:space="preserve">Top 2 Share =</w:t>
      </w:r>
    </w:p>
    <w:p>
      <w:pPr>
        <w:shd w:fill="EEF2F4" w:val="clear"/>
        <w:spacing w:after="0" w:line="252"/>
        <w:ind w:left="120" w:right="120"/>
      </w:pPr>
      <w:r>
        <w:rPr>
          <w:rFonts w:ascii="Consolas" w:cs="Consolas" w:eastAsia="Consolas" w:hAnsi="Consolas"/>
          <w:color w:val="1B2A33"/>
          <w:sz w:val="18"/>
          <w:szCs w:val="18"/>
        </w:rPr>
        <w:t xml:space="preserve">  DIVIDE(SUMX(TOPN(2, ALLSELECTED(dim_npt_category[Category Label]), [NPT Hours]), [NPT Hours]),</w:t>
      </w:r>
    </w:p>
    <w:p>
      <w:pPr>
        <w:shd w:fill="EEF2F4" w:val="clear"/>
        <w:spacing w:after="0" w:line="252"/>
        <w:ind w:left="120" w:right="120"/>
      </w:pPr>
      <w:r>
        <w:rPr>
          <w:rFonts w:ascii="Consolas" w:cs="Consolas" w:eastAsia="Consolas" w:hAnsi="Consolas"/>
          <w:color w:val="1B2A33"/>
          <w:sz w:val="18"/>
          <w:szCs w:val="18"/>
        </w:rPr>
        <w:t xml:space="preserve">         CALCULATE([NPT Hours], ALLSELECTED(dim_npt_category)))</w:t>
      </w:r>
    </w:p>
    <w:p>
      <w:pPr>
        <w:shd w:fill="EEF2F4" w:val="clear"/>
        <w:spacing w:after="0" w:line="252"/>
        <w:ind w:left="120" w:right="120"/>
      </w:pPr>
      <w:r>
        <w:rPr>
          <w:rFonts w:ascii="Consolas" w:cs="Consolas" w:eastAsia="Consolas" w:hAnsi="Consolas"/>
          <w:color w:val="1B2A33"/>
          <w:sz w:val="18"/>
          <w:szCs w:val="18"/>
        </w:rPr>
        <w:t xml:space="preserve"/>
      </w:r>
    </w:p>
    <w:p>
      <w:pPr>
        <w:shd w:fill="EEF2F4" w:val="clear"/>
        <w:spacing w:after="0" w:line="252"/>
        <w:ind w:left="120" w:right="120"/>
      </w:pPr>
      <w:r>
        <w:rPr>
          <w:rFonts w:ascii="Consolas" w:cs="Consolas" w:eastAsia="Consolas" w:hAnsi="Consolas"/>
          <w:color w:val="1B2A33"/>
          <w:sz w:val="18"/>
          <w:szCs w:val="18"/>
        </w:rPr>
        <w:t xml:space="preserve">Worst NPT %  = MAXX(ALLSELECTED(dim_wellbore[wellbore_key]), [NPT %])</w:t>
      </w:r>
    </w:p>
    <w:p>
      <w:pPr>
        <w:shd w:fill="EEF2F4" w:val="clear"/>
        <w:spacing w:after="0" w:line="252"/>
        <w:ind w:left="120" w:right="120"/>
      </w:pPr>
      <w:r>
        <w:rPr>
          <w:rFonts w:ascii="Consolas" w:cs="Consolas" w:eastAsia="Consolas" w:hAnsi="Consolas"/>
          <w:color w:val="1B2A33"/>
          <w:sz w:val="18"/>
          <w:szCs w:val="18"/>
        </w:rPr>
        <w:t xml:space="preserve">Best NPT %   = MINX(ALLSELECTED(dim_wellbore[wellbore_key]), [NPT %])</w:t>
      </w:r>
    </w:p>
    <w:p>
      <w:pPr>
        <w:shd w:fill="EEF2F4" w:val="clear"/>
        <w:spacing w:after="0" w:line="252"/>
        <w:ind w:left="120" w:right="120"/>
      </w:pPr>
      <w:r>
        <w:rPr>
          <w:rFonts w:ascii="Consolas" w:cs="Consolas" w:eastAsia="Consolas" w:hAnsi="Consolas"/>
          <w:color w:val="1B2A33"/>
          <w:sz w:val="18"/>
          <w:szCs w:val="18"/>
        </w:rPr>
        <w:t xml:space="preserve">Worst Well   = CONCATENATEX(TOPN(1, ALLSELECTED(dim_wellbore[wellbore_key]), [NPT %], DESC),</w:t>
      </w:r>
    </w:p>
    <w:p>
      <w:pPr>
        <w:shd w:fill="EEF2F4" w:val="clear"/>
        <w:spacing w:after="0" w:line="252"/>
        <w:ind w:left="120" w:right="120"/>
      </w:pPr>
      <w:r>
        <w:rPr>
          <w:rFonts w:ascii="Consolas" w:cs="Consolas" w:eastAsia="Consolas" w:hAnsi="Consolas"/>
          <w:color w:val="1B2A33"/>
          <w:sz w:val="18"/>
          <w:szCs w:val="18"/>
        </w:rPr>
        <w:t xml:space="preserve">                           dim_wellbore[wellbore_key], ", ")</w:t>
      </w:r>
    </w:p>
    <w:p>
      <w:pPr>
        <w:shd w:fill="EEF2F4" w:val="clear"/>
        <w:spacing w:after="0" w:line="252"/>
        <w:ind w:left="120" w:right="120"/>
      </w:pPr>
      <w:r>
        <w:rPr>
          <w:rFonts w:ascii="Consolas" w:cs="Consolas" w:eastAsia="Consolas" w:hAnsi="Consolas"/>
          <w:color w:val="1B2A33"/>
          <w:sz w:val="18"/>
          <w:szCs w:val="18"/>
        </w:rPr>
        <w:t xml:space="preserve"/>
      </w:r>
    </w:p>
    <w:p>
      <w:pPr>
        <w:shd w:fill="EEF2F4" w:val="clear"/>
        <w:spacing w:after="0" w:line="252"/>
        <w:ind w:left="120" w:right="120"/>
      </w:pPr>
      <w:r>
        <w:rPr>
          <w:rFonts w:ascii="Consolas" w:cs="Consolas" w:eastAsia="Consolas" w:hAnsi="Consolas"/>
          <w:color w:val="1B2A33"/>
          <w:sz w:val="18"/>
          <w:szCs w:val="18"/>
        </w:rPr>
        <w:t xml:space="preserve">Calculated columns:</w:t>
      </w:r>
    </w:p>
    <w:p>
      <w:pPr>
        <w:shd w:fill="EEF2F4" w:val="clear"/>
        <w:spacing w:after="0" w:line="252"/>
        <w:ind w:left="120" w:right="120"/>
      </w:pPr>
      <w:r>
        <w:rPr>
          <w:rFonts w:ascii="Consolas" w:cs="Consolas" w:eastAsia="Consolas" w:hAnsi="Consolas"/>
          <w:color w:val="1B2A33"/>
          <w:sz w:val="18"/>
          <w:szCs w:val="18"/>
        </w:rPr>
        <w:t xml:space="preserve">Category Label = dim_npt_category[level1] &amp; " / " &amp; dim_npt_category[level2]</w:t>
      </w:r>
    </w:p>
    <w:p>
      <w:pPr>
        <w:shd w:fill="EEF2F4" w:val="clear"/>
        <w:spacing w:after="0" w:line="252"/>
        <w:ind w:left="120" w:right="120"/>
      </w:pPr>
      <w:r>
        <w:rPr>
          <w:rFonts w:ascii="Consolas" w:cs="Consolas" w:eastAsia="Consolas" w:hAnsi="Consolas"/>
          <w:color w:val="1B2A33"/>
          <w:sz w:val="18"/>
          <w:szCs w:val="18"/>
        </w:rPr>
        <w:t xml:space="preserve">Well Type      = IF(dim_wellbore[is_exploration], "Exploration", "Development")</w:t>
      </w:r>
    </w:p>
    <w:p>
      <w:pPr>
        <w:spacing w:after="120"/>
      </w:pPr>
    </w:p>
    <w:p>
      <w:pPr>
        <w:pStyle w:val="Heading1"/>
        <w:keepNext/>
        <w:spacing w:after="160" w:before="360"/>
      </w:pPr>
      <w:r>
        <w:rPr>
          <w:rFonts w:ascii="Arial" w:cs="Arial" w:eastAsia="Arial" w:hAnsi="Arial"/>
          <w:b/>
          <w:bCs/>
          <w:color w:val="1B2A33"/>
          <w:sz w:val="32"/>
          <w:szCs w:val="32"/>
        </w:rPr>
        <w:t xml:space="preserve">Appendix C. How to Reproduce</w:t>
      </w:r>
    </w:p>
    <w:p>
      <w:pPr>
        <w:pStyle w:val="ListParagraph"/>
        <w:numPr>
          <w:ilvl w:val="0"/>
          <w:numId w:val="7"/>
        </w:numPr>
        <w:spacing w:after="80" w:line="276"/>
      </w:pPr>
      <w:r>
        <w:rPr>
          <w:rFonts w:ascii="Arial" w:cs="Arial" w:eastAsia="Arial" w:hAnsi="Arial"/>
          <w:color w:val="1B2A33"/>
          <w:sz w:val="21"/>
          <w:szCs w:val="21"/>
        </w:rPr>
        <w:t xml:space="preserve">Create the virtual environment, install requirements.txt and copy .env.example to .env with the database settings. Percent-encode the password with quote_plus because it can contain special characters.</w:t>
      </w:r>
    </w:p>
    <w:p>
      <w:pPr>
        <w:pStyle w:val="ListParagraph"/>
        <w:numPr>
          <w:ilvl w:val="0"/>
          <w:numId w:val="7"/>
        </w:numPr>
        <w:spacing w:after="80" w:line="276"/>
      </w:pPr>
      <w:r>
        <w:rPr>
          <w:rFonts w:ascii="Arial" w:cs="Arial" w:eastAsia="Arial" w:hAnsi="Arial"/>
          <w:color w:val="1B2A33"/>
          <w:sz w:val="21"/>
          <w:szCs w:val="21"/>
        </w:rPr>
        <w:t xml:space="preserve">Obtain the Volve data under its licence and place it in data/raw (not committed).</w:t>
      </w:r>
    </w:p>
    <w:p>
      <w:pPr>
        <w:pStyle w:val="ListParagraph"/>
        <w:numPr>
          <w:ilvl w:val="0"/>
          <w:numId w:val="7"/>
        </w:numPr>
        <w:spacing w:after="80" w:line="276"/>
      </w:pPr>
      <w:r>
        <w:rPr>
          <w:rFonts w:ascii="Arial" w:cs="Arial" w:eastAsia="Arial" w:hAnsi="Arial"/>
          <w:color w:val="1B2A33"/>
          <w:sz w:val="21"/>
          <w:szCs w:val="21"/>
        </w:rPr>
        <w:t xml:space="preserve">Run the numbered scripts in src/ in order (00 to 04b) to produce data/interim/drilling_activity_final.parquet.</w:t>
      </w:r>
    </w:p>
    <w:p>
      <w:pPr>
        <w:pStyle w:val="ListParagraph"/>
        <w:numPr>
          <w:ilvl w:val="0"/>
          <w:numId w:val="7"/>
        </w:numPr>
        <w:spacing w:after="80" w:line="276"/>
      </w:pPr>
      <w:r>
        <w:rPr>
          <w:rFonts w:ascii="Arial" w:cs="Arial" w:eastAsia="Arial" w:hAnsi="Arial"/>
          <w:color w:val="1B2A33"/>
          <w:sz w:val="21"/>
          <w:szCs w:val="21"/>
        </w:rPr>
        <w:t xml:space="preserve">Run src/05_load_to_postgres.py to build the schema, load the tables and create the views.</w:t>
      </w:r>
    </w:p>
    <w:p>
      <w:pPr>
        <w:pStyle w:val="ListParagraph"/>
        <w:numPr>
          <w:ilvl w:val="0"/>
          <w:numId w:val="7"/>
        </w:numPr>
        <w:spacing w:after="80" w:line="276"/>
      </w:pPr>
      <w:r>
        <w:rPr>
          <w:rFonts w:ascii="Arial" w:cs="Arial" w:eastAsia="Arial" w:hAnsi="Arial"/>
          <w:color w:val="1B2A33"/>
          <w:sz w:val="21"/>
          <w:szCs w:val="21"/>
        </w:rPr>
        <w:t xml:space="preserve">Open powerbi/volve_npt.pbix in Power BI Desktop. To refresh, point the PostgreSQL connection at your own server (localhost:5432, database volve_npt).</w:t>
      </w:r>
    </w:p>
    <w:p>
      <w:pPr>
        <w:spacing w:after="160"/>
      </w:pPr>
    </w:p>
    <w:p>
      <w:pPr>
        <w:pStyle w:val="Heading1"/>
        <w:keepNext/>
        <w:spacing w:after="160" w:before="360"/>
      </w:pPr>
      <w:r>
        <w:rPr>
          <w:rFonts w:ascii="Arial" w:cs="Arial" w:eastAsia="Arial" w:hAnsi="Arial"/>
          <w:b/>
          <w:bCs/>
          <w:color w:val="1B2A33"/>
          <w:sz w:val="32"/>
          <w:szCs w:val="32"/>
        </w:rPr>
        <w:t xml:space="preserve">Appendix D. Data Licence</w:t>
      </w:r>
    </w:p>
    <w:p>
      <w:pPr>
        <w:spacing w:after="120" w:line="288"/>
      </w:pPr>
      <w:r>
        <w:rPr>
          <w:rFonts w:ascii="Arial" w:cs="Arial" w:eastAsia="Arial" w:hAnsi="Arial"/>
          <w:color w:val="1B2A33"/>
          <w:sz w:val="21"/>
          <w:szCs w:val="21"/>
        </w:rPr>
        <w:t xml:space="preserve">The Volve dataset is released by Equinor ASA and the former Volve licence partners (ExxonMobil E&amp;P Norway AS, Bayerngas Norge AS) “as is”, for study, research and development. This project is for educational and portfolio use and is non-commercial. Raw data is not redistributed. Check the original licence document that accompanies the dataset before publishing anything derived from it, including a public Power BI report, which embeds the data.</w:t>
      </w:r>
    </w:p>
    <w:sectPr>
      <w:headerReference w:type="default" r:id="rId6"/>
      <w:footerReference w:type="default" r:id="rId7"/>
      <w:pgSz w:w="12240" w:h="15840"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C6B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C6B73"/>
        <w:sz w:val="16"/>
        <w:szCs w:val="16"/>
      </w:rPr>
      <w:t xml:space="preserve">Volve Field: Drilling NPT vs. Well Productivity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rPr>
        <w:rFonts w:ascii="Arial" w:cs="Arial" w:eastAsia="Arial" w:hAnsi="Arial"/>
        <w:sz w:val="21"/>
        <w:szCs w:val="21"/>
      </w:rPr>
    </w:lvl>
  </w:abstractNum>
  <w:abstractNum w:abstractNumId="4" w15:restartNumberingAfterBreak="0">
    <w:multiLevelType w:val="hybridMultilevel"/>
    <w:lvl w:ilvl="0" w:tentative="1">
      <w:start w:val="1"/>
      <w:numFmt w:val="decimal"/>
      <w:lvlText w:val="%1."/>
      <w:lvlJc w:val="left"/>
      <w:pPr>
        <w:ind w:left="540" w:hanging="360"/>
      </w:pPr>
      <w:rPr>
        <w:rFonts w:ascii="Arial" w:cs="Arial" w:eastAsia="Arial" w:hAnsi="Arial"/>
        <w:sz w:val="21"/>
        <w:szCs w:val="21"/>
      </w:rPr>
    </w:lvl>
  </w:abstractNum>
  <w:abstractNum w:abstractNumId="5" w15:restartNumberingAfterBreak="0">
    <w:multiLevelType w:val="hybridMultilevel"/>
    <w:lvl w:ilvl="0" w:tentative="1">
      <w:start w:val="1"/>
      <w:numFmt w:val="decimal"/>
      <w:lvlText w:val="%1."/>
      <w:lvlJc w:val="left"/>
      <w:pPr>
        <w:ind w:left="540" w:hanging="360"/>
      </w:pPr>
      <w:rPr>
        <w:rFonts w:ascii="Arial" w:cs="Arial" w:eastAsia="Arial" w:hAnsi="Arial"/>
        <w:sz w:val="21"/>
        <w:szCs w:val="21"/>
      </w:rPr>
    </w:lvl>
  </w:abstractNum>
  <w:abstractNum w:abstractNumId="6" w15:restartNumberingAfterBreak="0">
    <w:multiLevelType w:val="hybridMultilevel"/>
    <w:lvl w:ilvl="0" w:tentative="1">
      <w:start w:val="1"/>
      <w:numFmt w:val="decimal"/>
      <w:lvlText w:val="%1."/>
      <w:lvlJc w:val="left"/>
      <w:pPr>
        <w:ind w:left="540" w:hanging="360"/>
      </w:pPr>
      <w:rPr>
        <w:rFonts w:ascii="Arial" w:cs="Arial" w:eastAsia="Arial" w:hAnsi="Arial"/>
        <w:sz w:val="21"/>
        <w:szCs w:val="21"/>
      </w:rPr>
    </w:lvl>
  </w:abstractNum>
  <w:abstractNum w:abstractNumId="7" w15:restartNumberingAfterBreak="0">
    <w:multiLevelType w:val="hybridMultilevel"/>
    <w:lvl w:ilvl="0" w:tentative="1">
      <w:start w:val="1"/>
      <w:numFmt w:val="decimal"/>
      <w:lvlText w:val="%1."/>
      <w:lvlJc w:val="left"/>
      <w:pPr>
        <w:ind w:left="540" w:hanging="360"/>
      </w:pPr>
      <w:rPr>
        <w:rFonts w:ascii="Arial" w:cs="Arial" w:eastAsia="Arial" w:hAnsi="Arial"/>
        <w:sz w:val="21"/>
        <w:szCs w:val="2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Volve Field: Drilling NPT vs. Well Productivity</dc:title>
  <dc:creator>Utkarsh Raj Srivastava</dc:creator>
  <cp:lastModifiedBy>Un-named</cp:lastModifiedBy>
  <cp:revision>1</cp:revision>
  <dcterms:created xsi:type="dcterms:W3CDTF">2026-10-04T17:02:20.989Z</dcterms:created>
  <dcterms:modified xsi:type="dcterms:W3CDTF">2026-10-04T17:02:21.000Z</dcterms:modified>
</cp:coreProperties>
</file>

<file path=docProps/custom.xml><?xml version="1.0" encoding="utf-8"?>
<Properties xmlns="http://schemas.openxmlformats.org/officeDocument/2006/custom-properties" xmlns:vt="http://schemas.openxmlformats.org/officeDocument/2006/docPropsVTypes"/>
</file>