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Annexure-II: Consent letter from the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1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…(Name, designation and affiliation of Supervisor)………., hereby give my consent to supervise Mr. </w:t>
      </w:r>
      <w:r w:rsidDel="00000000" w:rsidR="00000000" w:rsidRPr="00000000">
        <w:rPr>
          <w:sz w:val="24"/>
          <w:szCs w:val="24"/>
          <w:rtl w:val="0"/>
        </w:rPr>
        <w:t xml:space="preserve">Utkarsh Raj M.Tech Student (Roll No. 2408RES33) and Student in the M.Tech Programme in Artificial Intelligence and Data Science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below mentioned topic for their M. Tech. thesis during academic year 2024-25.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Ensemble Deep Learning for Real-Time Adventure Insurance Fraud Detection Using AWS SageMaker</w:t>
      </w:r>
    </w:p>
    <w:p w:rsidR="00000000" w:rsidDel="00000000" w:rsidP="00000000" w:rsidRDefault="00000000" w:rsidRPr="00000000" w14:paraId="00000008">
      <w:pPr>
        <w:widowControl w:val="1"/>
        <w:spacing w:after="120" w:before="12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Abstract of Problem Statement:</w:t>
      </w:r>
    </w:p>
    <w:p w:rsidR="00000000" w:rsidDel="00000000" w:rsidP="00000000" w:rsidRDefault="00000000" w:rsidRPr="00000000" w14:paraId="00000009">
      <w:pPr>
        <w:widowControl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Adventure sports insurance, a thriving niche fueled by the post-pandemic tourism boom, struggles with rampant fraudulent claims that erode profitability and undermine stakeholder trust. At Adventure Sports Cover 360, where I work as a Backend Python Developer, claims for high-risk activities like paragliding, rafting, and mountaineering often involve exaggerated injuries, staged incidents, or falsified evidence. This creates significant operational challenges, especially with real-time mobile submissions from remote locations. Globally, insurance fraud costs exceed $80 billion annually in 2025, with U.S. losses reaching $308.6 billion according to Forbes Advisor’s 2025 estimates. Property and casualty (P&amp;C) fraud, relevant to adventure coverage, accounts for $45 billion yearly in the U.S., while healthcare fraud leads at $105 billion. The fraud detection market, driven by AI advancements, is valued at $7.17 billion in 2025 and projected to grow to $22.78 billion by 2030 at a 26.01% CAGR, per Mordor Intelligence. In 2023, P&amp;C fraud claims surged due to economic pressures, prompting insurers to increase loss reserves by 5%—adding $5 million per $1 billion in gross written premiums—and highlighting a 19% rise in global auto-related schemes. For adventure insurers, delayed detection inflates premiums by 15-20% and hampers competitiveness in a market demanding instant validation.</w:t>
      </w:r>
    </w:p>
    <w:p w:rsidR="00000000" w:rsidDel="00000000" w:rsidP="00000000" w:rsidRDefault="00000000" w:rsidRPr="00000000" w14:paraId="0000000A">
      <w:pPr>
        <w:widowControl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challenge centers on processing multimodal claim data—narrative texts, injury/gear images, policy tables, and GPS/weather sequences—amid severe class imbalance (&lt;1% fraud) and evolving fraud tactics causing concept drift. Traditional rule-based systems and basic ML models (e.g., logistic regression) detect only 20-40% of soft fraud (exaggerations) and 40-80% of hard fraud (fabrications), leading to $4.5 billion in preventable 2024 global losses, per the Insurance Information Institute. Manual audits worsen delays, increasing processing times by 20% and overburdening underwriters in the high-volume, low-margin adventure sector.</w:t>
      </w:r>
    </w:p>
    <w:p w:rsidR="00000000" w:rsidDel="00000000" w:rsidP="00000000" w:rsidRDefault="00000000" w:rsidRPr="00000000" w14:paraId="0000000B">
      <w:pPr>
        <w:widowControl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Ensemble deep learning combined with real-time cloud analytics offers a transformative solution. Ensembles boost recall (&gt;95%) by leveraging diverse model synergies on imbalanced data, as shown in a 2024 IEEE healthcare fraud study (14% AUC improvement) and AWS’s October 2025 blog on SageMaker-Amazon Connect integration, which achieved 96.2% accuracy with XGBoost on vehicle claims using SMOTE oversampling. This cutting-edge AWS approach aligns with my proposed multimodal ensemble: ResNet50 for image anomalies, DistilBERT for textual insights, Bi-LSTM for temporal patterns, and TabNet for tabular risk assessment, all coordinated by a Bayesian-optimized XGBoost meta-learner. Deployed via SageMaker Endpoints with Kinesis streaming and Lambda for &lt;100ms latency, it reduces false positives by 30% compared to baselines, using augmented IEEE-CIS datasets (100K records).</w:t>
      </w:r>
    </w:p>
    <w:p w:rsidR="00000000" w:rsidDel="00000000" w:rsidP="00000000" w:rsidRDefault="00000000" w:rsidRPr="00000000" w14:paraId="0000000C">
      <w:pPr>
        <w:widowControl w:val="1"/>
        <w:spacing w:after="120" w:before="12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Rooted in my academic foundation in Advanced Machine Learning and AI, complemented by practical experience developing scalable Python/Django backends and AWS solutions (e.g., EC2, S3, Lambda), this framework leverages API Gateway integration. It features SageMaker Model Monitor for drift detection and SHAP for IRDAI-compliant explainability. This framework cuts fraud losses, strengthens trust in adventure insurance, and scales for SMEs, with potential for federated learning to enable privacy-safe inter-insurer collaboration—perfectly in tune with 2025’s AI-driven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is an essential part of their curriculum of Executive M. Tech. at IIT Patna.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and Signature of Supervisor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 hereby certify that the information provided in this document is correct.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Utkarsh Raj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and Signature of the student</w:t>
      </w:r>
    </w:p>
    <w:sectPr>
      <w:pgSz w:h="16840" w:w="11910" w:orient="portrait"/>
      <w:pgMar w:bottom="280" w:top="1360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jc w:val="center"/>
    </w:pPr>
    <w:rPr>
      <w:rFonts w:ascii="Times New Roman" w:cs="Times New Roman" w:eastAsia="Times New Roman" w:hAnsi="Times New Roman"/>
      <w:b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2024-08-27T00:00:00Z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2025-10-24T00:00:00Z</vt:lpwstr>
  </property>
  <property fmtid="{D5CDD505-2E9C-101B-9397-08002B2CF9AE}" pid="5" name="Producer">
    <vt:lpwstr>Microsoft® Word for Microsoft 365</vt:lpwstr>
  </property>
</Properties>
</file>