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Acceptance Criteria &amp; Limits (ACL) — CYG-21700-50G</w:t>
      </w:r>
    </w:p>
    <w:p>
      <w:r>
        <w:rPr>
          <w:i/>
        </w:rPr>
        <w:t>Cygnus Cell Technologies  |  Document ACL-CYG21700-00  |  Framework IESF-4400</w:t>
      </w:r>
    </w:p>
    <w:p>
      <w:r>
        <w:t>The following acceptance limits apply to qualification testing. Limits are organised by duty profile. Where a parameter row carries a marker, the corresponding note at the foot of this document applies.</w:t>
      </w:r>
    </w:p>
    <w:p>
      <w:r>
        <w:rPr>
          <w:b/>
          <w:color w:val="1F3A5F"/>
          <w:sz w:val="23"/>
        </w:rPr>
        <w:t>Duty Profile: Automotive Traction   (conditioning rates: 0.5C, 1.0C)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  <w:color w:val="1F3A5F"/>
          <w:sz w:val="23"/>
        </w:rPr>
        <w:t>Duty Profile: Grid Storage   (conditioning rates: 0.5C)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</w:rPr>
        <w:t>Notes:</w:t>
      </w:r>
    </w:p>
    <w:p>
      <w:r>
        <w:t>* Capacity limits apply to graded cells only; ungraded cells are assessed per IESF-4400 §6.2.1.</w:t>
      </w:r>
    </w:p>
    <w:p>
      <w:r>
        <w:t># DCIR is measured by a 10 s DC pulse at 1.0C and corrected to 50% SOC.</w:t>
      </w:r>
    </w:p>
    <w:p>
      <w:r>
        <w:t>@ Mechanical-abuse limits apply to cylindrical and prismatic formats; pouch cells are governed by Annex P.</w:t>
      </w:r>
    </w:p>
    <w:p>
      <w:r>
        <w:t>$ The test voltage window is defined by the cell vendor datasheet electrical ratings, not by this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