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CELL QUALIFICATION PROTOCOL</w:t>
      </w:r>
    </w:p>
    <w:p>
      <w:pPr>
        <w:jc w:val="center"/>
      </w:pPr>
      <w:r>
        <w:t xml:space="preserve">{{ cell_model }}  —  </w:t>
      </w:r>
      <w:r>
        <w:t xml:space="preserve">{{ </w:t>
      </w:r>
      <w:r>
        <w:rPr>
          <w:b/>
        </w:rPr>
        <w:t>manufacturer_from_datasheet</w:t>
      </w:r>
      <w:r>
        <w:rPr>
          <w:i w:val="0"/>
        </w:rPr>
        <w:t xml:space="preserve"> }}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Document No.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doc_number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Target market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market</w:t>
            </w:r>
            <w:r>
              <w:rPr>
                <w:i w:val="0"/>
              </w:rPr>
              <w:t xml:space="preserve"> }}</w:t>
            </w:r>
          </w:p>
        </w:tc>
      </w:tr>
    </w:tbl>
    <w:p/>
    <w:p>
      <w:r>
        <w:rPr>
          <w:b/>
          <w:color w:val="1F3A5F"/>
          <w:sz w:val="26"/>
        </w:rPr>
        <w:t>1. Purpose</w:t>
      </w:r>
    </w:p>
    <w:p>
      <w:r>
        <w:t xml:space="preserve">This protocol defines the qualification testing of the </w:t>
      </w:r>
      <w:r>
        <w:t xml:space="preserve">{{ </w:t>
      </w:r>
      <w:r>
        <w:rPr>
          <w:b w:val="0"/>
        </w:rPr>
        <w:t>cell_model</w:t>
      </w:r>
      <w:r>
        <w:rPr>
          <w:i w:val="0"/>
        </w:rPr>
        <w:t xml:space="preserve"> }}</w:t>
      </w:r>
      <w:r>
        <w:t xml:space="preserve"> cell manufactured by </w:t>
      </w:r>
      <w:r>
        <w:t xml:space="preserve">{{ </w:t>
      </w:r>
      <w:r>
        <w:rPr>
          <w:b/>
        </w:rPr>
        <w:t>manufacturer_from_datasheet</w:t>
      </w:r>
      <w:r>
        <w:rPr>
          <w:i w:val="0"/>
        </w:rPr>
        <w:t xml:space="preserve"> }}</w:t>
      </w:r>
      <w:r>
        <w:t xml:space="preserve">, under </w:t>
      </w:r>
      <w:r>
        <w:t xml:space="preserve">{{ </w:t>
      </w:r>
      <w:r>
        <w:rPr>
          <w:b w:val="0"/>
        </w:rPr>
        <w:t>framework</w:t>
      </w:r>
      <w:r>
        <w:rPr>
          <w:i w:val="0"/>
        </w:rPr>
        <w:t xml:space="preserve"> }}</w:t>
      </w:r>
      <w:r>
        <w:t xml:space="preserve">. The cell is qualified across the following duty profiles: </w:t>
      </w:r>
      <w:r>
        <w:t xml:space="preserve">{{ </w:t>
      </w:r>
      <w:r>
        <w:rPr>
          <w:b w:val="0"/>
        </w:rPr>
        <w:t>duty_profiles</w:t>
      </w:r>
      <w:r>
        <w:rPr>
          <w:i w:val="0"/>
        </w:rPr>
        <w:t xml:space="preserve"> }}</w:t>
      </w:r>
      <w:r>
        <w:t>.</w:t>
      </w:r>
    </w:p>
    <w:p>
      <w:r>
        <w:rPr>
          <w:b/>
          <w:color w:val="1F3A5F"/>
          <w:sz w:val="26"/>
        </w:rPr>
        <w:t>2. Scope</w:t>
      </w:r>
    </w:p>
    <w:p>
      <w:r>
        <w:t xml:space="preserve">Applies to the </w:t>
      </w:r>
      <w:r>
        <w:t xml:space="preserve">{{ </w:t>
      </w:r>
      <w:r>
        <w:rPr>
          <w:b w:val="0"/>
        </w:rPr>
        <w:t>format_from_datasheet</w:t>
      </w:r>
      <w:r>
        <w:rPr>
          <w:i w:val="0"/>
        </w:rPr>
        <w:t xml:space="preserve"> }}</w:t>
      </w:r>
      <w:r>
        <w:t xml:space="preserve"> cell of chemistry </w:t>
      </w:r>
      <w:r>
        <w:t xml:space="preserve">{{ </w:t>
      </w:r>
      <w:r>
        <w:rPr>
          <w:b w:val="0"/>
        </w:rPr>
        <w:t>chemistry</w:t>
      </w:r>
      <w:r>
        <w:rPr>
          <w:i w:val="0"/>
        </w:rPr>
        <w:t xml:space="preserve"> }}</w:t>
      </w:r>
      <w:r>
        <w:t xml:space="preserve">. Testing is performed by </w:t>
      </w:r>
      <w:r>
        <w:t xml:space="preserve">{{ </w:t>
      </w:r>
      <w:r>
        <w:rPr>
          <w:b w:val="0"/>
        </w:rPr>
        <w:t>lab</w:t>
      </w:r>
      <w:r>
        <w:rPr>
          <w:i w:val="0"/>
        </w:rPr>
        <w:t xml:space="preserve"> }}</w:t>
      </w:r>
      <w:r>
        <w:t>.</w:t>
      </w:r>
    </w:p>
    <w:p>
      <w:r>
        <w:rPr>
          <w:b/>
          <w:color w:val="1F3A5F"/>
          <w:sz w:val="26"/>
        </w:rPr>
        <w:t>3. Reference Documents</w:t>
      </w:r>
    </w:p>
    <w:p>
      <w:pPr>
        <w:pStyle w:val="ListBullet"/>
      </w:pPr>
      <w:r>
        <w:t xml:space="preserve">Test Method Procedure: </w:t>
      </w:r>
      <w:r>
        <w:t xml:space="preserve">{{ </w:t>
      </w:r>
      <w:r>
        <w:rPr>
          <w:b w:val="0"/>
        </w:rPr>
        <w:t>tmp_doc_title</w:t>
      </w:r>
      <w:r>
        <w:rPr>
          <w:i w:val="0"/>
        </w:rPr>
        <w:t xml:space="preserve"> }}</w:t>
      </w:r>
    </w:p>
    <w:p>
      <w:pPr>
        <w:pStyle w:val="ListBullet"/>
      </w:pPr>
      <w:r>
        <w:t xml:space="preserve">Acceptance Criteria &amp; Limits: </w:t>
      </w:r>
      <w:r>
        <w:t xml:space="preserve">{{ </w:t>
      </w:r>
      <w:r>
        <w:rPr>
          <w:b w:val="0"/>
        </w:rPr>
        <w:t>acl_doc_title</w:t>
      </w:r>
      <w:r>
        <w:rPr>
          <w:i w:val="0"/>
        </w:rPr>
        <w:t xml:space="preserve"> }}</w:t>
      </w:r>
    </w:p>
    <w:p>
      <w:pPr>
        <w:pStyle w:val="ListBullet"/>
      </w:pPr>
      <w:r>
        <w:t xml:space="preserve">Vendor datasheet: </w:t>
      </w:r>
      <w:r>
        <w:t xml:space="preserve">{{ </w:t>
      </w:r>
      <w:r>
        <w:rPr>
          <w:b w:val="0"/>
        </w:rPr>
        <w:t>datasheet_title</w:t>
      </w:r>
      <w:r>
        <w:rPr>
          <w:i w:val="0"/>
        </w:rPr>
        <w:t xml:space="preserve"> }}</w:t>
      </w:r>
    </w:p>
    <w:p>
      <w:r>
        <w:rPr>
          <w:b/>
          <w:color w:val="1F3A5F"/>
          <w:sz w:val="26"/>
        </w:rPr>
        <w:t>4. Test Article Description</w:t>
      </w:r>
    </w:p>
    <w:p>
      <w:r>
        <w:t>The following values are taken from the vendor datasheet.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Manufacturer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manufacturer_from_datasheet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Cell format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format_from_datasheet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Nominal voltage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nominal_voltage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Charge voltage (max)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v_max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Discharge cut-off (min)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v_min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Rated capacity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rated_capacity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Storage condition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storage_from_datasheet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Supplied as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supplied_as_from_datasheet</w:t>
            </w:r>
            <w:r>
              <w:rPr>
                <w:i w:val="0"/>
              </w:rPr>
              <w:t xml:space="preserve"> }}</w:t>
            </w:r>
          </w:p>
        </w:tc>
      </w:tr>
    </w:tbl>
    <w:p>
      <w:r>
        <w:rPr>
          <w:b/>
          <w:color w:val="1F3A5F"/>
          <w:sz w:val="26"/>
        </w:rPr>
        <w:t>5. Conditioning and Test Window</w:t>
      </w:r>
    </w:p>
    <w:p>
      <w:r>
        <w:t xml:space="preserve">Each cell is conditioned by CC-CV charge to </w:t>
      </w:r>
      <w:r>
        <w:t xml:space="preserve">{{ </w:t>
      </w:r>
      <w:r>
        <w:rPr>
          <w:b w:val="0"/>
        </w:rPr>
        <w:t>v_max</w:t>
      </w:r>
      <w:r>
        <w:rPr>
          <w:i w:val="0"/>
        </w:rPr>
        <w:t xml:space="preserve"> }}</w:t>
      </w:r>
      <w:r>
        <w:t xml:space="preserve"> and discharge to </w:t>
      </w:r>
      <w:r>
        <w:t xml:space="preserve">{{ </w:t>
      </w:r>
      <w:r>
        <w:rPr>
          <w:b w:val="0"/>
        </w:rPr>
        <w:t>v_min</w:t>
      </w:r>
      <w:r>
        <w:rPr>
          <w:i w:val="0"/>
        </w:rPr>
        <w:t xml:space="preserve"> }}</w:t>
      </w:r>
      <w:r>
        <w:t xml:space="preserve">. Cells whose graded capacity falls outside the band </w:t>
      </w:r>
      <w:r>
        <w:t xml:space="preserve">{{ </w:t>
      </w:r>
      <w:r>
        <w:rPr>
          <w:b w:val="0"/>
        </w:rPr>
        <w:t>grading_low</w:t>
      </w:r>
      <w:r>
        <w:rPr>
          <w:i w:val="0"/>
        </w:rPr>
        <w:t xml:space="preserve"> }}</w:t>
      </w:r>
      <w:r>
        <w:t xml:space="preserve"> to </w:t>
      </w:r>
      <w:r>
        <w:t xml:space="preserve">{{ </w:t>
      </w:r>
      <w:r>
        <w:rPr>
          <w:b w:val="0"/>
        </w:rPr>
        <w:t>grading_high</w:t>
      </w:r>
      <w:r>
        <w:rPr>
          <w:i w:val="0"/>
        </w:rPr>
        <w:t xml:space="preserve"> }}</w:t>
      </w:r>
      <w:r>
        <w:t xml:space="preserve"> are rejected before testing.</w:t>
      </w:r>
    </w:p>
    <w:p>
      <w:r>
        <w:rPr>
          <w:b/>
          <w:color w:val="1F3A5F"/>
          <w:sz w:val="26"/>
        </w:rPr>
        <w:t>6. Duty Profile Test Matrix</w:t>
      </w:r>
    </w:p>
    <w:p>
      <w:r>
        <w:t>Table 1 — expands to one row per duty profile and conditioning rate.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pPr>
              <w:jc w:val="left"/>
              <w:numPr>
                <w:ilvl w:val="0"/>
                <w:numId w:val="7"/>
              </w:numPr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656"/>
          </w:tcPr>
          <w:p>
            <w:r>
              <w:t xml:space="preserve">{{ </w:t>
            </w:r>
            <w:r>
              <w:rPr>
                <w:b w:val="0"/>
              </w:rPr>
              <w:t>duty_profile</w:t>
            </w:r>
            <w:r>
              <w:rPr>
                <w:i w:val="0"/>
              </w:rPr>
              <w:t xml:space="preserve"> }}</w:t>
            </w:r>
          </w:p>
        </w:tc>
        <w:tc>
          <w:tcPr>
            <w:tcW w:type="dxa" w:w="1656"/>
          </w:tcPr>
          <w:p>
            <w:r>
              <w:t xml:space="preserve">{{ </w:t>
            </w:r>
            <w:r>
              <w:rPr>
                <w:b w:val="0"/>
              </w:rPr>
              <w:t>rate</w:t>
            </w:r>
            <w:r>
              <w:rPr>
                <w:i w:val="0"/>
              </w:rPr>
              <w:t xml:space="preserve"> }}</w:t>
            </w:r>
          </w:p>
        </w:tc>
        <w:tc>
          <w:tcPr>
            <w:tcW w:type="dxa" w:w="1656"/>
          </w:tcPr>
          <w:p>
            <w:r>
              <w:t xml:space="preserve">{{ </w:t>
            </w:r>
            <w:r>
              <w:rPr>
                <w:b w:val="0"/>
              </w:rPr>
              <w:t>v_max</w:t>
            </w:r>
            <w:r>
              <w:rPr>
                <w:i w:val="0"/>
              </w:rPr>
              <w:t xml:space="preserve"> }}</w:t>
            </w:r>
          </w:p>
        </w:tc>
        <w:tc>
          <w:tcPr>
            <w:tcW w:type="dxa" w:w="1656"/>
          </w:tcPr>
          <w:p>
            <w:r>
              <w:t xml:space="preserve">{{ </w:t>
            </w:r>
            <w:r>
              <w:rPr>
                <w:b w:val="0"/>
              </w:rPr>
              <w:t>v_min</w:t>
            </w:r>
            <w:r>
              <w:rPr>
                <w:i w:val="0"/>
              </w:rPr>
              <w:t xml:space="preserve"> }}</w:t>
            </w:r>
          </w:p>
        </w:tc>
        <w:tc>
          <w:tcPr>
            <w:tcW w:type="dxa" w:w="1656"/>
          </w:tcPr>
          <w:p>
            <w:r>
              <w:t xml:space="preserve">{{ </w:t>
            </w:r>
            <w:r>
              <w:rPr>
                <w:b w:val="0"/>
              </w:rPr>
              <w:t>cycles</w:t>
            </w:r>
            <w:r>
              <w:rPr>
                <w:i w:val="0"/>
              </w:rPr>
              <w:t xml:space="preserve"> }}</w:t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t>The block below is repeated for each duty profile. The placeholder row is replaced by one row per test taken from the ACL for that duty profile.</w:t>
      </w:r>
    </w:p>
    <w:p>
      <w:r>
        <w:rPr>
          <w:b/>
          <w:sz w:val="24"/>
        </w:rPr>
        <w:t>7.</w:t>
      </w:r>
      <w:r>
        <w:t xml:space="preserve">{{ </w:t>
      </w:r>
      <w:r>
        <w:rPr>
          <w:b/>
        </w:rPr>
        <w:t>block_index</w:t>
      </w:r>
      <w:r>
        <w:rPr>
          <w:i w:val="0"/>
        </w:rPr>
        <w:t xml:space="preserve"> }}</w:t>
      </w:r>
      <w:r>
        <w:rPr>
          <w:b/>
          <w:sz w:val="24"/>
        </w:rPr>
        <w:t xml:space="preserve"> Qualification Tests — </w:t>
      </w:r>
      <w:r>
        <w:t xml:space="preserve">{{ </w:t>
      </w:r>
      <w:r>
        <w:rPr>
          <w:b/>
        </w:rPr>
        <w:t>duty_profile</w:t>
      </w:r>
      <w:r>
        <w:rPr>
          <w:i w:val="0"/>
        </w:rPr>
        <w:t xml:space="preserve"> }}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{{ framework }} Clause</w:t>
            </w:r>
          </w:p>
        </w:tc>
      </w:tr>
      <w:tr>
        <w:tc>
          <w:tcPr>
            <w:tcW w:type="dxa" w:w="2484"/>
          </w:tcPr>
          <w:p>
            <w:pPr>
              <w:jc w:val="left"/>
              <w:numPr>
                <w:ilvl w:val="0"/>
                <w:numId w:val="7"/>
              </w:numPr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From the ACL w.r.t. the duty profile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rPr>
          <w:b/>
        </w:rPr>
        <w:t>Acceptance Criteria:</w:t>
      </w:r>
    </w:p>
    <w:p>
      <w:r>
        <w:t>{{ to_be_added_by_reviewer }}</w:t>
      </w:r>
    </w:p>
    <w:p>
      <w:r>
        <w:rPr>
          <w:b/>
        </w:rPr>
        <w:t>Conclusion:</w:t>
      </w:r>
    </w:p>
    <w:p>
      <w:r>
        <w:t>{{ to_be_added_by_reviewer }}</w:t>
      </w:r>
    </w:p>
    <w:p/>
    <w:p>
      <w:r>
        <w:rPr>
          <w:b/>
        </w:rPr>
        <w:t>Applicable notes from the ACL:</w:t>
      </w:r>
    </w:p>
    <w:p>
      <w:r>
        <w:t xml:space="preserve">{{ </w:t>
      </w:r>
      <w:r>
        <w:rPr>
          <w:b w:val="0"/>
        </w:rPr>
        <w:t>also_fetch_any_footnotes_from_the_acl</w:t>
      </w:r>
      <w:r>
        <w:rPr>
          <w:i w:val="0"/>
        </w:rPr>
        <w:t xml:space="preserve"> }}</w:t>
      </w:r>
    </w:p>
    <w:p>
      <w:r>
        <w:rPr>
          <w:b/>
          <w:color w:val="1F3A5F"/>
          <w:sz w:val="26"/>
        </w:rPr>
        <w:t>Revision Record</w:t>
      </w:r>
    </w:p>
    <w:p>
      <w:r>
        <w:t>This table is completed manually and MUST remain blank at issue.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{{ doc_number }}    |    IESF-4400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