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E1595" w14:textId="413C328F" w:rsidR="001505A4" w:rsidRDefault="001505A4" w:rsidP="001505A4">
      <w:pPr>
        <w:pStyle w:val="Title"/>
        <w:jc w:val="center"/>
        <w:rPr>
          <w:sz w:val="48"/>
          <w:szCs w:val="48"/>
        </w:rPr>
      </w:pPr>
      <w:r w:rsidRPr="001505A4">
        <w:rPr>
          <w:sz w:val="48"/>
          <w:szCs w:val="48"/>
        </w:rPr>
        <w:t>Edge-Deployed Full-Duplex Conversational AI: Multi-Tier SEPTQ Compression of a Moshi-Family Architecture for the NVIDIA Jetson Orin Nano</w:t>
      </w:r>
    </w:p>
    <w:p w14:paraId="6D54A5EE" w14:textId="77777777" w:rsidR="001505A4" w:rsidRDefault="001505A4" w:rsidP="001505A4"/>
    <w:p w14:paraId="702E4DCC" w14:textId="3EDC92F7" w:rsidR="006D27E2" w:rsidRDefault="004A52A9" w:rsidP="00D55390">
      <w:pPr>
        <w:pStyle w:val="Heading1"/>
      </w:pPr>
      <w:r>
        <w:t>Abstract</w:t>
      </w:r>
    </w:p>
    <w:p w14:paraId="7821098B" w14:textId="631A02CB" w:rsidR="006D27E2" w:rsidRDefault="006D27E2" w:rsidP="006D27E2">
      <w:r>
        <w:t xml:space="preserve">The deployment of real-time, full-duplex speech-to-speech foundation models on edge devices is severely constrained by memory limitations. This Type A primary research project investigates the deployment of a 7-billion parameter Moshi-family architecture on an NVIDIA Jetson Orin Nano 8GB, a hardware platform enforcing a strict 5.5 GB unified memory ceiling. To bridge the gap between the 16.7 GB BF16 baseline model and the physical hardware limits, a custom four-tier Salient Efficient Post-Training Quantization (SEPTQ) scheme was implemented. The system dynamically assigns FP16, INT8, INT4, and INT2 precision to model weights based on Hessian-weighted saliency scores. Experimental findings revealed a strict architectural boundary: the </w:t>
      </w:r>
      <m:oMath>
        <m:r>
          <w:rPr>
            <w:rFonts w:ascii="Cambria Math" w:hAnsi="Cambria Math"/>
          </w:rPr>
          <m:t>self_attn.out_proj</m:t>
        </m:r>
      </m:oMath>
      <w:r>
        <w:t xml:space="preserve"> tensors possess a unique acoustic fragility. An experimental iteration (v11) attempting full quantization across these layers resulted in a catastrophic failure, culminating in a</w:t>
      </w:r>
      <w:r w:rsidR="008E386B">
        <w:t xml:space="preserve">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rsidR="001D2CEF">
        <w:t xml:space="preserve"> </w:t>
      </w:r>
      <w:r>
        <w:t xml:space="preserve">cosine median of 0.894 and triggering the predefined 0.90 abort threshold. By isolating these layers and applying Quantization-Aware Training (QAT) recovery, the final model achieved a stable cosine median of 0.9727 and yielded a </w:t>
      </w:r>
      <w:r w:rsidR="00D55390">
        <w:t>7</w:t>
      </w:r>
      <w:r>
        <w:t>.69 GB GGUF artifact. The findings demonstrate the viability of aggressive multi-tier quantization for speech models while highlighting the theoretical boundaries of edge-deployed continuous representation architectures.</w:t>
      </w:r>
    </w:p>
    <w:p w14:paraId="6926D655" w14:textId="6F28F1AA" w:rsidR="00D55390" w:rsidRDefault="00D55390" w:rsidP="00D55390">
      <w:pPr>
        <w:pStyle w:val="Heading1"/>
      </w:pPr>
      <w:r>
        <w:t>Introduction</w:t>
      </w:r>
    </w:p>
    <w:p w14:paraId="41EFC55B" w14:textId="36344C7D" w:rsidR="00465BCE" w:rsidRDefault="00465BCE" w:rsidP="00465BCE">
      <w:r>
        <w:t xml:space="preserve">The evolution of intelligent agents from asynchronous, cloud-tethered text generators to physically embodied, real-time conversational companions demand a fundamental reimagining of neural network architecture and post-training compression </w:t>
      </w:r>
      <w:sdt>
        <w:sdtPr>
          <w:id w:val="1022906411"/>
          <w:citation/>
        </w:sdtPr>
        <w:sdtContent>
          <w:r w:rsidR="00D46AC0">
            <w:fldChar w:fldCharType="begin"/>
          </w:r>
          <w:r w:rsidR="00D46AC0">
            <w:instrText xml:space="preserve"> CITATION Liu25 \l 2057 </w:instrText>
          </w:r>
          <w:r w:rsidR="00D46AC0">
            <w:fldChar w:fldCharType="separate"/>
          </w:r>
          <w:r w:rsidR="00D46AC0" w:rsidRPr="00D46AC0">
            <w:rPr>
              <w:noProof/>
            </w:rPr>
            <w:t>(Liu, et al., 2025)</w:t>
          </w:r>
          <w:r w:rsidR="00D46AC0">
            <w:fldChar w:fldCharType="end"/>
          </w:r>
        </w:sdtContent>
      </w:sdt>
      <w:r>
        <w:t xml:space="preserve">. Locally deployed conversational AI matters profoundly because it eliminates the variable latency introduced by cloud networking, guarantees strict user data privacy, and enables autonomous operation in disconnected environments </w:t>
      </w:r>
      <w:sdt>
        <w:sdtPr>
          <w:id w:val="-1679649338"/>
          <w:citation/>
        </w:sdtPr>
        <w:sdtContent>
          <w:r w:rsidR="00D46AC0">
            <w:fldChar w:fldCharType="begin"/>
          </w:r>
          <w:r w:rsidR="00D46AC0">
            <w:instrText xml:space="preserve"> CITATION Sam26 \l 2057 </w:instrText>
          </w:r>
          <w:r w:rsidR="00D46AC0">
            <w:fldChar w:fldCharType="separate"/>
          </w:r>
          <w:r w:rsidR="00D46AC0" w:rsidRPr="00D46AC0">
            <w:rPr>
              <w:noProof/>
            </w:rPr>
            <w:t>(Samson, 2026)</w:t>
          </w:r>
          <w:r w:rsidR="00D46AC0">
            <w:fldChar w:fldCharType="end"/>
          </w:r>
        </w:sdtContent>
      </w:sdt>
      <w:r>
        <w:t xml:space="preserve">. However, traditional methodologies for achieving this rely upon cascaded processing pipelines comprising sequential Automatic Speech Recognition (ASR), large language model (LLM) text generation, and subsequent Text-to-Speech (TTS) synthesis. This cascaded modality is structurally flawed for </w:t>
      </w:r>
      <w:r>
        <w:lastRenderedPageBreak/>
        <w:t>real-time biological mimicry; it introduces severe cumulative latency penalties and fundamentally destroys paralinguistic metadata at the intermediate textual bottleneck. Features such as emotional prosody, non-verbal acoustic cues, micro-hesitations, and accent markers are entirely stripped away</w:t>
      </w:r>
      <w:sdt>
        <w:sdtPr>
          <w:id w:val="1448125419"/>
          <w:citation/>
        </w:sdtPr>
        <w:sdtContent>
          <w:r w:rsidR="003A732D">
            <w:fldChar w:fldCharType="begin"/>
          </w:r>
          <w:r w:rsidR="003A732D">
            <w:instrText xml:space="preserve"> CITATION Déf24 \l 2057 </w:instrText>
          </w:r>
          <w:r w:rsidR="003A732D">
            <w:fldChar w:fldCharType="separate"/>
          </w:r>
          <w:r w:rsidR="003A732D">
            <w:rPr>
              <w:noProof/>
            </w:rPr>
            <w:t xml:space="preserve"> </w:t>
          </w:r>
          <w:r w:rsidR="003A732D" w:rsidRPr="003A732D">
            <w:rPr>
              <w:noProof/>
            </w:rPr>
            <w:t>(Défossez, et al., 2024)</w:t>
          </w:r>
          <w:r w:rsidR="003A732D">
            <w:fldChar w:fldCharType="end"/>
          </w:r>
        </w:sdtContent>
      </w:sdt>
      <w:r w:rsidR="003A732D">
        <w:t>.</w:t>
      </w:r>
    </w:p>
    <w:p w14:paraId="25597434" w14:textId="68E5A57D" w:rsidR="00465BCE" w:rsidRDefault="00465BCE" w:rsidP="00465BCE">
      <w:r>
        <w:t>Speech-to-speech architectures, conversely, operate directly within a continuous acoustic representation space, facilitating full-duplex communication characterized by overlapping speech, autonomous backchanneling, and latency metrics that rival human cognitive processing speeds</w:t>
      </w:r>
      <w:r w:rsidR="00FC5DE5">
        <w:t xml:space="preserve">. </w:t>
      </w:r>
      <w:r>
        <w:t>Yet, deploying such massive continuous-space models onto localized edge hardware imposes extreme physical boundaries. The NVIDIA Jetson Orin Nano 8GB, operating under a severe 25W "Super Mode" thermal envelope, enforces a strict 5.5 GB usable unified memory ceiling. This singular hardware constraint demands a compression strategy capable of crushing billions of continuous floating-point parameters into discrete low-bit grids without destroying the delicate geometric manifold responsible for acoustic rendering</w:t>
      </w:r>
      <w:r w:rsidR="00FC5DE5">
        <w:t>.</w:t>
      </w:r>
    </w:p>
    <w:p w14:paraId="1EEBA6C8" w14:textId="0FFACDA6" w:rsidR="00465BCE" w:rsidRPr="00465BCE" w:rsidRDefault="00465BCE" w:rsidP="00465BCE">
      <w:r>
        <w:t>The research contributions of this project are extensive and multifaceted. The investigation provides a rigorously curated 968-clip character voice dataset, mathematically isolated through advanced neural separation and speaker verification architectures</w:t>
      </w:r>
      <w:r w:rsidR="00831445">
        <w:t xml:space="preserve">. </w:t>
      </w:r>
      <w:r>
        <w:t>Furthermore, it documents the bespoke implementation of a multi-tier SEPTQ compression methodology upon a Moshi-family continuous speech model, a feat previously undocumented in the foundational literature</w:t>
      </w:r>
      <w:sdt>
        <w:sdtPr>
          <w:id w:val="-242954243"/>
          <w:citation/>
        </w:sdtPr>
        <w:sdtContent>
          <w:r w:rsidR="00831445">
            <w:fldChar w:fldCharType="begin"/>
          </w:r>
          <w:r w:rsidR="00831445">
            <w:instrText xml:space="preserve"> CITATION Liu25 \l 2057 </w:instrText>
          </w:r>
          <w:r w:rsidR="00831445">
            <w:fldChar w:fldCharType="separate"/>
          </w:r>
          <w:r w:rsidR="00831445">
            <w:rPr>
              <w:noProof/>
            </w:rPr>
            <w:t xml:space="preserve"> </w:t>
          </w:r>
          <w:r w:rsidR="00831445" w:rsidRPr="00831445">
            <w:rPr>
              <w:noProof/>
            </w:rPr>
            <w:t>(Liu, et al., 2025)</w:t>
          </w:r>
          <w:r w:rsidR="00831445">
            <w:fldChar w:fldCharType="end"/>
          </w:r>
        </w:sdtContent>
      </w:sdt>
      <w:r>
        <w:t xml:space="preserve">. Through this process, the research presents the empirical discovery of the </w:t>
      </w:r>
      <m:oMath>
        <m:r>
          <w:rPr>
            <w:rFonts w:ascii="Cambria Math" w:hAnsi="Cambria Math"/>
          </w:rPr>
          <m:t>out_proj</m:t>
        </m:r>
      </m:oMath>
      <w:r>
        <w:t xml:space="preserve"> precision floor, demonstrating that specific attention aggregation matrices fundamentally cannot survive parameter precision reduction. Finally, the project introduces the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xml:space="preserve"> drift metric as a novel, highly sensitive layer-by-layer evaluation tool designed specifically to measure compounding autoregressive error in continuous acoustic environments where standard textual perplexity metrics fail</w:t>
      </w:r>
      <w:r w:rsidR="00B409DB">
        <w:t>.</w:t>
      </w:r>
    </w:p>
    <w:p w14:paraId="03AAA1DA" w14:textId="77777777" w:rsidR="00D55390" w:rsidRDefault="00D55390" w:rsidP="00D55390"/>
    <w:p w14:paraId="6DB545F9" w14:textId="544BCDC7" w:rsidR="008814C6" w:rsidRDefault="008814C6" w:rsidP="008814C6">
      <w:pPr>
        <w:pStyle w:val="Heading1"/>
      </w:pPr>
      <w:r>
        <w:t>Problem Statement</w:t>
      </w:r>
    </w:p>
    <w:p w14:paraId="21049B49" w14:textId="77777777" w:rsidR="00C1444D" w:rsidRPr="00C1444D" w:rsidRDefault="00C1444D" w:rsidP="00C1444D">
      <w:r w:rsidRPr="00C1444D">
        <w:t>The central challenge of this research lies in the mathematical and systemic gap between the baseline state-of-the-art speech model and the physical constraints of the deployment hardware. The foundational model, a fine-tuned v5_step1500 checkpoint utilizing BF16 precision, possessed a memory footprint of 16.7 GB. The NVIDIA Jetson Orin Nano 8GB target platform features a hard 5.5 GB limit on usable unified memory.</w:t>
      </w:r>
    </w:p>
    <w:p w14:paraId="48C5F5B1" w14:textId="77777777" w:rsidR="00C1444D" w:rsidRPr="00C1444D" w:rsidRDefault="00C1444D" w:rsidP="00C1444D">
      <w:r w:rsidRPr="00C1444D">
        <w:t>[FIGURE 1 — Memory Footprint vs Hardware Ceiling: Horizontal bar chart comparing the 16.7 GB BF16 baseline, the 9.69 GB v12 GGUF artifact, and the 5.5 GB Jetson Orin Nano usable memory ceiling. Include a red dashed line at 5.5 GB.]</w:t>
      </w:r>
    </w:p>
    <w:p w14:paraId="6A27E1CD" w14:textId="466490A8" w:rsidR="008814C6" w:rsidRDefault="00C1444D" w:rsidP="008814C6">
      <w:r w:rsidRPr="00C1444D">
        <w:lastRenderedPageBreak/>
        <w:t xml:space="preserve">Standard compression methodologies proved inadequate for this specific architecture. Standard INT4 weight-only quantization, NF4, and AWQ techniques suffered from severe degradation due to massive activation outliers. Profiling revealed that activation magnitudes in the depth transformer modules spiked between 40x and 66x above the baseline mean. The presence of these outliers renders naive quantization catastrophic, as it destroys the delicate acoustic mappings required for the 12.5 Hz Mimi codec reconstruction. Furthermore, structured pruning techniques such as SliceGPT triggered massive mathematical instabilities, amplifying errors rather than reducing computational load. Consequently, the core research question driving this project asks: what is the maximum theoretical compression achievable for a Moshi-family temporal transformer while preserving a functional acoustic generation capacity, mathematically defined as maintaining a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rPr>
          <w:rFonts w:eastAsiaTheme="minorEastAsia"/>
        </w:rPr>
        <w:t xml:space="preserve"> </w:t>
      </w:r>
      <w:r w:rsidRPr="00C1444D">
        <w:t>cosine median above 0.997?</w:t>
      </w:r>
    </w:p>
    <w:p w14:paraId="21047CAD" w14:textId="3ABEF602" w:rsidR="008814C6" w:rsidRDefault="008814C6" w:rsidP="008814C6">
      <w:pPr>
        <w:pStyle w:val="Heading1"/>
      </w:pPr>
      <w:r>
        <w:t>Literature Review</w:t>
      </w:r>
    </w:p>
    <w:p w14:paraId="7FE14828" w14:textId="34247630" w:rsidR="00B324F2" w:rsidRPr="00B324F2" w:rsidRDefault="00B324F2" w:rsidP="00B324F2">
      <w:r w:rsidRPr="00B324F2">
        <w:t>The realization of edge-deployed conversational agents necessitates a critical synthesis of multiple theoretical domains, bridging continuous speech modelling, voice identity adaptation, post-training quantization, and unified memory architectures. The following critical evaluation draws upon the foundational literature to contextualize the engineering decisions executed throughout the project.</w:t>
      </w:r>
    </w:p>
    <w:p w14:paraId="009A35CC" w14:textId="428E1F4E" w:rsidR="00B324F2" w:rsidRPr="00B324F2" w:rsidRDefault="00B324F2" w:rsidP="00B324F2">
      <w:r w:rsidRPr="00B324F2">
        <w:t xml:space="preserve">Full-duplex speech-to-speech modelling represents a paradigm shift away from traditional conversational architectures. Standard dialogue systems utilize cascaded pipelines chaining Voice Activity Detection, Automatic Speech Recognition, Large Language Models, and Text-to-Speech synthesizers. This sequential methodology fundamentally strips away paralinguistic metadata during the text conversion phase. The Moshi architecture resolves this by </w:t>
      </w:r>
      <w:r w:rsidR="00E44AC7" w:rsidRPr="00B324F2">
        <w:t>modelling</w:t>
      </w:r>
      <w:r w:rsidRPr="00B324F2">
        <w:t xml:space="preserve"> spoken dialogue as a continuous, joint speech-to-speech generation task utilizing the Mimi neural audio codec </w:t>
      </w:r>
      <w:sdt>
        <w:sdtPr>
          <w:id w:val="-1159534482"/>
          <w:citation/>
        </w:sdtPr>
        <w:sdtContent>
          <w:r w:rsidR="00E44AC7">
            <w:fldChar w:fldCharType="begin"/>
          </w:r>
          <w:r w:rsidR="00E44AC7">
            <w:instrText xml:space="preserve"> CITATION Déf24 \l 2057 </w:instrText>
          </w:r>
          <w:r w:rsidR="00E44AC7">
            <w:fldChar w:fldCharType="separate"/>
          </w:r>
          <w:r w:rsidR="00E44AC7" w:rsidRPr="00E44AC7">
            <w:rPr>
              <w:noProof/>
            </w:rPr>
            <w:t>(Défossez, et al., 2024)</w:t>
          </w:r>
          <w:r w:rsidR="00E44AC7">
            <w:fldChar w:fldCharType="end"/>
          </w:r>
        </w:sdtContent>
      </w:sdt>
      <w:r w:rsidRPr="00B324F2">
        <w:t>. The Mimi codec discretizes 24 kHz raw waveform data into semantic and acoustic tokens at a highly efficient 12.5 Hz frame rate. This design choice is profound because it aligns the acoustic frame rate closely with the average cognitive cadence of text tokens, enabling parallel processing of user and agent audio streams</w:t>
      </w:r>
      <w:r w:rsidR="003704F4">
        <w:t xml:space="preserve">. </w:t>
      </w:r>
      <w:r w:rsidRPr="00B324F2">
        <w:t>This parallelization unlocks true full-duplex communication, completely removing the concept of explicit speaker turns and allowing the model to organically handle overlapping speech, interruptions, and non-speech paralinguistics.</w:t>
      </w:r>
      <w:r w:rsidR="00447FB3">
        <w:t xml:space="preserve"> </w:t>
      </w:r>
    </w:p>
    <w:p w14:paraId="0CB1CCE6" w14:textId="77777777" w:rsidR="00361EDB" w:rsidRDefault="00B324F2" w:rsidP="00B324F2">
      <w:r w:rsidRPr="00B324F2">
        <w:t xml:space="preserve">Voice identity adaptation within continuous models requires mechanisms that bypass catastrophic forgetting. Traditional Low-Rank Adaptation (LoRA) introduces trainable rank-decomposition matrices into the transformer layers, which, while effective for text, struggles to holistically capture acoustic prosody without degrading underlying conversational logic. The PersonaPlex framework </w:t>
      </w:r>
      <w:r w:rsidR="00361EDB">
        <w:t xml:space="preserve">which is built upon the moshi framework </w:t>
      </w:r>
      <w:r w:rsidRPr="00B324F2">
        <w:t xml:space="preserve">addresses this through a Hybrid System Prompt mechanism, seamlessly </w:t>
      </w:r>
      <w:r w:rsidRPr="00B324F2">
        <w:lastRenderedPageBreak/>
        <w:t>concatenating a textual role description with a direct audio voice prompt</w:t>
      </w:r>
      <w:r w:rsidR="00447FB3">
        <w:t xml:space="preserve">. </w:t>
      </w:r>
      <w:r w:rsidRPr="00B324F2">
        <w:t>This enables zero-shot voice cloning capabilities</w:t>
      </w:r>
      <w:sdt>
        <w:sdtPr>
          <w:id w:val="1182242260"/>
          <w:citation/>
        </w:sdtPr>
        <w:sdtContent>
          <w:r w:rsidR="00361EDB">
            <w:fldChar w:fldCharType="begin"/>
          </w:r>
          <w:r w:rsidR="00361EDB">
            <w:instrText xml:space="preserve"> CITATION Roy26 \l 2057 </w:instrText>
          </w:r>
          <w:r w:rsidR="00361EDB">
            <w:fldChar w:fldCharType="separate"/>
          </w:r>
          <w:r w:rsidR="00361EDB">
            <w:rPr>
              <w:noProof/>
            </w:rPr>
            <w:t xml:space="preserve"> </w:t>
          </w:r>
          <w:r w:rsidR="00361EDB" w:rsidRPr="00361EDB">
            <w:rPr>
              <w:noProof/>
            </w:rPr>
            <w:t>(Roy, et al., 2026)</w:t>
          </w:r>
          <w:r w:rsidR="00361EDB">
            <w:fldChar w:fldCharType="end"/>
          </w:r>
        </w:sdtContent>
      </w:sdt>
      <w:r w:rsidR="00361EDB">
        <w:t xml:space="preserve">. </w:t>
      </w:r>
      <w:r w:rsidRPr="00B324F2">
        <w:t xml:space="preserve">More critically, PersonaPlex exhibits advanced conversational priors because it was extensively pre-trained on 1,217 hours of the Fisher English conversational dataset. This specific telephonic corpus pre-training embeds sophisticated backchanneling, confusion handling, and duplex communication instincts directly into the base weights, providing out-of-the-box conversational realism that base models severely </w:t>
      </w:r>
      <w:sdt>
        <w:sdtPr>
          <w:id w:val="-458570880"/>
          <w:citation/>
        </w:sdtPr>
        <w:sdtContent>
          <w:r w:rsidR="00361EDB">
            <w:fldChar w:fldCharType="begin"/>
          </w:r>
          <w:r w:rsidR="00361EDB">
            <w:instrText xml:space="preserve"> CITATION Roy26 \l 2057 </w:instrText>
          </w:r>
          <w:r w:rsidR="00361EDB">
            <w:fldChar w:fldCharType="separate"/>
          </w:r>
          <w:r w:rsidR="00361EDB" w:rsidRPr="00361EDB">
            <w:rPr>
              <w:noProof/>
            </w:rPr>
            <w:t>(Roy, et al., 2026)</w:t>
          </w:r>
          <w:r w:rsidR="00361EDB">
            <w:fldChar w:fldCharType="end"/>
          </w:r>
        </w:sdtContent>
      </w:sdt>
      <w:r w:rsidR="00361EDB">
        <w:t>.</w:t>
      </w:r>
    </w:p>
    <w:p w14:paraId="4502E682" w14:textId="7ED1C690" w:rsidR="00B324F2" w:rsidRPr="00B324F2" w:rsidRDefault="00B324F2" w:rsidP="00B324F2">
      <w:r w:rsidRPr="00B324F2">
        <w:t>Post-training quantization (PTQ) theories seek to compress massive floating-point tensors into discrete low-bit grids. Standard techniques such as GPTQ perform layer-wise quantization utilizing approximate second-order information to minimize squared error</w:t>
      </w:r>
      <w:sdt>
        <w:sdtPr>
          <w:id w:val="-2099088431"/>
          <w:citation/>
        </w:sdtPr>
        <w:sdtContent>
          <w:r w:rsidR="00361EDB">
            <w:fldChar w:fldCharType="begin"/>
          </w:r>
          <w:r w:rsidR="00361EDB">
            <w:instrText xml:space="preserve"> CITATION Fra23 \l 2057 </w:instrText>
          </w:r>
          <w:r w:rsidR="00361EDB">
            <w:fldChar w:fldCharType="separate"/>
          </w:r>
          <w:r w:rsidR="00361EDB">
            <w:rPr>
              <w:noProof/>
            </w:rPr>
            <w:t xml:space="preserve"> </w:t>
          </w:r>
          <w:r w:rsidR="00361EDB" w:rsidRPr="00361EDB">
            <w:rPr>
              <w:noProof/>
            </w:rPr>
            <w:t>(Frantar, et al., 2023)</w:t>
          </w:r>
          <w:r w:rsidR="00361EDB">
            <w:fldChar w:fldCharType="end"/>
          </w:r>
        </w:sdtContent>
      </w:sdt>
      <w:r w:rsidRPr="00B324F2">
        <w:t>. Activation-Aware Weight Quantization (AWQ) targets the specific channels corresponding to massive activation magnitudes, scaling them dynamically to protect outlier information. However, as the project's empirical testing revealed, these approaches fail spectacularly in the presence of 40x to 66x continuous acoustic activation outliers. The SEPTQ (</w:t>
      </w:r>
      <w:r w:rsidR="004D21F7">
        <w:t>Simple</w:t>
      </w:r>
      <w:r w:rsidRPr="00B324F2">
        <w:t xml:space="preserve"> Efficient Post-Training Quantization) paradigm introduces a critical theoretical evolution by calculating a parameter importance score utilizing a Hessian-weighted static global strategy</w:t>
      </w:r>
      <w:sdt>
        <w:sdtPr>
          <w:id w:val="1370946877"/>
          <w:citation/>
        </w:sdtPr>
        <w:sdtContent>
          <w:r w:rsidR="004D21F7">
            <w:fldChar w:fldCharType="begin"/>
          </w:r>
          <w:r w:rsidR="004D21F7">
            <w:instrText xml:space="preserve"> CITATION Liu25 \l 2057 </w:instrText>
          </w:r>
          <w:r w:rsidR="004D21F7">
            <w:fldChar w:fldCharType="separate"/>
          </w:r>
          <w:r w:rsidR="004D21F7">
            <w:rPr>
              <w:noProof/>
            </w:rPr>
            <w:t xml:space="preserve"> </w:t>
          </w:r>
          <w:r w:rsidR="004D21F7" w:rsidRPr="004D21F7">
            <w:rPr>
              <w:noProof/>
            </w:rPr>
            <w:t>(Liu, et al., 2025)</w:t>
          </w:r>
          <w:r w:rsidR="004D21F7">
            <w:fldChar w:fldCharType="end"/>
          </w:r>
        </w:sdtContent>
      </w:sdt>
      <w:r w:rsidR="004D21F7">
        <w:t>.</w:t>
      </w:r>
      <w:r w:rsidRPr="00B324F2">
        <w:t>By evaluating the local curvature of the loss landscape rather than raw activation magnitude, SEPTQ determines the true structural importance of each weight, establishing a mask matrix that dictates column-by-column quantization updates. This Hessian-weighted saliency outperforms naive methodologies because it mathematically compensates for rounding errors directly along the contours of the model's most sensitive topological features</w:t>
      </w:r>
      <w:sdt>
        <w:sdtPr>
          <w:id w:val="-634406562"/>
          <w:citation/>
        </w:sdtPr>
        <w:sdtContent>
          <w:r w:rsidR="004D21F7">
            <w:fldChar w:fldCharType="begin"/>
          </w:r>
          <w:r w:rsidR="004D21F7">
            <w:instrText xml:space="preserve"> CITATION Liu25 \l 2057 </w:instrText>
          </w:r>
          <w:r w:rsidR="004D21F7">
            <w:fldChar w:fldCharType="separate"/>
          </w:r>
          <w:r w:rsidR="004D21F7">
            <w:rPr>
              <w:noProof/>
            </w:rPr>
            <w:t xml:space="preserve"> </w:t>
          </w:r>
          <w:r w:rsidR="004D21F7" w:rsidRPr="004D21F7">
            <w:rPr>
              <w:noProof/>
            </w:rPr>
            <w:t>(Liu, et al., 2025)</w:t>
          </w:r>
          <w:r w:rsidR="004D21F7">
            <w:fldChar w:fldCharType="end"/>
          </w:r>
        </w:sdtContent>
      </w:sdt>
      <w:r w:rsidR="004D21F7">
        <w:t>.</w:t>
      </w:r>
    </w:p>
    <w:p w14:paraId="1B51E17F" w14:textId="65AD9843" w:rsidR="00B324F2" w:rsidRPr="00B324F2" w:rsidRDefault="00B324F2" w:rsidP="00B324F2">
      <w:r w:rsidRPr="00B324F2">
        <w:t xml:space="preserve">Structural pruning methodologies offer an alternative to precision reduction. SliceGPT proposes a computational invariance approach, attempting to mathematically delete structurally redundant hidden dimensions by computing a global covariance matrix </w:t>
      </w:r>
      <w:sdt>
        <w:sdtPr>
          <w:id w:val="835269718"/>
          <w:citation/>
        </w:sdtPr>
        <w:sdtContent>
          <w:r w:rsidR="004D21F7">
            <w:fldChar w:fldCharType="begin"/>
          </w:r>
          <w:r w:rsidR="004D21F7">
            <w:instrText xml:space="preserve"> CITATION Ash24 \l 2057 </w:instrText>
          </w:r>
          <w:r w:rsidR="004D21F7">
            <w:fldChar w:fldCharType="separate"/>
          </w:r>
          <w:r w:rsidR="004D21F7" w:rsidRPr="004D21F7">
            <w:rPr>
              <w:noProof/>
            </w:rPr>
            <w:t>(Ashkboos, et al., 2024)</w:t>
          </w:r>
          <w:r w:rsidR="004D21F7">
            <w:fldChar w:fldCharType="end"/>
          </w:r>
        </w:sdtContent>
      </w:sdt>
      <w:r w:rsidR="004D21F7">
        <w:t xml:space="preserve">. </w:t>
      </w:r>
      <w:r w:rsidRPr="00B324F2">
        <w:t>While theoretical literature suggests sparsity-inducing regularization can yield significant parameter reductions, its application to continuous speech models is severely limited. The project's empirical data demonstrated that deleting covariance dimensions in acoustic transformers destroys the delicate continuous audio manifold, causing unrecoverable gain explosions during matrix calibration.</w:t>
      </w:r>
    </w:p>
    <w:p w14:paraId="5F8B0EE4" w14:textId="2C81785A" w:rsidR="00394F85" w:rsidRDefault="00B324F2" w:rsidP="00394F85">
      <w:r w:rsidRPr="00B324F2">
        <w:t xml:space="preserve">Finally, the deployment of large models on edge devices introduces unique challenges associated with unified memory architectures. On the NVIDIA Jetson Orin Nano, the Central Processing Unit (CPU) and the Graphics Processing Unit (GPU) share a single physical RAM pool. The general problem of deploying multi-billion parameter models in these environments revolves around avoiding OS-level page faults and swap-space thrashing, which immediately destroy real-time latency </w:t>
      </w:r>
      <w:r w:rsidRPr="00B324F2">
        <w:lastRenderedPageBreak/>
        <w:t xml:space="preserve">budgets </w:t>
      </w:r>
      <w:sdt>
        <w:sdtPr>
          <w:id w:val="-249274681"/>
          <w:citation/>
        </w:sdtPr>
        <w:sdtContent>
          <w:r w:rsidR="004D21F7">
            <w:fldChar w:fldCharType="begin"/>
          </w:r>
          <w:r w:rsidR="004D21F7">
            <w:instrText xml:space="preserve"> CITATION Abs25 \l 2057 </w:instrText>
          </w:r>
          <w:r w:rsidR="004D21F7">
            <w:fldChar w:fldCharType="separate"/>
          </w:r>
          <w:r w:rsidR="004D21F7" w:rsidRPr="004D21F7">
            <w:rPr>
              <w:noProof/>
            </w:rPr>
            <w:t>(Abstreiter, et al., 2025)</w:t>
          </w:r>
          <w:r w:rsidR="004D21F7">
            <w:fldChar w:fldCharType="end"/>
          </w:r>
        </w:sdtContent>
      </w:sdt>
      <w:r w:rsidR="004D21F7">
        <w:t xml:space="preserve">. </w:t>
      </w:r>
      <w:r w:rsidRPr="00B324F2">
        <w:t>Understanding these theoretical limitations is essential to contextualizing the rigorous methodology executed to stabilize the system.</w:t>
      </w:r>
    </w:p>
    <w:p w14:paraId="18731FF9" w14:textId="7FF74489" w:rsidR="00394F85" w:rsidRDefault="00394F85" w:rsidP="00394F85">
      <w:pPr>
        <w:pStyle w:val="Heading1"/>
      </w:pPr>
      <w:r>
        <w:t>Methodology</w:t>
      </w:r>
    </w:p>
    <w:p w14:paraId="5D71D1A2" w14:textId="77777777" w:rsidR="00882A11" w:rsidRPr="00882A11" w:rsidRDefault="00882A11" w:rsidP="00882A11">
      <w:r w:rsidRPr="00882A11">
        <w:t>The BMO Project was executed through a highly systematic, chronological sequence of engineering phases. This methodology is presented exhaustively to ensure complete reproducibility of the pipeline, from raw data ingestion to low-level hardware interface optimization.</w:t>
      </w:r>
    </w:p>
    <w:p w14:paraId="36052550" w14:textId="105FD45F" w:rsidR="00507544" w:rsidRDefault="00882A11" w:rsidP="00507544">
      <w:pPr>
        <w:pStyle w:val="Heading2"/>
      </w:pPr>
      <w:r w:rsidRPr="00882A11">
        <w:t xml:space="preserve">Phase 1 </w:t>
      </w:r>
      <w:r w:rsidR="002A353D">
        <w:t>– Data Construction</w:t>
      </w:r>
    </w:p>
    <w:p w14:paraId="72842A16" w14:textId="0B4212A3" w:rsidR="00882A11" w:rsidRPr="00882A11" w:rsidRDefault="00882A11" w:rsidP="00882A11">
      <w:r w:rsidRPr="00882A11">
        <w:t>Dataset Construction The foundation of the project demanded a pristine, character-specific acoustic dataset capable of capturing unique Korean-accented prosody and non-verbal traits</w:t>
      </w:r>
      <w:r w:rsidR="00507544">
        <w:t xml:space="preserve">. </w:t>
      </w:r>
      <w:r w:rsidRPr="00882A11">
        <w:t xml:space="preserve">The data extraction phase was orchestrated by the </w:t>
      </w:r>
      <m:oMath>
        <m:r>
          <w:rPr>
            <w:rFonts w:ascii="Cambria Math" w:hAnsi="Cambria Math"/>
          </w:rPr>
          <m:t>bmo_episodes.py</m:t>
        </m:r>
      </m:oMath>
      <w:r w:rsidRPr="00882A11">
        <w:t xml:space="preserve"> script, which recursively traversed local storage directories, utilizing the regular expression </w:t>
      </w:r>
      <m:oMath>
        <m:r>
          <w:rPr>
            <w:rFonts w:ascii="Cambria Math" w:hAnsi="Cambria Math"/>
          </w:rPr>
          <m:t>r"(\d+)[E|e](\d+)"</m:t>
        </m:r>
      </m:oMath>
      <w:r w:rsidRPr="00882A11">
        <w:t xml:space="preserve"> to parse filenames and cross-reference season and episode integers against a predefined character whitelist</w:t>
      </w:r>
      <w:r w:rsidR="00100CD0">
        <w:t>.</w:t>
      </w:r>
    </w:p>
    <w:p w14:paraId="534F7FF5" w14:textId="7E0D43A2" w:rsidR="00882A11" w:rsidRPr="00882A11" w:rsidRDefault="00882A11" w:rsidP="00882A11">
      <w:r w:rsidRPr="00882A11">
        <w:t xml:space="preserve">To isolate the target vocalizations from complex cinematic background music and overlapping sound effects, standard source separation architectures were deemed inadequate. The </w:t>
      </w:r>
      <m:oMath>
        <m:r>
          <w:rPr>
            <w:rFonts w:ascii="Cambria Math" w:hAnsi="Cambria Math"/>
          </w:rPr>
          <m:t>extract_bmo_vocals.py</m:t>
        </m:r>
      </m:oMath>
      <w:r w:rsidRPr="00882A11">
        <w:t xml:space="preserve"> script utilized the BS-Roformer neural network, explicitly deploying the </w:t>
      </w:r>
      <m:oMath>
        <m:r>
          <w:rPr>
            <w:rFonts w:ascii="Cambria Math" w:hAnsi="Cambria Math"/>
          </w:rPr>
          <m:t>model_bs_roformer_ep_317_sdr_12.9755.ckpt</m:t>
        </m:r>
      </m:oMath>
      <w:r w:rsidRPr="00882A11">
        <w:t xml:space="preserve"> artifact</w:t>
      </w:r>
      <w:sdt>
        <w:sdtPr>
          <w:id w:val="1383831517"/>
          <w:citation/>
        </w:sdtPr>
        <w:sdtContent>
          <w:r w:rsidR="009D77C3">
            <w:fldChar w:fldCharType="begin"/>
          </w:r>
          <w:r w:rsidR="009D77C3">
            <w:instrText xml:space="preserve"> CITATION LuW23 \l 2057 </w:instrText>
          </w:r>
          <w:r w:rsidR="009D77C3">
            <w:fldChar w:fldCharType="separate"/>
          </w:r>
          <w:r w:rsidR="009D77C3">
            <w:rPr>
              <w:noProof/>
            </w:rPr>
            <w:t xml:space="preserve"> </w:t>
          </w:r>
          <w:r w:rsidR="009D77C3" w:rsidRPr="009D77C3">
            <w:rPr>
              <w:noProof/>
            </w:rPr>
            <w:t>(Lu, et al., 2023)</w:t>
          </w:r>
          <w:r w:rsidR="009D77C3">
            <w:fldChar w:fldCharType="end"/>
          </w:r>
        </w:sdtContent>
      </w:sdt>
      <w:r w:rsidRPr="00882A11">
        <w:t xml:space="preserve">. This specific checkpoint was selected empirically for its ability to retain superior acoustic loudness and spectral body, achieving an exceptional Signal-to-Distortion Ratio (SDR) of 12.9755. A secondary cleaning stage applied the </w:t>
      </w:r>
      <m:oMath>
        <m:r>
          <w:rPr>
            <w:rFonts w:ascii="Cambria Math" w:hAnsi="Cambria Math"/>
          </w:rPr>
          <m:t>UVR-DeEcho-DeReverb.pth</m:t>
        </m:r>
      </m:oMath>
      <w:r w:rsidRPr="00882A11">
        <w:t xml:space="preserve"> model to mathematically strip spatial reverberation, a mandatory step to prevent the downstream Mimi codec from hallucinating acoustic environments</w:t>
      </w:r>
      <w:r w:rsidR="0027256C">
        <w:t xml:space="preserve">. </w:t>
      </w:r>
    </w:p>
    <w:p w14:paraId="2BECBE7C" w14:textId="669E3750" w:rsidR="00882A11" w:rsidRPr="00882A11" w:rsidRDefault="00882A11" w:rsidP="00882A11">
      <w:r w:rsidRPr="00882A11">
        <w:t xml:space="preserve">Transcription and temporal alignment suffered an initial catastrophic failure. The pipeline initially loaded the WhisperX model using INT8 precision, but the alignment algorithm failed to generate discrete word-level timestamps. It produced anomalous transcript metadata assigning a monolithic </w:t>
      </w:r>
      <m:oMath>
        <m:r>
          <w:rPr>
            <w:rFonts w:ascii="Cambria Math" w:hAnsi="Cambria Math"/>
          </w:rPr>
          <m:t>[0, duration]</m:t>
        </m:r>
      </m:oMath>
      <w:r w:rsidRPr="00882A11">
        <w:t xml:space="preserve"> segment marker to every audio clip. This paralyzed the temporal grounding of the network, resulting in semantically garbled audio. Immediate dataset surgery was executed by pivoting to the faster-whisper framework utilizing the large-v3 parameter configuration. The </w:t>
      </w:r>
      <m:oMath>
        <m:r>
          <w:rPr>
            <w:rFonts w:ascii="Cambria Math" w:hAnsi="Cambria Math"/>
          </w:rPr>
          <m:t>word_timestamps=True</m:t>
        </m:r>
      </m:oMath>
      <w:r w:rsidR="00635779" w:rsidRPr="00882A11">
        <w:t xml:space="preserve"> flag </w:t>
      </w:r>
      <w:r w:rsidR="00635779">
        <w:t xml:space="preserve">was </w:t>
      </w:r>
      <w:r w:rsidRPr="00882A11">
        <w:t>explicitly enforced to reconstruct the temporal alignment metadata with absolute granularity</w:t>
      </w:r>
      <w:sdt>
        <w:sdtPr>
          <w:id w:val="-1523012963"/>
          <w:citation/>
        </w:sdtPr>
        <w:sdtContent>
          <w:r w:rsidR="00E22D42">
            <w:fldChar w:fldCharType="begin"/>
          </w:r>
          <w:r w:rsidR="00E22D42">
            <w:instrText xml:space="preserve"> CITATION Bai23 \l 2057 </w:instrText>
          </w:r>
          <w:r w:rsidR="00E22D42">
            <w:fldChar w:fldCharType="separate"/>
          </w:r>
          <w:r w:rsidR="00E22D42">
            <w:rPr>
              <w:noProof/>
            </w:rPr>
            <w:t xml:space="preserve"> </w:t>
          </w:r>
          <w:r w:rsidR="00E22D42" w:rsidRPr="00E22D42">
            <w:rPr>
              <w:noProof/>
            </w:rPr>
            <w:t>(Bain, et al., 2023)</w:t>
          </w:r>
          <w:r w:rsidR="00E22D42">
            <w:fldChar w:fldCharType="end"/>
          </w:r>
        </w:sdtContent>
      </w:sdt>
      <w:r w:rsidRPr="00882A11">
        <w:t>.</w:t>
      </w:r>
    </w:p>
    <w:p w14:paraId="345464C7" w14:textId="385089F9" w:rsidR="00882A11" w:rsidRPr="00882A11" w:rsidRDefault="00882A11" w:rsidP="00882A11">
      <w:r w:rsidRPr="00882A11">
        <w:t xml:space="preserve">Speaker verification was managed by the </w:t>
      </w:r>
      <m:oMath>
        <m:r>
          <w:rPr>
            <w:rFonts w:ascii="Cambria Math" w:hAnsi="Cambria Math"/>
          </w:rPr>
          <m:t>find_bmo.py</m:t>
        </m:r>
      </m:oMath>
      <w:r w:rsidRPr="00882A11">
        <w:t xml:space="preserve"> and </w:t>
      </w:r>
      <m:oMath>
        <m:r>
          <w:rPr>
            <w:rFonts w:ascii="Cambria Math" w:hAnsi="Cambria Math"/>
          </w:rPr>
          <m:t>find_bmo_passtwo.py</m:t>
        </m:r>
      </m:oMath>
      <w:r w:rsidRPr="00882A11">
        <w:t xml:space="preserve"> scripts utilizing the SpeechBrain ECAPA-TDNN model</w:t>
      </w:r>
      <w:r w:rsidR="00EB16D6">
        <w:t xml:space="preserve">. </w:t>
      </w:r>
      <w:r w:rsidRPr="00882A11">
        <w:t>Audio arrays were resampled to 16,000 Hz, and the classifier generated flattened, high-dimensional voice embeddings</w:t>
      </w:r>
      <w:r w:rsidR="00EB16D6">
        <w:t xml:space="preserve">. </w:t>
      </w:r>
      <w:r w:rsidRPr="00882A11">
        <w:t xml:space="preserve">These embeddings were compared via cosine similarity against a </w:t>
      </w:r>
      <w:r w:rsidRPr="00882A11">
        <w:lastRenderedPageBreak/>
        <w:t xml:space="preserve">pristine reference centroid </w:t>
      </w:r>
      <m:oMath>
        <m:r>
          <w:rPr>
            <w:rFonts w:ascii="Cambria Math" w:hAnsi="Cambria Math"/>
          </w:rPr>
          <m:t>(reference_bmo.wav)</m:t>
        </m:r>
      </m:oMath>
      <w:r w:rsidRPr="00882A11">
        <w:t>. The pipeline enforced a strict 0.50 cosine threshold, admitting only segments measuring between 1.0 and 12.0 seconds in duration.</w:t>
      </w:r>
    </w:p>
    <w:p w14:paraId="24AAF5F2" w14:textId="55C0F8F9" w:rsidR="00882A11" w:rsidRPr="00882A11" w:rsidRDefault="00882A11" w:rsidP="00882A11">
      <w:r w:rsidRPr="00882A11">
        <w:t xml:space="preserve">During data interleaving, a critical architectural incompatibility known as the stereo-doubling bug was discovered. The data interleaver </w:t>
      </w:r>
      <w:r w:rsidR="00C531E7" w:rsidRPr="00882A11">
        <w:t>incorrectly</w:t>
      </w:r>
      <w:r w:rsidRPr="00882A11">
        <w:t xml:space="preserve"> flattened stereo audio files into the codebook dimension, producing 32 distinct audio codebooks plus one text codebook, resulting in </w:t>
      </w:r>
      <m:oMath>
        <m:r>
          <w:rPr>
            <w:rFonts w:ascii="Cambria Math" w:hAnsi="Cambria Math"/>
          </w:rPr>
          <m:t>K=33</m:t>
        </m:r>
      </m:oMath>
      <w:r w:rsidRPr="00882A11">
        <w:t xml:space="preserve">. Because the Moshi architecture statically expects exactly 17 codebooks </w:t>
      </w:r>
      <m:oMath>
        <m:r>
          <w:rPr>
            <w:rFonts w:ascii="Cambria Math" w:hAnsi="Cambria Math"/>
          </w:rPr>
          <m:t>(K=17)</m:t>
        </m:r>
      </m:oMath>
      <w:r w:rsidRPr="00882A11">
        <w:t>, this induced a fatal tensor shape violation. A programmatic mono-ization fix was enforced, isolating all vocal data strictly to the left channel while filling the right channel with zero-value silence padding, achieving exact structural conformity.</w:t>
      </w:r>
    </w:p>
    <w:p w14:paraId="4DA9FB9C" w14:textId="4A56A8DE" w:rsidR="00882A11" w:rsidRPr="00882A11" w:rsidRDefault="00882A11" w:rsidP="00882A11">
      <w:r w:rsidRPr="00882A11">
        <w:t xml:space="preserve">Capturing paralinguistic metadata required a custom non-verbal refinement pipeline. Initial attempts using a Root Mean Square (RMS) energy threshold of 0.005 failed to semantically separate valid non-verbal cues from ambient noise. The heavily upgraded </w:t>
      </w:r>
      <m:oMath>
        <m:r>
          <w:rPr>
            <w:rFonts w:ascii="Cambria Math" w:hAnsi="Cambria Math"/>
          </w:rPr>
          <m:t>bmo_nonverbal_refiner_pass2.py</m:t>
        </m:r>
      </m:oMath>
      <w:r w:rsidRPr="00882A11">
        <w:t xml:space="preserve"> script adopted a semantic audio-to-audio similarity approach utilizing the LAION </w:t>
      </w:r>
      <m:oMath>
        <m:r>
          <w:rPr>
            <w:rFonts w:ascii="Cambria Math" w:hAnsi="Cambria Math"/>
          </w:rPr>
          <m:t>clap-htsat-unfused</m:t>
        </m:r>
      </m:oMath>
      <w:r w:rsidRPr="00882A11">
        <w:t xml:space="preserve"> Contrastive Language-Audio Pretraining model</w:t>
      </w:r>
      <w:sdt>
        <w:sdtPr>
          <w:id w:val="2083335198"/>
          <w:citation/>
        </w:sdtPr>
        <w:sdtContent>
          <w:r w:rsidR="00DF0E16">
            <w:fldChar w:fldCharType="begin"/>
          </w:r>
          <w:r w:rsidR="00DF0E16">
            <w:instrText xml:space="preserve"> CITATION WuY23 \l 2057 </w:instrText>
          </w:r>
          <w:r w:rsidR="00DF0E16">
            <w:fldChar w:fldCharType="separate"/>
          </w:r>
          <w:r w:rsidR="00DF0E16">
            <w:rPr>
              <w:noProof/>
            </w:rPr>
            <w:t xml:space="preserve"> </w:t>
          </w:r>
          <w:r w:rsidR="00DF0E16" w:rsidRPr="00DF0E16">
            <w:rPr>
              <w:noProof/>
            </w:rPr>
            <w:t>(Wu, et al., 2023)</w:t>
          </w:r>
          <w:r w:rsidR="00DF0E16">
            <w:fldChar w:fldCharType="end"/>
          </w:r>
        </w:sdtContent>
      </w:sdt>
      <w:r w:rsidRPr="00882A11">
        <w:t xml:space="preserve">. Candidate embeddings were extracted at 48,000 Hz and L2-normalized. The pipeline implemented a tiered triage system evaluating dot products against category centroids, enforcing a </w:t>
      </w:r>
      <m:oMath>
        <m:r>
          <w:rPr>
            <w:rFonts w:ascii="Cambria Math" w:hAnsi="Cambria Math"/>
          </w:rPr>
          <m:t>SIM_CONFIRMED=0.78</m:t>
        </m:r>
      </m:oMath>
      <w:r w:rsidRPr="00882A11">
        <w:t xml:space="preserve"> threshold for automatic acceptance and a </w:t>
      </w:r>
      <m:oMath>
        <m:r>
          <w:rPr>
            <w:rFonts w:ascii="Cambria Math" w:hAnsi="Cambria Math"/>
          </w:rPr>
          <m:t>SIM_REVIEW=0.62</m:t>
        </m:r>
      </m:oMath>
      <w:r w:rsidRPr="00882A11">
        <w:t xml:space="preserve"> threshold for manual validation. Finally, the </w:t>
      </w:r>
      <m:oMath>
        <m:r>
          <w:rPr>
            <w:rFonts w:ascii="Cambria Math" w:hAnsi="Cambria Math"/>
          </w:rPr>
          <m:t>label_bmo.py</m:t>
        </m:r>
      </m:oMath>
      <w:r w:rsidRPr="00882A11">
        <w:t xml:space="preserve"> and </w:t>
      </w:r>
      <m:oMath>
        <m:r>
          <w:rPr>
            <w:rFonts w:ascii="Cambria Math" w:hAnsi="Cambria Math"/>
          </w:rPr>
          <m:t>label_bmo_emote.py</m:t>
        </m:r>
      </m:oMath>
      <w:r w:rsidRPr="00882A11">
        <w:t xml:space="preserve"> scripts translated these tags into quantitative five-dimensional AppraisalVectors (Valence, Arousal, Control, Novelty, Obstruct) for tone labeling.</w:t>
      </w:r>
    </w:p>
    <w:p w14:paraId="0D268071" w14:textId="77777777" w:rsidR="00882A11" w:rsidRPr="00882A11" w:rsidRDefault="00882A11" w:rsidP="00882A11">
      <w:r w:rsidRPr="00882A11">
        <w:t>[FIGURE 2 — Data Processing Pipeline: A flowchart showing the sequential stages from raw episode files through vocal separation, transcription, speaker verification, stereo-doubling fix, CLAP non-verbal refinement, and AppraisalVector labeling to the final 968-clip dataset.]</w:t>
      </w:r>
    </w:p>
    <w:p w14:paraId="0401941A" w14:textId="77777777" w:rsidR="00DF0E16" w:rsidRDefault="00882A11" w:rsidP="00DF0E16">
      <w:pPr>
        <w:pStyle w:val="Heading2"/>
      </w:pPr>
      <w:r w:rsidRPr="00882A11">
        <w:t xml:space="preserve">Phase 2 — Voice Adaptation </w:t>
      </w:r>
    </w:p>
    <w:p w14:paraId="191A30B1" w14:textId="28F5E322" w:rsidR="00882A11" w:rsidRPr="00882A11" w:rsidRDefault="00882A11" w:rsidP="00882A11">
      <w:r w:rsidRPr="00882A11">
        <w:t>Transitioning to architectural experimentation, the project executed systematic Low-Rank Adaptation (LoRA) fine-tuning runs designated v1 through v5 targeting a baseline "moshiko" model</w:t>
      </w:r>
      <w:r w:rsidR="00682174">
        <w:t xml:space="preserve"> (“moshiko is </w:t>
      </w:r>
      <w:r w:rsidR="005D699F">
        <w:t>Kyutai’s pipeline for fine tuning the base moshi model</w:t>
      </w:r>
      <w:r w:rsidR="00682174">
        <w:t>”)</w:t>
      </w:r>
      <w:r w:rsidRPr="00882A11">
        <w:t xml:space="preserve">. This sequence culminated in the </w:t>
      </w:r>
      <m:oMath>
        <m:r>
          <w:rPr>
            <w:rFonts w:ascii="Cambria Math" w:hAnsi="Cambria Math"/>
          </w:rPr>
          <m:t>checkpoint_002000</m:t>
        </m:r>
      </m:oMath>
      <w:r w:rsidRPr="00882A11">
        <w:t xml:space="preserve"> artifact, which achieved an acceptable training loss of 3.26. However, while the 674 LoRA parameters captured the target acoustic timbre, the base model functioned purely as a passive speech synthesizer lacking conversational intelligence.</w:t>
      </w:r>
    </w:p>
    <w:p w14:paraId="043D6E5D" w14:textId="44018A7B" w:rsidR="005C0122" w:rsidRDefault="00882A11" w:rsidP="00882A11">
      <w:r w:rsidRPr="00882A11">
        <w:t xml:space="preserve">The project's trajectory was permanently altered at a milestone documented in the project logs as "Message 213". A zero-shot inference test utilizing NVIDIA's PersonaPlex </w:t>
      </w:r>
      <w:r w:rsidR="005D699F">
        <w:t>model</w:t>
      </w:r>
      <w:r w:rsidRPr="00882A11">
        <w:t xml:space="preserve"> (specifically </w:t>
      </w:r>
      <w:r w:rsidR="00332118" w:rsidRPr="00882A11">
        <w:t>Nvidia</w:t>
      </w:r>
      <w:r w:rsidRPr="00882A11">
        <w:t>/personaplex-7b-v1) was conducted with no BMO-specific fine-tuning</w:t>
      </w:r>
      <w:sdt>
        <w:sdtPr>
          <w:id w:val="700981040"/>
          <w:citation/>
        </w:sdtPr>
        <w:sdtContent>
          <w:r w:rsidR="00682174">
            <w:fldChar w:fldCharType="begin"/>
          </w:r>
          <w:r w:rsidR="00682174">
            <w:instrText xml:space="preserve"> CITATION Roy26 \l 2057 </w:instrText>
          </w:r>
          <w:r w:rsidR="00682174">
            <w:fldChar w:fldCharType="separate"/>
          </w:r>
          <w:r w:rsidR="00682174">
            <w:rPr>
              <w:noProof/>
            </w:rPr>
            <w:t xml:space="preserve"> </w:t>
          </w:r>
          <w:r w:rsidR="00682174" w:rsidRPr="00682174">
            <w:rPr>
              <w:noProof/>
            </w:rPr>
            <w:t>(Roy, et al., 2026)</w:t>
          </w:r>
          <w:r w:rsidR="00682174">
            <w:fldChar w:fldCharType="end"/>
          </w:r>
        </w:sdtContent>
      </w:sdt>
      <w:r w:rsidRPr="00882A11">
        <w:t xml:space="preserve">. Upon receiving a padded text input </w:t>
      </w:r>
      <w:r w:rsidRPr="00882A11">
        <w:lastRenderedPageBreak/>
        <w:t xml:space="preserve">reading "tell me a joke," the model exhibited emergent conversational </w:t>
      </w:r>
      <w:r w:rsidR="00332118" w:rsidRPr="00882A11">
        <w:t>behaviours</w:t>
      </w:r>
      <w:r w:rsidRPr="00882A11">
        <w:t xml:space="preserve">, autonomously executing confusion handling, turn-taking, and generating conversational fillers when the user failed to provide a punchline. This </w:t>
      </w:r>
      <w:r w:rsidR="00332118" w:rsidRPr="00882A11">
        <w:t>catalysed</w:t>
      </w:r>
      <w:r w:rsidRPr="00882A11">
        <w:t xml:space="preserve"> an immediate PersonaPlex pivot. Recognizing the value of the Fisher English pre-training, the "v6 plan"</w:t>
      </w:r>
      <w:r w:rsidR="005D699F">
        <w:t xml:space="preserve"> was </w:t>
      </w:r>
      <w:r w:rsidR="00332118">
        <w:t>instituted</w:t>
      </w:r>
      <w:r w:rsidRPr="00882A11">
        <w:t xml:space="preserve"> explicitly restricting all future LoRA fine-tuning strictly to the Depth Transformer. This isolated voice identity adaptation from the profound conversational logic embedded within the Temporal Transformer</w:t>
      </w:r>
      <w:r w:rsidR="00633883">
        <w:t xml:space="preserve">. Below is </w:t>
      </w:r>
      <w:r w:rsidR="009C564C">
        <w:t xml:space="preserve">visualisation of the of the architecture, note that personaplex uses the same multi-layered, fully-duplex architecture for speech-to-speech modelling that moshi introduced. The </w:t>
      </w:r>
      <m:oMath>
        <m:r>
          <w:rPr>
            <w:rFonts w:ascii="Cambria Math" w:hAnsi="Cambria Math"/>
          </w:rPr>
          <m:t>Helium Temporal Transformer</m:t>
        </m:r>
      </m:oMath>
      <w:r w:rsidR="009C564C">
        <w:t xml:space="preserve"> </w:t>
      </w:r>
      <w:r w:rsidR="00FE741D">
        <w:t xml:space="preserve">is the “brain” it processes the audio tokens, the </w:t>
      </w:r>
      <m:oMath>
        <m:r>
          <w:rPr>
            <w:rFonts w:ascii="Cambria Math" w:hAnsi="Cambria Math"/>
          </w:rPr>
          <m:t>Depth Transformer</m:t>
        </m:r>
      </m:oMath>
      <w:r w:rsidR="00FE741D">
        <w:rPr>
          <w:rFonts w:eastAsiaTheme="minorEastAsia"/>
        </w:rPr>
        <w:t xml:space="preserve"> can be constituted as the </w:t>
      </w:r>
      <w:r w:rsidR="00237B49">
        <w:rPr>
          <w:rFonts w:eastAsiaTheme="minorEastAsia"/>
        </w:rPr>
        <w:t xml:space="preserve">“mouth” or “vocal cords” it generates </w:t>
      </w:r>
      <w:r w:rsidR="00991BC2">
        <w:rPr>
          <w:rFonts w:eastAsiaTheme="minorEastAsia"/>
        </w:rPr>
        <w:t xml:space="preserve">the semantic and acoustic tokens that are fed back into the Mimi audio decoder. </w:t>
      </w:r>
    </w:p>
    <w:p w14:paraId="2A477B6A" w14:textId="1EA75250" w:rsidR="005C0122" w:rsidRDefault="005C0122" w:rsidP="005C0122">
      <w:pPr>
        <w:jc w:val="center"/>
      </w:pPr>
      <w:r w:rsidRPr="005C0122">
        <w:rPr>
          <w:noProof/>
        </w:rPr>
        <w:drawing>
          <wp:inline distT="0" distB="0" distL="0" distR="0" wp14:anchorId="3389B18F" wp14:editId="28DDA666">
            <wp:extent cx="5731510" cy="2541905"/>
            <wp:effectExtent l="0" t="0" r="2540" b="0"/>
            <wp:docPr id="376053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541905"/>
                    </a:xfrm>
                    <a:prstGeom prst="rect">
                      <a:avLst/>
                    </a:prstGeom>
                    <a:noFill/>
                    <a:ln>
                      <a:noFill/>
                    </a:ln>
                  </pic:spPr>
                </pic:pic>
              </a:graphicData>
            </a:graphic>
          </wp:inline>
        </w:drawing>
      </w:r>
    </w:p>
    <w:p w14:paraId="3461218F" w14:textId="77777777" w:rsidR="005C0122" w:rsidRPr="00882A11" w:rsidRDefault="005C0122" w:rsidP="00882A11"/>
    <w:p w14:paraId="4073D309" w14:textId="0CAC55AC" w:rsidR="004D26F4" w:rsidRDefault="00882A11" w:rsidP="00882A11">
      <w:r w:rsidRPr="00882A11">
        <w:t>During the evaluation of the v6 checkpoints, the system produced hallucinated "machine-gun gibberish". Exhaustive diagnostics identified the Inference Scaffold Bug. Custom inference scripts were missing the required Hybrid System Prompt initialization sequence</w:t>
      </w:r>
      <w:r w:rsidR="00991BC2">
        <w:t xml:space="preserve">, </w:t>
      </w:r>
      <w:r w:rsidRPr="00882A11">
        <w:t>a strict operational order of voice prompt encoding, silence padding, and text prompt encoding</w:t>
      </w:r>
      <w:r w:rsidR="00991BC2">
        <w:t xml:space="preserve">. </w:t>
      </w:r>
      <w:r w:rsidRPr="00882A11">
        <w:t xml:space="preserve">Skipping this sequence left the Key-Value (KV) cache completely empty and ungrounded. The pipeline </w:t>
      </w:r>
      <w:r w:rsidR="007B2DC5">
        <w:t xml:space="preserve">was rebuilt </w:t>
      </w:r>
      <w:r w:rsidRPr="00882A11">
        <w:t xml:space="preserve">utilizing native </w:t>
      </w:r>
      <m:oMath>
        <m:r>
          <w:rPr>
            <w:rFonts w:ascii="Cambria Math" w:hAnsi="Cambria Math"/>
          </w:rPr>
          <m:t>offline.py</m:t>
        </m:r>
      </m:oMath>
      <w:r w:rsidRPr="00882A11">
        <w:t xml:space="preserve"> logic to correctly ground the KV cache. Following this stabilization, the </w:t>
      </w:r>
      <m:oMath>
        <m:r>
          <w:rPr>
            <w:rFonts w:ascii="Cambria Math" w:hAnsi="Cambria Math"/>
          </w:rPr>
          <m:t>v5_step1500</m:t>
        </m:r>
      </m:oMath>
      <w:r w:rsidRPr="00882A11">
        <w:t xml:space="preserve"> checkpoint was definitively locked as the gold standard shipping configuration, uniquely capable of maintaining natural conversational prosody and correctly mapping the phonetic pronunciation of the character's name to "Beemo".</w:t>
      </w:r>
    </w:p>
    <w:p w14:paraId="4A677C0D" w14:textId="44A3148C" w:rsidR="00CE54BE" w:rsidRPr="00882A11" w:rsidRDefault="00CE54BE" w:rsidP="00882A11"/>
    <w:p w14:paraId="791DCC65" w14:textId="77777777" w:rsidR="00CE54BE" w:rsidRDefault="00882A11" w:rsidP="00CE54BE">
      <w:pPr>
        <w:pStyle w:val="Heading2"/>
      </w:pPr>
      <w:r w:rsidRPr="00882A11">
        <w:lastRenderedPageBreak/>
        <w:t xml:space="preserve">Phase 3 — Compression Strategy </w:t>
      </w:r>
    </w:p>
    <w:p w14:paraId="7745968F" w14:textId="7F0EE2C0" w:rsidR="00882A11" w:rsidRPr="00882A11" w:rsidRDefault="00882A11" w:rsidP="00882A11">
      <w:r w:rsidRPr="00882A11">
        <w:t>Selection The 16.7 GB BF16 v5_step1500 artifact fundamentally violated the 5.5 GB hardware ceiling, precipitating an intensive compression exploration phase. The team initially investigated a Brain Transplant exploration, seeking to replace the massive 7B Temporal Transformer with a natively smaller backbone. Qwen3.5 was evaluated but rejected due to a linear attention incompatibility that broke TensorRT-LLM PagedAttention implementations. Gemma-3 was similarly rejected for pervasive instruction-tuned (IT) residue that destroyed conversational flow. A fabricated claim regarding the existence of a pre-trained moshi-1-2b checkpoint temporarily derailed the investigation; its exposure confirmed that training an unsupervised projection layer from scratch to align hidden dimensions would demand continuous GPU compute for several weeks. The Brain Transplant strategy was entirely abandoned.</w:t>
      </w:r>
    </w:p>
    <w:p w14:paraId="43ADD0A7" w14:textId="77777777" w:rsidR="00882A11" w:rsidRPr="00882A11" w:rsidRDefault="00882A11" w:rsidP="00882A11">
      <w:r w:rsidRPr="00882A11">
        <w:t>The project then executed a sequence of four catastrophic INT4 quantization failures. A naive global INT4 implementation destroyed acoustic coherence due to the fragility of the Depth Transformer. A Mixed-Precision NF4 attempt on the Temporal Transformer collapsed into gibberish due to massive 40x to 66x activation outliers. Activation-Aware Quantization (AWQ) prevented geometric collapse but squashed non-outlier weights, scrambling the vocabulary distribution. An LQEC distillation attempt utilizing teacher-forcing failed due to severe exposure bias.</w:t>
      </w:r>
    </w:p>
    <w:p w14:paraId="7E2A754D" w14:textId="77777777" w:rsidR="00882A11" w:rsidRPr="00882A11" w:rsidRDefault="00882A11" w:rsidP="00882A11">
      <w:r w:rsidRPr="00882A11">
        <w:t>Pivoting to structural pruning, the team executed a SliceGPT experiment. While the global covariance analysis successfully isolated 99% of the dataset's variance into 2632 dimensions, the Least Squares bridge calibration caused a catastrophic 4421x gain explosion, violently saturating the logit path and completely destroying the Top-1 token agreement. Recognizing the mathematical insufficiency of structural pruning to meet a 75% compression target, the project pivoted decisively to SEPTQ (Liu et al., 2025).</w:t>
      </w:r>
    </w:p>
    <w:p w14:paraId="3DE2F49F" w14:textId="77777777" w:rsidR="00882A11" w:rsidRPr="00882A11" w:rsidRDefault="00882A11" w:rsidP="00882A11">
      <w:r w:rsidRPr="00882A11">
        <w:t>Phase 4 — Multi-Tier SEPTQ Implementing SEPTQ on the complex Moshi architecture required engineering the convert_fused_to_split.py script to decouple dense fused projection matrices (Liu et al., 2025). Because standard evaluation metrics were useless for predicting autoregressive acoustic coherence, the team designed the $z_s$ drift metric (Liu et al., 2025). Deep forward hooks were attached across all 32 layers of the Temporal Transformer to explicitly capture the pre-normalization latent vector at every 12.5 Hz timestep (Liu et al., 2025). Strict deployment thresholds were established: a median cosine similarity $\geq 0.997$, a minimum $\geq 0.99$, and an irreversible layer degradation cliff defined at 0.995 (Liu et al., 2025).</w:t>
      </w:r>
    </w:p>
    <w:p w14:paraId="46CF5619" w14:textId="77777777" w:rsidR="00882A11" w:rsidRPr="00882A11" w:rsidRDefault="00882A11" w:rsidP="00882A11">
      <w:r w:rsidRPr="00882A11">
        <w:t xml:space="preserve">The initial Config A sweep mapped a four-tier precision gradient targeting an aggressive 4.274 Bits-Per-Weight (BPW) (Liu et al., 2025). This proved mathematically destructive, plunging the Layer 0 self_attn.in_proj_weight cosine similarity down to 0.812111 (Liu et al., 2025). Formulating a more conservative approach, the Half Cushion Max v10 configuration targeted 5.72 BPW and </w:t>
      </w:r>
      <w:r w:rsidRPr="00882A11">
        <w:lastRenderedPageBreak/>
        <w:t>introduced a critical self_attn.out_proj skip filter (Liu et al., 2025), successfully yielding a $z_s$ median of 0.973 (Liu et al., 2025).</w:t>
      </w:r>
    </w:p>
    <w:p w14:paraId="1B26CADC" w14:textId="77777777" w:rsidR="00882A11" w:rsidRPr="00882A11" w:rsidRDefault="00882A11" w:rsidP="00882A11">
      <w:r w:rsidRPr="00882A11">
        <w:t>To further reduce memory, the v11 full quantization experiment removed the out_proj skip filter (Liu et al., 2025). The failure was catastrophic. The Layer 3 out_proj similarity dropped instantly to 0.793, initiating a violent mathematical cascade that drove the Layer 31 $z_s$ vector down to 0.686525 (Liu et al., 2025). The overall network similarity collapsed to 0.894, falling below the 0.90 safety threshold and triggering an automatic QAT abort mechanism (Liu et al., 2025). To execute recovery, the out_proj skip filter was reinstated. Engineers attacked the export pipeline, injecting preserve_half=True into the tensor export calls to write the skipped temporal matrices natively in FP16 precision rather than allowing them to bloat into standard FP32 formats (Liu et al., 2025). This single intervention reduced the out_proj size penalty from 1.8 GB to 0.9 GB (Liu et al., 2025).</w:t>
      </w:r>
    </w:p>
    <w:p w14:paraId="3A41223A" w14:textId="77777777" w:rsidR="00882A11" w:rsidRPr="00882A11" w:rsidRDefault="00882A11" w:rsidP="00882A11">
      <w:r w:rsidRPr="00882A11">
        <w:t>Phase 5 — QAT Because crushing 50% of the network's 5.8 billion parameters down to ultra-low 2-bit precision generated severe, immediate acoustic artifacts, Quantization-Aware Training (QAT) was triggered to heal the mathematical geometry (Liu et al., 2025). The qat_septq.py script was executed, simulating mixed-precision bounds via fake quantization (Liu et al., 2025). Because step functions lack viable gradients for backpropagation, a Straight-Through Estimator (STE) gradient bypass was utilized to route gradients directly to the underlying continuous proxy weights (Liu et al., 2025).</w:t>
      </w:r>
    </w:p>
    <w:p w14:paraId="6FCAEFC5" w14:textId="77777777" w:rsidR="00882A11" w:rsidRPr="00882A11" w:rsidRDefault="00882A11" w:rsidP="00882A11">
      <w:r w:rsidRPr="00882A11">
        <w:t>Optimization was handled by the AdamW8bit algorithm to minimize VRAM overhead during the training loop (Liu et al., 2025). The loss function was formulated around Kullback-Leibler (KL) divergence distillation, penalizing the quantized student's logits when they deviated from the dense BF16 teacher's distribution (Liu et al., 2025). A strict plateau rollback logic monitored the target_median_cos (calibrated to 0.999), reverting the mathematical state if validation drift fell below dynamic thresholds (Liu et al., 2025). The 500-step execution was a historic success, reaching a peak 0.9727 median cosine similarity and generating the optimized bmo_jetson_ready.pt output payload (Liu et al., 2025).</w:t>
      </w:r>
    </w:p>
    <w:p w14:paraId="575D5D90" w14:textId="77777777" w:rsidR="00882A11" w:rsidRPr="00882A11" w:rsidRDefault="00882A11" w:rsidP="00882A11">
      <w:r w:rsidRPr="00882A11">
        <w:t>Phase 6 — Export and Deployment Executing the C++ inference engine on the Jetson Orin Nano required navigating extreme OS-level bottlenecks. The standard PyTorch loader encapsulated the highly compressed 2-bit values inside standard 16-bit containers, producing a massive 17 GB PyTorch container problem (Abstreiter et al., 2025). Attempting to load this file caused immediate heap exhaustion (Abstreiter et al., 2025). The profile_jetson.py script resolved this by invoking an mmap bypass, utilizing Memory Mapping and cudaHostRegister Pinned Mapped Memory to allow the CUDA cores to read the weights directly across the system bus in a Zero-Copy configuration (Abstreiter et al., 2025).</w:t>
      </w:r>
    </w:p>
    <w:p w14:paraId="33DB470A" w14:textId="77777777" w:rsidR="00882A11" w:rsidRPr="00882A11" w:rsidRDefault="00882A11" w:rsidP="00882A11">
      <w:r w:rsidRPr="00882A11">
        <w:t xml:space="preserve">The pipeline required forensic debugging to resolve four distinct GGUF pipeline bugs. The verify_depth.py diagnostic script suffered a depformer_emb offset error </w:t>
      </w:r>
      <w:r w:rsidRPr="00882A11">
        <w:lastRenderedPageBreak/>
        <w:t>where it erroneously added text embeddings at step 0 instead of restricting audio codebooks to steps 1-15. The export_bmo_gguf.py script silently dropped 17 missing tensor exports (including the 16 output codebook heads), requiring explicit export calls and a hard completeness check. A dimension mismatch crash within ggml_add broadcasting was resolved by explicitly flattening the 3D Depth norm ((1, 1, 1024)) into a 1D tensor array ((1024,)) to enable seamless C++ ABI memory alignment. Finally, overcoming the FP32 bloat via the preserve_half=True directive successfully yielded the final 9.69 GB v12 GGUF artifact.</w:t>
      </w:r>
    </w:p>
    <w:p w14:paraId="7E41096B" w14:textId="77777777" w:rsidR="00882A11" w:rsidRPr="00882A11" w:rsidRDefault="00882A11" w:rsidP="00882A11">
      <w:r w:rsidRPr="00882A11">
        <w:t>[FIGURE 3 — SEPTQ Tier Assignment: A layer-wise heatmap across all 32 temporal transformer layers showing the FP16, INT8, INT4, and INT2 precision designations assigned to each module based on Hessian saliency scores. Colour coding: green=FP16 protected, yellow=INT8, orange=INT4, red=INT2.]</w:t>
      </w:r>
    </w:p>
    <w:p w14:paraId="6ABBBAB1" w14:textId="77777777" w:rsidR="004D21F7" w:rsidRPr="004D21F7" w:rsidRDefault="004D21F7" w:rsidP="004D21F7"/>
    <w:p w14:paraId="3116448D" w14:textId="77777777" w:rsidR="00394F85" w:rsidRDefault="00394F85" w:rsidP="00394F85"/>
    <w:p w14:paraId="7A59F92E" w14:textId="77777777" w:rsidR="001840C2" w:rsidRDefault="001840C2" w:rsidP="00394F85"/>
    <w:p w14:paraId="2B98624A" w14:textId="1D73A8A7" w:rsidR="001840C2" w:rsidRDefault="001840C2" w:rsidP="001840C2">
      <w:pPr>
        <w:pStyle w:val="Heading1"/>
      </w:pPr>
      <w:r>
        <w:t>Datasets</w:t>
      </w:r>
    </w:p>
    <w:p w14:paraId="6DE623D7" w14:textId="77777777" w:rsidR="001840C2" w:rsidRDefault="001840C2" w:rsidP="001840C2"/>
    <w:p w14:paraId="7F477C7A" w14:textId="77777777" w:rsidR="001840C2" w:rsidRDefault="001840C2" w:rsidP="001840C2"/>
    <w:p w14:paraId="54058890" w14:textId="15E7A535" w:rsidR="001840C2" w:rsidRDefault="001840C2" w:rsidP="00057FC1">
      <w:pPr>
        <w:pStyle w:val="Heading1"/>
      </w:pPr>
      <w:r>
        <w:t>ML Algorithms</w:t>
      </w:r>
    </w:p>
    <w:p w14:paraId="2B449468" w14:textId="77777777" w:rsidR="00057FC1" w:rsidRDefault="00057FC1" w:rsidP="00057FC1"/>
    <w:p w14:paraId="396F5686" w14:textId="57FD4D96" w:rsidR="00057FC1" w:rsidRDefault="00057FC1" w:rsidP="00521EBF">
      <w:pPr>
        <w:pStyle w:val="Heading1"/>
      </w:pPr>
      <w:r w:rsidRPr="00057FC1">
        <w:t>C</w:t>
      </w:r>
      <w:r w:rsidR="00521EBF">
        <w:t>omparison Results</w:t>
      </w:r>
    </w:p>
    <w:p w14:paraId="401BC7CF" w14:textId="77777777" w:rsidR="00521EBF" w:rsidRDefault="00521EBF" w:rsidP="00521EBF"/>
    <w:p w14:paraId="4EFD85DB" w14:textId="7B397946" w:rsidR="00521EBF" w:rsidRDefault="00521EBF" w:rsidP="00521EBF">
      <w:pPr>
        <w:pStyle w:val="Heading1"/>
      </w:pPr>
      <w:r>
        <w:t>Performance Analysis</w:t>
      </w:r>
    </w:p>
    <w:p w14:paraId="5ACE6492" w14:textId="77777777" w:rsidR="002C6181" w:rsidRDefault="002C6181" w:rsidP="002C6181"/>
    <w:p w14:paraId="65A7A6A7" w14:textId="110B762C" w:rsidR="002C6181" w:rsidRPr="002C6181" w:rsidRDefault="002C6181" w:rsidP="002C6181">
      <w:pPr>
        <w:pStyle w:val="Heading1"/>
      </w:pPr>
      <w:r>
        <w:t xml:space="preserve">Conclusion </w:t>
      </w:r>
    </w:p>
    <w:p w14:paraId="2F467805" w14:textId="5AD89F7D" w:rsidR="00057FC1" w:rsidRPr="00057FC1" w:rsidRDefault="00057FC1" w:rsidP="00057FC1"/>
    <w:p w14:paraId="4B49725E" w14:textId="6102C192" w:rsidR="00363DBE" w:rsidRDefault="00363DBE"/>
    <w:sdt>
      <w:sdtPr>
        <w:rPr>
          <w:rFonts w:asciiTheme="minorHAnsi" w:eastAsiaTheme="minorHAnsi" w:hAnsiTheme="minorHAnsi" w:cstheme="minorBidi"/>
          <w:color w:val="auto"/>
          <w:sz w:val="24"/>
          <w:szCs w:val="24"/>
        </w:rPr>
        <w:id w:val="-1848253102"/>
        <w:docPartObj>
          <w:docPartGallery w:val="Bibliographies"/>
          <w:docPartUnique/>
        </w:docPartObj>
      </w:sdtPr>
      <w:sdtContent>
        <w:p w14:paraId="0EBF1020" w14:textId="75B8BD77" w:rsidR="00482E3D" w:rsidRDefault="00482E3D">
          <w:pPr>
            <w:pStyle w:val="Heading1"/>
          </w:pPr>
          <w:r>
            <w:t>References</w:t>
          </w:r>
        </w:p>
        <w:sdt>
          <w:sdtPr>
            <w:id w:val="-573587230"/>
            <w:bibliography/>
          </w:sdtPr>
          <w:sdtContent>
            <w:p w14:paraId="431826C5" w14:textId="77777777" w:rsidR="00482E3D" w:rsidRDefault="00482E3D" w:rsidP="00482E3D">
              <w:pPr>
                <w:pStyle w:val="Bibliography"/>
                <w:rPr>
                  <w:noProof/>
                  <w:kern w:val="0"/>
                  <w14:ligatures w14:val="none"/>
                </w:rPr>
              </w:pPr>
              <w:r>
                <w:fldChar w:fldCharType="begin"/>
              </w:r>
              <w:r>
                <w:instrText xml:space="preserve"> BIBLIOGRAPHY </w:instrText>
              </w:r>
              <w:r>
                <w:fldChar w:fldCharType="separate"/>
              </w:r>
              <w:r>
                <w:rPr>
                  <w:noProof/>
                </w:rPr>
                <w:t xml:space="preserve">Abstreiter, M., Tarkoma, S. &amp; Morabito, R., 2025. </w:t>
              </w:r>
              <w:r>
                <w:rPr>
                  <w:i/>
                  <w:iCs/>
                  <w:noProof/>
                </w:rPr>
                <w:t xml:space="preserve">Sometimes Painful but Promising: Feasibility and Trade-offs of On-Device Language Model Inference, </w:t>
              </w:r>
              <w:r>
                <w:rPr>
                  <w:noProof/>
                </w:rPr>
                <w:t>arXiv: s.n.</w:t>
              </w:r>
            </w:p>
            <w:p w14:paraId="109439D9" w14:textId="77777777" w:rsidR="00482E3D" w:rsidRDefault="00482E3D" w:rsidP="00482E3D">
              <w:pPr>
                <w:pStyle w:val="Bibliography"/>
                <w:rPr>
                  <w:noProof/>
                </w:rPr>
              </w:pPr>
              <w:r>
                <w:rPr>
                  <w:noProof/>
                </w:rPr>
                <w:t xml:space="preserve">Ashkboos, S. et al., 2024. </w:t>
              </w:r>
              <w:r>
                <w:rPr>
                  <w:i/>
                  <w:iCs/>
                  <w:noProof/>
                </w:rPr>
                <w:t xml:space="preserve">SliceGPT: Compress Large Language Models by Deleting Rows and Columns. </w:t>
              </w:r>
              <w:r>
                <w:rPr>
                  <w:noProof/>
                </w:rPr>
                <w:t>s.l., arXiv .</w:t>
              </w:r>
            </w:p>
            <w:p w14:paraId="217BEAFD" w14:textId="77777777" w:rsidR="00482E3D" w:rsidRDefault="00482E3D" w:rsidP="00482E3D">
              <w:pPr>
                <w:pStyle w:val="Bibliography"/>
                <w:rPr>
                  <w:noProof/>
                </w:rPr>
              </w:pPr>
              <w:r>
                <w:rPr>
                  <w:noProof/>
                </w:rPr>
                <w:t xml:space="preserve">Défossez, A. et al., 2024. </w:t>
              </w:r>
              <w:r>
                <w:rPr>
                  <w:i/>
                  <w:iCs/>
                  <w:noProof/>
                </w:rPr>
                <w:t xml:space="preserve">Moshi: A speech-text foundation model for real-time dialogue, </w:t>
              </w:r>
              <w:r>
                <w:rPr>
                  <w:noProof/>
                </w:rPr>
                <w:t>s.l.: Kyutai.</w:t>
              </w:r>
            </w:p>
            <w:p w14:paraId="29F2A562" w14:textId="77777777" w:rsidR="00482E3D" w:rsidRDefault="00482E3D" w:rsidP="00482E3D">
              <w:pPr>
                <w:pStyle w:val="Bibliography"/>
                <w:rPr>
                  <w:noProof/>
                </w:rPr>
              </w:pPr>
              <w:r>
                <w:rPr>
                  <w:noProof/>
                </w:rPr>
                <w:t xml:space="preserve">Desplanques, B., Thienpondt, J. &amp; Demuynck, K., 2020. </w:t>
              </w:r>
              <w:r>
                <w:rPr>
                  <w:i/>
                  <w:iCs/>
                  <w:noProof/>
                </w:rPr>
                <w:t xml:space="preserve">ECAPA-TDNN: Emphasized Channel Attention, Propagation and Aggregation in TDNN Based Speaker Verification. </w:t>
              </w:r>
              <w:r>
                <w:rPr>
                  <w:noProof/>
                </w:rPr>
                <w:t>s.l., ISCA.</w:t>
              </w:r>
            </w:p>
            <w:p w14:paraId="5CBF604A" w14:textId="77777777" w:rsidR="00482E3D" w:rsidRDefault="00482E3D" w:rsidP="00482E3D">
              <w:pPr>
                <w:pStyle w:val="Bibliography"/>
                <w:rPr>
                  <w:noProof/>
                </w:rPr>
              </w:pPr>
              <w:r>
                <w:rPr>
                  <w:noProof/>
                </w:rPr>
                <w:t xml:space="preserve">Frantar, E., Ashkboos, S., Hoefler, T. &amp; Alistarh, D., 2023. </w:t>
              </w:r>
              <w:r>
                <w:rPr>
                  <w:i/>
                  <w:iCs/>
                  <w:noProof/>
                </w:rPr>
                <w:t xml:space="preserve">GPTQ: Accurate Post-Training Quantization for Generative Pre-trained Transformers. </w:t>
              </w:r>
              <w:r>
                <w:rPr>
                  <w:noProof/>
                </w:rPr>
                <w:t>s.l., International Conference on Learning Representations (ICLR).</w:t>
              </w:r>
            </w:p>
            <w:p w14:paraId="34DDDFDC" w14:textId="77777777" w:rsidR="00482E3D" w:rsidRDefault="00482E3D" w:rsidP="00482E3D">
              <w:pPr>
                <w:pStyle w:val="Bibliography"/>
                <w:rPr>
                  <w:noProof/>
                </w:rPr>
              </w:pPr>
              <w:r>
                <w:rPr>
                  <w:noProof/>
                </w:rPr>
                <w:t xml:space="preserve">Lin, J. et al., 2026. </w:t>
              </w:r>
              <w:r>
                <w:rPr>
                  <w:i/>
                  <w:iCs/>
                  <w:noProof/>
                </w:rPr>
                <w:t xml:space="preserve">AWQ: Activation-aware Weight Quantization for LLM Compression and Acceleration. </w:t>
              </w:r>
              <w:r>
                <w:rPr>
                  <w:noProof/>
                </w:rPr>
                <w:t>s.l., MLSys.</w:t>
              </w:r>
            </w:p>
            <w:p w14:paraId="3EE1C0C1" w14:textId="77777777" w:rsidR="00482E3D" w:rsidRDefault="00482E3D" w:rsidP="00482E3D">
              <w:pPr>
                <w:pStyle w:val="Bibliography"/>
                <w:rPr>
                  <w:noProof/>
                </w:rPr>
              </w:pPr>
              <w:r>
                <w:rPr>
                  <w:noProof/>
                </w:rPr>
                <w:t xml:space="preserve">Liu, H. et al., 2025. </w:t>
              </w:r>
              <w:r>
                <w:rPr>
                  <w:i/>
                  <w:iCs/>
                  <w:noProof/>
                </w:rPr>
                <w:t xml:space="preserve">SEPTQ: A Simple and Effective Post-Training Quantization Paradigm for Large Language Models. </w:t>
              </w:r>
              <w:r>
                <w:rPr>
                  <w:noProof/>
                </w:rPr>
                <w:t>s.l., s.n.</w:t>
              </w:r>
            </w:p>
            <w:p w14:paraId="75AC910A" w14:textId="77777777" w:rsidR="00482E3D" w:rsidRDefault="00482E3D" w:rsidP="00482E3D">
              <w:pPr>
                <w:pStyle w:val="Bibliography"/>
                <w:rPr>
                  <w:noProof/>
                </w:rPr>
              </w:pPr>
              <w:r>
                <w:rPr>
                  <w:noProof/>
                </w:rPr>
                <w:t xml:space="preserve">Roy, R. et al., 2026. </w:t>
              </w:r>
              <w:r>
                <w:rPr>
                  <w:i/>
                  <w:iCs/>
                  <w:noProof/>
                </w:rPr>
                <w:t xml:space="preserve">PersonaPlex: Voice and Role Control for Full Duplex Conversational Speech Models, </w:t>
              </w:r>
              <w:r>
                <w:rPr>
                  <w:noProof/>
                </w:rPr>
                <w:t>s.l.: NVIDIA.</w:t>
              </w:r>
            </w:p>
            <w:p w14:paraId="7845202B" w14:textId="77777777" w:rsidR="00482E3D" w:rsidRDefault="00482E3D" w:rsidP="00482E3D">
              <w:pPr>
                <w:pStyle w:val="Bibliography"/>
                <w:rPr>
                  <w:noProof/>
                </w:rPr>
              </w:pPr>
              <w:r>
                <w:rPr>
                  <w:noProof/>
                </w:rPr>
                <w:t xml:space="preserve">Samson, H. H., 2026. </w:t>
              </w:r>
              <w:r>
                <w:rPr>
                  <w:i/>
                  <w:iCs/>
                  <w:noProof/>
                </w:rPr>
                <w:t xml:space="preserve">Lightweight Transformer Architectures for Edge Devices in Real-Time Applications, </w:t>
              </w:r>
              <w:r>
                <w:rPr>
                  <w:noProof/>
                </w:rPr>
                <w:t>s.l.: arXiv.</w:t>
              </w:r>
            </w:p>
            <w:p w14:paraId="0EF0156C" w14:textId="77777777" w:rsidR="00482E3D" w:rsidRDefault="00482E3D" w:rsidP="00482E3D">
              <w:pPr>
                <w:pStyle w:val="Bibliography"/>
                <w:rPr>
                  <w:noProof/>
                </w:rPr>
              </w:pPr>
              <w:r>
                <w:rPr>
                  <w:noProof/>
                </w:rPr>
                <w:t xml:space="preserve">Zandieh, A., Daliri, M., Mirrokni, V. &amp; Hadian, M., 2025. </w:t>
              </w:r>
              <w:r>
                <w:rPr>
                  <w:i/>
                  <w:iCs/>
                  <w:noProof/>
                </w:rPr>
                <w:t xml:space="preserve">TurboQuant: Online Vector Quantization with Near-optimal Distortion Rate, </w:t>
              </w:r>
              <w:r>
                <w:rPr>
                  <w:noProof/>
                </w:rPr>
                <w:t>s.l.: Google Research.</w:t>
              </w:r>
            </w:p>
            <w:p w14:paraId="52DA58B1" w14:textId="5048E058" w:rsidR="00482E3D" w:rsidRDefault="00482E3D" w:rsidP="00482E3D">
              <w:r>
                <w:rPr>
                  <w:b/>
                  <w:bCs/>
                  <w:noProof/>
                </w:rPr>
                <w:fldChar w:fldCharType="end"/>
              </w:r>
            </w:p>
          </w:sdtContent>
        </w:sdt>
      </w:sdtContent>
    </w:sdt>
    <w:p w14:paraId="5516DE5D" w14:textId="77777777" w:rsidR="00482E3D" w:rsidRPr="00480473" w:rsidRDefault="00482E3D" w:rsidP="00480473"/>
    <w:p w14:paraId="1105638B" w14:textId="77777777" w:rsidR="009035DE" w:rsidRPr="009035DE" w:rsidRDefault="009035DE" w:rsidP="009035DE"/>
    <w:p w14:paraId="7DB39A63" w14:textId="77777777" w:rsidR="00A92F34" w:rsidRPr="00A92F34" w:rsidRDefault="00A92F34" w:rsidP="00A92F34"/>
    <w:p w14:paraId="1447CE13" w14:textId="6AA695B8" w:rsidR="005207CB" w:rsidRPr="005207CB" w:rsidRDefault="005207CB" w:rsidP="005207CB"/>
    <w:sectPr w:rsidR="005207CB" w:rsidRPr="005207C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18190" w14:textId="77777777" w:rsidR="00BA016B" w:rsidRDefault="00BA016B" w:rsidP="00363DBE">
      <w:pPr>
        <w:spacing w:after="0" w:line="240" w:lineRule="auto"/>
      </w:pPr>
      <w:r>
        <w:separator/>
      </w:r>
    </w:p>
  </w:endnote>
  <w:endnote w:type="continuationSeparator" w:id="0">
    <w:p w14:paraId="42961045" w14:textId="77777777" w:rsidR="00BA016B" w:rsidRDefault="00BA016B" w:rsidP="00363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84BC9" w14:textId="77777777" w:rsidR="00BA016B" w:rsidRDefault="00BA016B" w:rsidP="00363DBE">
      <w:pPr>
        <w:spacing w:after="0" w:line="240" w:lineRule="auto"/>
      </w:pPr>
      <w:r>
        <w:separator/>
      </w:r>
    </w:p>
  </w:footnote>
  <w:footnote w:type="continuationSeparator" w:id="0">
    <w:p w14:paraId="0FFB8B88" w14:textId="77777777" w:rsidR="00BA016B" w:rsidRDefault="00BA016B" w:rsidP="00363DB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formsDesig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7CB"/>
    <w:rsid w:val="00015F4E"/>
    <w:rsid w:val="000220AE"/>
    <w:rsid w:val="00057FC1"/>
    <w:rsid w:val="000F1B2E"/>
    <w:rsid w:val="00100CD0"/>
    <w:rsid w:val="001505A4"/>
    <w:rsid w:val="001840C2"/>
    <w:rsid w:val="001D2CEF"/>
    <w:rsid w:val="00223349"/>
    <w:rsid w:val="00237B49"/>
    <w:rsid w:val="0027256C"/>
    <w:rsid w:val="00281E0F"/>
    <w:rsid w:val="002A353D"/>
    <w:rsid w:val="002C6181"/>
    <w:rsid w:val="00332118"/>
    <w:rsid w:val="00361EDB"/>
    <w:rsid w:val="00363DBE"/>
    <w:rsid w:val="003704F4"/>
    <w:rsid w:val="003820BE"/>
    <w:rsid w:val="00394F85"/>
    <w:rsid w:val="003A732D"/>
    <w:rsid w:val="003B3DB4"/>
    <w:rsid w:val="003E27CB"/>
    <w:rsid w:val="00447FB3"/>
    <w:rsid w:val="00465BCE"/>
    <w:rsid w:val="00480473"/>
    <w:rsid w:val="00482059"/>
    <w:rsid w:val="00482E3D"/>
    <w:rsid w:val="004A52A9"/>
    <w:rsid w:val="004B646A"/>
    <w:rsid w:val="004D21F7"/>
    <w:rsid w:val="004D26F4"/>
    <w:rsid w:val="00507544"/>
    <w:rsid w:val="005207CB"/>
    <w:rsid w:val="00521EBF"/>
    <w:rsid w:val="005C0122"/>
    <w:rsid w:val="005C4888"/>
    <w:rsid w:val="005D5A86"/>
    <w:rsid w:val="005D699F"/>
    <w:rsid w:val="00633883"/>
    <w:rsid w:val="00635779"/>
    <w:rsid w:val="00682174"/>
    <w:rsid w:val="006C2807"/>
    <w:rsid w:val="006D27E2"/>
    <w:rsid w:val="006F371C"/>
    <w:rsid w:val="007323E3"/>
    <w:rsid w:val="007B2DC5"/>
    <w:rsid w:val="00831445"/>
    <w:rsid w:val="008814C6"/>
    <w:rsid w:val="00882A11"/>
    <w:rsid w:val="008C5C06"/>
    <w:rsid w:val="008E386B"/>
    <w:rsid w:val="009035DE"/>
    <w:rsid w:val="00943E58"/>
    <w:rsid w:val="00991BC2"/>
    <w:rsid w:val="009C564C"/>
    <w:rsid w:val="009D77C3"/>
    <w:rsid w:val="009F347B"/>
    <w:rsid w:val="00A27797"/>
    <w:rsid w:val="00A92F34"/>
    <w:rsid w:val="00AB1122"/>
    <w:rsid w:val="00B04B61"/>
    <w:rsid w:val="00B324F2"/>
    <w:rsid w:val="00B409DB"/>
    <w:rsid w:val="00B74D0F"/>
    <w:rsid w:val="00BA016B"/>
    <w:rsid w:val="00C1444D"/>
    <w:rsid w:val="00C361EC"/>
    <w:rsid w:val="00C531E7"/>
    <w:rsid w:val="00CC43A7"/>
    <w:rsid w:val="00CC7CFC"/>
    <w:rsid w:val="00CE54BE"/>
    <w:rsid w:val="00D46AC0"/>
    <w:rsid w:val="00D55390"/>
    <w:rsid w:val="00D83752"/>
    <w:rsid w:val="00DA22C1"/>
    <w:rsid w:val="00DA4F02"/>
    <w:rsid w:val="00DF0E16"/>
    <w:rsid w:val="00E00789"/>
    <w:rsid w:val="00E22D42"/>
    <w:rsid w:val="00E313CC"/>
    <w:rsid w:val="00E44AC7"/>
    <w:rsid w:val="00E91078"/>
    <w:rsid w:val="00EB16D6"/>
    <w:rsid w:val="00ED783F"/>
    <w:rsid w:val="00F67122"/>
    <w:rsid w:val="00FC5DE5"/>
    <w:rsid w:val="00FD7704"/>
    <w:rsid w:val="00FE74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A97D7"/>
  <w15:chartTrackingRefBased/>
  <w15:docId w15:val="{7D24BE71-8503-421B-AD25-65CE79DC8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7CB"/>
    <w:pPr>
      <w:keepNext/>
      <w:keepLines/>
      <w:spacing w:before="360" w:after="80"/>
      <w:outlineLvl w:val="0"/>
    </w:pPr>
    <w:rPr>
      <w:rFonts w:asciiTheme="majorHAnsi" w:eastAsiaTheme="majorEastAsia" w:hAnsiTheme="majorHAnsi" w:cstheme="majorBidi"/>
      <w:color w:val="000000" w:themeColor="accent1" w:themeShade="BF"/>
      <w:sz w:val="40"/>
      <w:szCs w:val="40"/>
    </w:rPr>
  </w:style>
  <w:style w:type="paragraph" w:styleId="Heading2">
    <w:name w:val="heading 2"/>
    <w:basedOn w:val="Normal"/>
    <w:next w:val="Normal"/>
    <w:link w:val="Heading2Char"/>
    <w:uiPriority w:val="9"/>
    <w:unhideWhenUsed/>
    <w:qFormat/>
    <w:rsid w:val="005207CB"/>
    <w:pPr>
      <w:keepNext/>
      <w:keepLines/>
      <w:spacing w:before="160" w:after="80"/>
      <w:outlineLvl w:val="1"/>
    </w:pPr>
    <w:rPr>
      <w:rFonts w:asciiTheme="majorHAnsi" w:eastAsiaTheme="majorEastAsia" w:hAnsiTheme="majorHAnsi" w:cstheme="majorBidi"/>
      <w:color w:val="000000" w:themeColor="accent1" w:themeShade="BF"/>
      <w:sz w:val="32"/>
      <w:szCs w:val="32"/>
    </w:rPr>
  </w:style>
  <w:style w:type="paragraph" w:styleId="Heading3">
    <w:name w:val="heading 3"/>
    <w:basedOn w:val="Normal"/>
    <w:next w:val="Normal"/>
    <w:link w:val="Heading3Char"/>
    <w:uiPriority w:val="9"/>
    <w:semiHidden/>
    <w:unhideWhenUsed/>
    <w:qFormat/>
    <w:rsid w:val="005207CB"/>
    <w:pPr>
      <w:keepNext/>
      <w:keepLines/>
      <w:spacing w:before="160" w:after="80"/>
      <w:outlineLvl w:val="2"/>
    </w:pPr>
    <w:rPr>
      <w:rFonts w:eastAsiaTheme="majorEastAsia" w:cstheme="majorBidi"/>
      <w:color w:val="000000" w:themeColor="accent1" w:themeShade="BF"/>
      <w:sz w:val="28"/>
      <w:szCs w:val="28"/>
    </w:rPr>
  </w:style>
  <w:style w:type="paragraph" w:styleId="Heading4">
    <w:name w:val="heading 4"/>
    <w:basedOn w:val="Normal"/>
    <w:next w:val="Normal"/>
    <w:link w:val="Heading4Char"/>
    <w:uiPriority w:val="9"/>
    <w:semiHidden/>
    <w:unhideWhenUsed/>
    <w:qFormat/>
    <w:rsid w:val="005207CB"/>
    <w:pPr>
      <w:keepNext/>
      <w:keepLines/>
      <w:spacing w:before="80" w:after="40"/>
      <w:outlineLvl w:val="3"/>
    </w:pPr>
    <w:rPr>
      <w:rFonts w:eastAsiaTheme="majorEastAsia" w:cstheme="majorBidi"/>
      <w:i/>
      <w:iCs/>
      <w:color w:val="000000" w:themeColor="accent1" w:themeShade="BF"/>
    </w:rPr>
  </w:style>
  <w:style w:type="paragraph" w:styleId="Heading5">
    <w:name w:val="heading 5"/>
    <w:basedOn w:val="Normal"/>
    <w:next w:val="Normal"/>
    <w:link w:val="Heading5Char"/>
    <w:uiPriority w:val="9"/>
    <w:semiHidden/>
    <w:unhideWhenUsed/>
    <w:qFormat/>
    <w:rsid w:val="005207CB"/>
    <w:pPr>
      <w:keepNext/>
      <w:keepLines/>
      <w:spacing w:before="80" w:after="40"/>
      <w:outlineLvl w:val="4"/>
    </w:pPr>
    <w:rPr>
      <w:rFonts w:eastAsiaTheme="majorEastAsia" w:cstheme="majorBidi"/>
      <w:color w:val="000000" w:themeColor="accent1" w:themeShade="BF"/>
    </w:rPr>
  </w:style>
  <w:style w:type="paragraph" w:styleId="Heading6">
    <w:name w:val="heading 6"/>
    <w:basedOn w:val="Normal"/>
    <w:next w:val="Normal"/>
    <w:link w:val="Heading6Char"/>
    <w:uiPriority w:val="9"/>
    <w:semiHidden/>
    <w:unhideWhenUsed/>
    <w:qFormat/>
    <w:rsid w:val="00520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7CB"/>
    <w:rPr>
      <w:rFonts w:asciiTheme="majorHAnsi" w:eastAsiaTheme="majorEastAsia" w:hAnsiTheme="majorHAnsi" w:cstheme="majorBidi"/>
      <w:color w:val="000000" w:themeColor="accent1" w:themeShade="BF"/>
      <w:sz w:val="40"/>
      <w:szCs w:val="40"/>
    </w:rPr>
  </w:style>
  <w:style w:type="character" w:customStyle="1" w:styleId="Heading2Char">
    <w:name w:val="Heading 2 Char"/>
    <w:basedOn w:val="DefaultParagraphFont"/>
    <w:link w:val="Heading2"/>
    <w:uiPriority w:val="9"/>
    <w:rsid w:val="005207CB"/>
    <w:rPr>
      <w:rFonts w:asciiTheme="majorHAnsi" w:eastAsiaTheme="majorEastAsia" w:hAnsiTheme="majorHAnsi" w:cstheme="majorBidi"/>
      <w:color w:val="000000" w:themeColor="accent1" w:themeShade="BF"/>
      <w:sz w:val="32"/>
      <w:szCs w:val="32"/>
    </w:rPr>
  </w:style>
  <w:style w:type="character" w:customStyle="1" w:styleId="Heading3Char">
    <w:name w:val="Heading 3 Char"/>
    <w:basedOn w:val="DefaultParagraphFont"/>
    <w:link w:val="Heading3"/>
    <w:uiPriority w:val="9"/>
    <w:semiHidden/>
    <w:rsid w:val="005207CB"/>
    <w:rPr>
      <w:rFonts w:eastAsiaTheme="majorEastAsia" w:cstheme="majorBidi"/>
      <w:color w:val="000000" w:themeColor="accent1" w:themeShade="BF"/>
      <w:sz w:val="28"/>
      <w:szCs w:val="28"/>
    </w:rPr>
  </w:style>
  <w:style w:type="character" w:customStyle="1" w:styleId="Heading4Char">
    <w:name w:val="Heading 4 Char"/>
    <w:basedOn w:val="DefaultParagraphFont"/>
    <w:link w:val="Heading4"/>
    <w:uiPriority w:val="9"/>
    <w:semiHidden/>
    <w:rsid w:val="005207CB"/>
    <w:rPr>
      <w:rFonts w:eastAsiaTheme="majorEastAsia" w:cstheme="majorBidi"/>
      <w:i/>
      <w:iCs/>
      <w:color w:val="000000" w:themeColor="accent1" w:themeShade="BF"/>
    </w:rPr>
  </w:style>
  <w:style w:type="character" w:customStyle="1" w:styleId="Heading5Char">
    <w:name w:val="Heading 5 Char"/>
    <w:basedOn w:val="DefaultParagraphFont"/>
    <w:link w:val="Heading5"/>
    <w:uiPriority w:val="9"/>
    <w:semiHidden/>
    <w:rsid w:val="005207CB"/>
    <w:rPr>
      <w:rFonts w:eastAsiaTheme="majorEastAsia" w:cstheme="majorBidi"/>
      <w:color w:val="000000" w:themeColor="accent1" w:themeShade="BF"/>
    </w:rPr>
  </w:style>
  <w:style w:type="character" w:customStyle="1" w:styleId="Heading6Char">
    <w:name w:val="Heading 6 Char"/>
    <w:basedOn w:val="DefaultParagraphFont"/>
    <w:link w:val="Heading6"/>
    <w:uiPriority w:val="9"/>
    <w:semiHidden/>
    <w:rsid w:val="00520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7CB"/>
    <w:rPr>
      <w:rFonts w:eastAsiaTheme="majorEastAsia" w:cstheme="majorBidi"/>
      <w:color w:val="272727" w:themeColor="text1" w:themeTint="D8"/>
    </w:rPr>
  </w:style>
  <w:style w:type="paragraph" w:styleId="Title">
    <w:name w:val="Title"/>
    <w:basedOn w:val="Normal"/>
    <w:next w:val="Normal"/>
    <w:link w:val="TitleChar"/>
    <w:uiPriority w:val="10"/>
    <w:qFormat/>
    <w:rsid w:val="00520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7CB"/>
    <w:pPr>
      <w:spacing w:before="160"/>
      <w:jc w:val="center"/>
    </w:pPr>
    <w:rPr>
      <w:i/>
      <w:iCs/>
      <w:color w:val="404040" w:themeColor="text1" w:themeTint="BF"/>
    </w:rPr>
  </w:style>
  <w:style w:type="character" w:customStyle="1" w:styleId="QuoteChar">
    <w:name w:val="Quote Char"/>
    <w:basedOn w:val="DefaultParagraphFont"/>
    <w:link w:val="Quote"/>
    <w:uiPriority w:val="29"/>
    <w:rsid w:val="005207CB"/>
    <w:rPr>
      <w:i/>
      <w:iCs/>
      <w:color w:val="404040" w:themeColor="text1" w:themeTint="BF"/>
    </w:rPr>
  </w:style>
  <w:style w:type="paragraph" w:styleId="ListParagraph">
    <w:name w:val="List Paragraph"/>
    <w:basedOn w:val="Normal"/>
    <w:uiPriority w:val="34"/>
    <w:qFormat/>
    <w:rsid w:val="005207CB"/>
    <w:pPr>
      <w:ind w:left="720"/>
      <w:contextualSpacing/>
    </w:pPr>
  </w:style>
  <w:style w:type="character" w:styleId="IntenseEmphasis">
    <w:name w:val="Intense Emphasis"/>
    <w:basedOn w:val="DefaultParagraphFont"/>
    <w:uiPriority w:val="21"/>
    <w:qFormat/>
    <w:rsid w:val="005207CB"/>
    <w:rPr>
      <w:i/>
      <w:iCs/>
      <w:color w:val="000000" w:themeColor="accent1" w:themeShade="BF"/>
    </w:rPr>
  </w:style>
  <w:style w:type="paragraph" w:styleId="IntenseQuote">
    <w:name w:val="Intense Quote"/>
    <w:basedOn w:val="Normal"/>
    <w:next w:val="Normal"/>
    <w:link w:val="IntenseQuoteChar"/>
    <w:uiPriority w:val="30"/>
    <w:qFormat/>
    <w:rsid w:val="005207CB"/>
    <w:pPr>
      <w:pBdr>
        <w:top w:val="single" w:sz="4" w:space="10" w:color="000000" w:themeColor="accent1" w:themeShade="BF"/>
        <w:bottom w:val="single" w:sz="4" w:space="10" w:color="000000" w:themeColor="accent1" w:themeShade="BF"/>
      </w:pBdr>
      <w:spacing w:before="360" w:after="360"/>
      <w:ind w:left="864" w:right="864"/>
      <w:jc w:val="center"/>
    </w:pPr>
    <w:rPr>
      <w:i/>
      <w:iCs/>
      <w:color w:val="000000" w:themeColor="accent1" w:themeShade="BF"/>
    </w:rPr>
  </w:style>
  <w:style w:type="character" w:customStyle="1" w:styleId="IntenseQuoteChar">
    <w:name w:val="Intense Quote Char"/>
    <w:basedOn w:val="DefaultParagraphFont"/>
    <w:link w:val="IntenseQuote"/>
    <w:uiPriority w:val="30"/>
    <w:rsid w:val="005207CB"/>
    <w:rPr>
      <w:i/>
      <w:iCs/>
      <w:color w:val="000000" w:themeColor="accent1" w:themeShade="BF"/>
    </w:rPr>
  </w:style>
  <w:style w:type="character" w:styleId="IntenseReference">
    <w:name w:val="Intense Reference"/>
    <w:basedOn w:val="DefaultParagraphFont"/>
    <w:uiPriority w:val="32"/>
    <w:qFormat/>
    <w:rsid w:val="005207CB"/>
    <w:rPr>
      <w:b/>
      <w:bCs/>
      <w:smallCaps/>
      <w:color w:val="000000" w:themeColor="accent1" w:themeShade="BF"/>
      <w:spacing w:val="5"/>
    </w:rPr>
  </w:style>
  <w:style w:type="paragraph" w:styleId="Bibliography">
    <w:name w:val="Bibliography"/>
    <w:basedOn w:val="Normal"/>
    <w:next w:val="Normal"/>
    <w:uiPriority w:val="37"/>
    <w:unhideWhenUsed/>
    <w:rsid w:val="00482E3D"/>
  </w:style>
  <w:style w:type="paragraph" w:styleId="Header">
    <w:name w:val="header"/>
    <w:basedOn w:val="Normal"/>
    <w:link w:val="HeaderChar"/>
    <w:uiPriority w:val="99"/>
    <w:unhideWhenUsed/>
    <w:rsid w:val="00363D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3DBE"/>
  </w:style>
  <w:style w:type="paragraph" w:styleId="Footer">
    <w:name w:val="footer"/>
    <w:basedOn w:val="Normal"/>
    <w:link w:val="FooterChar"/>
    <w:uiPriority w:val="99"/>
    <w:unhideWhenUsed/>
    <w:rsid w:val="00363D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3DBE"/>
  </w:style>
  <w:style w:type="character" w:styleId="Hyperlink">
    <w:name w:val="Hyperlink"/>
    <w:basedOn w:val="DefaultParagraphFont"/>
    <w:uiPriority w:val="99"/>
    <w:unhideWhenUsed/>
    <w:rsid w:val="00882A11"/>
    <w:rPr>
      <w:color w:val="467886" w:themeColor="hyperlink"/>
      <w:u w:val="single"/>
    </w:rPr>
  </w:style>
  <w:style w:type="character" w:styleId="UnresolvedMention">
    <w:name w:val="Unresolved Mention"/>
    <w:basedOn w:val="DefaultParagraphFont"/>
    <w:uiPriority w:val="99"/>
    <w:semiHidden/>
    <w:unhideWhenUsed/>
    <w:rsid w:val="00882A11"/>
    <w:rPr>
      <w:color w:val="605E5C"/>
      <w:shd w:val="clear" w:color="auto" w:fill="E1DFDD"/>
    </w:rPr>
  </w:style>
  <w:style w:type="paragraph" w:styleId="PlainText">
    <w:name w:val="Plain Text"/>
    <w:basedOn w:val="Normal"/>
    <w:link w:val="PlainTextChar"/>
    <w:uiPriority w:val="99"/>
    <w:unhideWhenUsed/>
    <w:rsid w:val="00CE54B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E54BE"/>
    <w:rPr>
      <w:rFonts w:ascii="Consolas" w:hAnsi="Consolas"/>
      <w:sz w:val="21"/>
      <w:szCs w:val="21"/>
    </w:rPr>
  </w:style>
  <w:style w:type="character" w:styleId="PlaceholderText">
    <w:name w:val="Placeholder Text"/>
    <w:basedOn w:val="DefaultParagraphFont"/>
    <w:uiPriority w:val="99"/>
    <w:semiHidden/>
    <w:rsid w:val="0048205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2739">
      <w:bodyDiv w:val="1"/>
      <w:marLeft w:val="0"/>
      <w:marRight w:val="0"/>
      <w:marTop w:val="0"/>
      <w:marBottom w:val="0"/>
      <w:divBdr>
        <w:top w:val="none" w:sz="0" w:space="0" w:color="auto"/>
        <w:left w:val="none" w:sz="0" w:space="0" w:color="auto"/>
        <w:bottom w:val="none" w:sz="0" w:space="0" w:color="auto"/>
        <w:right w:val="none" w:sz="0" w:space="0" w:color="auto"/>
      </w:divBdr>
    </w:div>
    <w:div w:id="43405705">
      <w:bodyDiv w:val="1"/>
      <w:marLeft w:val="0"/>
      <w:marRight w:val="0"/>
      <w:marTop w:val="0"/>
      <w:marBottom w:val="0"/>
      <w:divBdr>
        <w:top w:val="none" w:sz="0" w:space="0" w:color="auto"/>
        <w:left w:val="none" w:sz="0" w:space="0" w:color="auto"/>
        <w:bottom w:val="none" w:sz="0" w:space="0" w:color="auto"/>
        <w:right w:val="none" w:sz="0" w:space="0" w:color="auto"/>
      </w:divBdr>
    </w:div>
    <w:div w:id="211233714">
      <w:bodyDiv w:val="1"/>
      <w:marLeft w:val="0"/>
      <w:marRight w:val="0"/>
      <w:marTop w:val="0"/>
      <w:marBottom w:val="0"/>
      <w:divBdr>
        <w:top w:val="none" w:sz="0" w:space="0" w:color="auto"/>
        <w:left w:val="none" w:sz="0" w:space="0" w:color="auto"/>
        <w:bottom w:val="none" w:sz="0" w:space="0" w:color="auto"/>
        <w:right w:val="none" w:sz="0" w:space="0" w:color="auto"/>
      </w:divBdr>
    </w:div>
    <w:div w:id="240801395">
      <w:bodyDiv w:val="1"/>
      <w:marLeft w:val="0"/>
      <w:marRight w:val="0"/>
      <w:marTop w:val="0"/>
      <w:marBottom w:val="0"/>
      <w:divBdr>
        <w:top w:val="none" w:sz="0" w:space="0" w:color="auto"/>
        <w:left w:val="none" w:sz="0" w:space="0" w:color="auto"/>
        <w:bottom w:val="none" w:sz="0" w:space="0" w:color="auto"/>
        <w:right w:val="none" w:sz="0" w:space="0" w:color="auto"/>
      </w:divBdr>
    </w:div>
    <w:div w:id="279993542">
      <w:bodyDiv w:val="1"/>
      <w:marLeft w:val="0"/>
      <w:marRight w:val="0"/>
      <w:marTop w:val="0"/>
      <w:marBottom w:val="0"/>
      <w:divBdr>
        <w:top w:val="none" w:sz="0" w:space="0" w:color="auto"/>
        <w:left w:val="none" w:sz="0" w:space="0" w:color="auto"/>
        <w:bottom w:val="none" w:sz="0" w:space="0" w:color="auto"/>
        <w:right w:val="none" w:sz="0" w:space="0" w:color="auto"/>
      </w:divBdr>
    </w:div>
    <w:div w:id="301545351">
      <w:bodyDiv w:val="1"/>
      <w:marLeft w:val="0"/>
      <w:marRight w:val="0"/>
      <w:marTop w:val="0"/>
      <w:marBottom w:val="0"/>
      <w:divBdr>
        <w:top w:val="none" w:sz="0" w:space="0" w:color="auto"/>
        <w:left w:val="none" w:sz="0" w:space="0" w:color="auto"/>
        <w:bottom w:val="none" w:sz="0" w:space="0" w:color="auto"/>
        <w:right w:val="none" w:sz="0" w:space="0" w:color="auto"/>
      </w:divBdr>
    </w:div>
    <w:div w:id="574508236">
      <w:bodyDiv w:val="1"/>
      <w:marLeft w:val="0"/>
      <w:marRight w:val="0"/>
      <w:marTop w:val="0"/>
      <w:marBottom w:val="0"/>
      <w:divBdr>
        <w:top w:val="none" w:sz="0" w:space="0" w:color="auto"/>
        <w:left w:val="none" w:sz="0" w:space="0" w:color="auto"/>
        <w:bottom w:val="none" w:sz="0" w:space="0" w:color="auto"/>
        <w:right w:val="none" w:sz="0" w:space="0" w:color="auto"/>
      </w:divBdr>
    </w:div>
    <w:div w:id="712192545">
      <w:bodyDiv w:val="1"/>
      <w:marLeft w:val="0"/>
      <w:marRight w:val="0"/>
      <w:marTop w:val="0"/>
      <w:marBottom w:val="0"/>
      <w:divBdr>
        <w:top w:val="none" w:sz="0" w:space="0" w:color="auto"/>
        <w:left w:val="none" w:sz="0" w:space="0" w:color="auto"/>
        <w:bottom w:val="none" w:sz="0" w:space="0" w:color="auto"/>
        <w:right w:val="none" w:sz="0" w:space="0" w:color="auto"/>
      </w:divBdr>
    </w:div>
    <w:div w:id="732772238">
      <w:bodyDiv w:val="1"/>
      <w:marLeft w:val="0"/>
      <w:marRight w:val="0"/>
      <w:marTop w:val="0"/>
      <w:marBottom w:val="0"/>
      <w:divBdr>
        <w:top w:val="none" w:sz="0" w:space="0" w:color="auto"/>
        <w:left w:val="none" w:sz="0" w:space="0" w:color="auto"/>
        <w:bottom w:val="none" w:sz="0" w:space="0" w:color="auto"/>
        <w:right w:val="none" w:sz="0" w:space="0" w:color="auto"/>
      </w:divBdr>
    </w:div>
    <w:div w:id="976951802">
      <w:bodyDiv w:val="1"/>
      <w:marLeft w:val="0"/>
      <w:marRight w:val="0"/>
      <w:marTop w:val="0"/>
      <w:marBottom w:val="0"/>
      <w:divBdr>
        <w:top w:val="none" w:sz="0" w:space="0" w:color="auto"/>
        <w:left w:val="none" w:sz="0" w:space="0" w:color="auto"/>
        <w:bottom w:val="none" w:sz="0" w:space="0" w:color="auto"/>
        <w:right w:val="none" w:sz="0" w:space="0" w:color="auto"/>
      </w:divBdr>
    </w:div>
    <w:div w:id="997001569">
      <w:bodyDiv w:val="1"/>
      <w:marLeft w:val="0"/>
      <w:marRight w:val="0"/>
      <w:marTop w:val="0"/>
      <w:marBottom w:val="0"/>
      <w:divBdr>
        <w:top w:val="none" w:sz="0" w:space="0" w:color="auto"/>
        <w:left w:val="none" w:sz="0" w:space="0" w:color="auto"/>
        <w:bottom w:val="none" w:sz="0" w:space="0" w:color="auto"/>
        <w:right w:val="none" w:sz="0" w:space="0" w:color="auto"/>
      </w:divBdr>
    </w:div>
    <w:div w:id="1250038740">
      <w:bodyDiv w:val="1"/>
      <w:marLeft w:val="0"/>
      <w:marRight w:val="0"/>
      <w:marTop w:val="0"/>
      <w:marBottom w:val="0"/>
      <w:divBdr>
        <w:top w:val="none" w:sz="0" w:space="0" w:color="auto"/>
        <w:left w:val="none" w:sz="0" w:space="0" w:color="auto"/>
        <w:bottom w:val="none" w:sz="0" w:space="0" w:color="auto"/>
        <w:right w:val="none" w:sz="0" w:space="0" w:color="auto"/>
      </w:divBdr>
    </w:div>
    <w:div w:id="1425372091">
      <w:bodyDiv w:val="1"/>
      <w:marLeft w:val="0"/>
      <w:marRight w:val="0"/>
      <w:marTop w:val="0"/>
      <w:marBottom w:val="0"/>
      <w:divBdr>
        <w:top w:val="none" w:sz="0" w:space="0" w:color="auto"/>
        <w:left w:val="none" w:sz="0" w:space="0" w:color="auto"/>
        <w:bottom w:val="none" w:sz="0" w:space="0" w:color="auto"/>
        <w:right w:val="none" w:sz="0" w:space="0" w:color="auto"/>
      </w:divBdr>
    </w:div>
    <w:div w:id="1439060602">
      <w:bodyDiv w:val="1"/>
      <w:marLeft w:val="0"/>
      <w:marRight w:val="0"/>
      <w:marTop w:val="0"/>
      <w:marBottom w:val="0"/>
      <w:divBdr>
        <w:top w:val="none" w:sz="0" w:space="0" w:color="auto"/>
        <w:left w:val="none" w:sz="0" w:space="0" w:color="auto"/>
        <w:bottom w:val="none" w:sz="0" w:space="0" w:color="auto"/>
        <w:right w:val="none" w:sz="0" w:space="0" w:color="auto"/>
      </w:divBdr>
    </w:div>
    <w:div w:id="1547180358">
      <w:bodyDiv w:val="1"/>
      <w:marLeft w:val="0"/>
      <w:marRight w:val="0"/>
      <w:marTop w:val="0"/>
      <w:marBottom w:val="0"/>
      <w:divBdr>
        <w:top w:val="none" w:sz="0" w:space="0" w:color="auto"/>
        <w:left w:val="none" w:sz="0" w:space="0" w:color="auto"/>
        <w:bottom w:val="none" w:sz="0" w:space="0" w:color="auto"/>
        <w:right w:val="none" w:sz="0" w:space="0" w:color="auto"/>
      </w:divBdr>
    </w:div>
    <w:div w:id="1607343328">
      <w:bodyDiv w:val="1"/>
      <w:marLeft w:val="0"/>
      <w:marRight w:val="0"/>
      <w:marTop w:val="0"/>
      <w:marBottom w:val="0"/>
      <w:divBdr>
        <w:top w:val="none" w:sz="0" w:space="0" w:color="auto"/>
        <w:left w:val="none" w:sz="0" w:space="0" w:color="auto"/>
        <w:bottom w:val="none" w:sz="0" w:space="0" w:color="auto"/>
        <w:right w:val="none" w:sz="0" w:space="0" w:color="auto"/>
      </w:divBdr>
    </w:div>
    <w:div w:id="1719745022">
      <w:bodyDiv w:val="1"/>
      <w:marLeft w:val="0"/>
      <w:marRight w:val="0"/>
      <w:marTop w:val="0"/>
      <w:marBottom w:val="0"/>
      <w:divBdr>
        <w:top w:val="none" w:sz="0" w:space="0" w:color="auto"/>
        <w:left w:val="none" w:sz="0" w:space="0" w:color="auto"/>
        <w:bottom w:val="none" w:sz="0" w:space="0" w:color="auto"/>
        <w:right w:val="none" w:sz="0" w:space="0" w:color="auto"/>
      </w:divBdr>
    </w:div>
    <w:div w:id="1952087627">
      <w:bodyDiv w:val="1"/>
      <w:marLeft w:val="0"/>
      <w:marRight w:val="0"/>
      <w:marTop w:val="0"/>
      <w:marBottom w:val="0"/>
      <w:divBdr>
        <w:top w:val="none" w:sz="0" w:space="0" w:color="auto"/>
        <w:left w:val="none" w:sz="0" w:space="0" w:color="auto"/>
        <w:bottom w:val="none" w:sz="0" w:space="0" w:color="auto"/>
        <w:right w:val="none" w:sz="0" w:space="0" w:color="auto"/>
      </w:divBdr>
    </w:div>
    <w:div w:id="1960649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E8E8E8"/>
      </a:lt2>
      <a:accent1>
        <a:srgbClr val="000000"/>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Liu25</b:Tag>
    <b:SourceType>ConferenceProceedings</b:SourceType>
    <b:Guid>{8A8DB640-2002-4A19-A5E8-4FC1B897F3B4}</b:Guid>
    <b:Title>SEPTQ: A Simple and Effective Post-Training Quantization Paradigm for Large Language Models</b:Title>
    <b:Year>2025</b:Year>
    <b:Author>
      <b:Author>
        <b:NameList>
          <b:Person>
            <b:Last>Liu</b:Last>
            <b:First>H.</b:First>
          </b:Person>
          <b:Person>
            <b:Last>Gao</b:Last>
            <b:First>H.</b:First>
          </b:Person>
          <b:Person>
            <b:Last>Zhang</b:Last>
            <b:First>X.</b:First>
          </b:Person>
          <b:Person>
            <b:Last>Li</b:Last>
            <b:First>C.</b:First>
          </b:Person>
          <b:Person>
            <b:Last>Zhang</b:Last>
            <b:First>F.</b:First>
          </b:Person>
          <b:Person>
            <b:Last>Wang</b:Last>
            <b:First>W.</b:First>
          </b:Person>
          <b:Person>
            <b:Last>Ma</b:Last>
            <b:First>F.</b:First>
          </b:Person>
          <b:Person>
            <b:Last>Yu</b:Last>
            <b:First>H.</b:First>
          </b:Person>
        </b:NameList>
      </b:Author>
    </b:Author>
    <b:ConferenceName>Proceedings of the 31st ACM SIGKDD Conference on Knowledge Discovery and Data Mining</b:ConferenceName>
    <b:URL>https://doi.org/10.48550/arXiv.2604.10091</b:URL>
    <b:RefOrder>1</b:RefOrder>
  </b:Source>
  <b:Source>
    <b:Tag>Roy26</b:Tag>
    <b:SourceType>ElectronicSource</b:SourceType>
    <b:Guid>{98C5CDA6-C7C0-4152-9E9B-F58BBA312C35}</b:Guid>
    <b:Title>PersonaPlex: Voice and Role Control for Full Duplex Conversational Speech Models</b:Title>
    <b:Year>2026</b:Year>
    <b:Publisher>NVIDIA</b:Publisher>
    <b:Author>
      <b:Author>
        <b:NameList>
          <b:Person>
            <b:Last>Roy</b:Last>
            <b:First>R.</b:First>
          </b:Person>
          <b:Person>
            <b:Last>Raiman</b:Last>
            <b:First>J.</b:First>
          </b:Person>
          <b:Person>
            <b:Last>Lee</b:Last>
            <b:First>S.</b:First>
          </b:Person>
          <b:Person>
            <b:Last>Ene</b:Last>
            <b:First>T.</b:First>
          </b:Person>
          <b:Person>
            <b:Last>Kirby</b:Last>
            <b:First>R.</b:First>
          </b:Person>
          <b:Person>
            <b:Last>Kim</b:Last>
            <b:First>S.</b:First>
          </b:Person>
          <b:Person>
            <b:Last>Kim</b:Last>
            <b:First>J.</b:First>
          </b:Person>
          <b:Person>
            <b:Last>Catanzaro</b:Last>
            <b:First>B.</b:First>
          </b:Person>
        </b:NameList>
      </b:Author>
    </b:Author>
    <b:DOI>https://doi.org/10.48550/arXiv.2602.06053</b:DOI>
    <b:RefOrder>4</b:RefOrder>
  </b:Source>
  <b:Source>
    <b:Tag>Zan25</b:Tag>
    <b:SourceType>ElectronicSource</b:SourceType>
    <b:Guid>{3D5677BC-59A3-429C-A750-C73F57235476}</b:Guid>
    <b:Author>
      <b:Author>
        <b:NameList>
          <b:Person>
            <b:Last>Zandieh</b:Last>
            <b:First>A.</b:First>
          </b:Person>
          <b:Person>
            <b:Last>Daliri</b:Last>
            <b:First>M.</b:First>
          </b:Person>
          <b:Person>
            <b:Last>Mirrokni</b:Last>
            <b:First>V.</b:First>
          </b:Person>
          <b:Person>
            <b:Last>Hadian</b:Last>
            <b:First>M.</b:First>
          </b:Person>
        </b:NameList>
      </b:Author>
    </b:Author>
    <b:Title>TurboQuant: Online Vector Quantization with Near-optimal Distortion Rate</b:Title>
    <b:Publisher>Google Research</b:Publisher>
    <b:Year>2025</b:Year>
    <b:DOI>https://doi.org/10.48550/arXiv.2504.19874</b:DOI>
    <b:RefOrder>11</b:RefOrder>
  </b:Source>
  <b:Source>
    <b:Tag>Déf24</b:Tag>
    <b:SourceType>ElectronicSource</b:SourceType>
    <b:Guid>{84C21B57-6C80-44A9-95D9-466B81D2216A}</b:Guid>
    <b:Title>Moshi: A speech-text foundation model for real-time dialogue</b:Title>
    <b:Year>2024</b:Year>
    <b:Publisher>Kyutai</b:Publisher>
    <b:DOI>https://doi.org/10.48550/arXiv.2410.00037</b:DOI>
    <b:Author>
      <b:Author>
        <b:NameList>
          <b:Person>
            <b:Last>Défossez</b:Last>
            <b:First>A.</b:First>
          </b:Person>
          <b:Person>
            <b:Last>Mazaré</b:Last>
            <b:First>L.</b:First>
          </b:Person>
          <b:Person>
            <b:Last>Orsini</b:Last>
            <b:First>M.</b:First>
          </b:Person>
          <b:Person>
            <b:Last>Royer</b:Last>
            <b:First>A.</b:First>
          </b:Person>
          <b:Person>
            <b:Last>Pérez</b:Last>
            <b:First>P.</b:First>
          </b:Person>
          <b:Person>
            <b:Last>Jégou</b:Last>
            <b:First>H.</b:First>
          </b:Person>
          <b:Person>
            <b:Last>Grave</b:Last>
            <b:First>E.</b:First>
          </b:Person>
          <b:Person>
            <b:Last>Zeghidour</b:Last>
            <b:First>N.</b:First>
          </b:Person>
        </b:NameList>
      </b:Author>
    </b:Author>
    <b:RefOrder>3</b:RefOrder>
  </b:Source>
  <b:Source>
    <b:Tag>Sam26</b:Tag>
    <b:SourceType>Report</b:SourceType>
    <b:Guid>{1A021872-2A12-48B2-82EC-2CDAAD45935C}</b:Guid>
    <b:Title>Lightweight Transformer Architectures for Edge Devices in Real-Time Applications</b:Title>
    <b:Publisher>arXiv</b:Publisher>
    <b:Year>2026</b:Year>
    <b:Author>
      <b:Author>
        <b:NameList>
          <b:Person>
            <b:Last>Samson</b:Last>
            <b:First>Hema</b:First>
            <b:Middle>Hariharan</b:Middle>
          </b:Person>
        </b:NameList>
      </b:Author>
    </b:Author>
    <b:DOI>10.48550/arXiv.2601.03290</b:DOI>
    <b:RefOrder>2</b:RefOrder>
  </b:Source>
  <b:Source>
    <b:Tag>Abs25</b:Tag>
    <b:SourceType>Report</b:SourceType>
    <b:Guid>{2C2C9089-B0F9-4B4F-B5E0-3EC3D082A129}</b:Guid>
    <b:Author>
      <b:Author>
        <b:NameList>
          <b:Person>
            <b:Last>Abstreiter</b:Last>
            <b:First>Maximilian</b:First>
          </b:Person>
          <b:Person>
            <b:Last>Tarkoma</b:Last>
            <b:First>Sasu</b:First>
          </b:Person>
          <b:Person>
            <b:Last>Morabito</b:Last>
            <b:First>Roberto</b:First>
          </b:Person>
        </b:NameList>
      </b:Author>
    </b:Author>
    <b:Title>Sometimes Painful but Promising: Feasibility and Trade-offs of On-Device Language Model Inference</b:Title>
    <b:Year>2025</b:Year>
    <b:City>arXiv</b:City>
    <b:DOI>10.48550/arXiv.2503.09114</b:DOI>
    <b:RefOrder>7</b:RefOrder>
  </b:Source>
  <b:Source>
    <b:Tag>Ash24</b:Tag>
    <b:SourceType>ConferenceProceedings</b:SourceType>
    <b:Guid>{3D85883A-5870-42E5-BBAC-E24E9A5A40CF}</b:Guid>
    <b:Author>
      <b:Author>
        <b:NameList>
          <b:Person>
            <b:Last>Ashkboos</b:Last>
            <b:First>Saleh</b:First>
          </b:Person>
          <b:Person>
            <b:Last>Croci</b:Last>
            <b:First>Maximilian</b:First>
            <b:Middle>L.</b:Middle>
          </b:Person>
          <b:Person>
            <b:Last>Nascimento</b:Last>
            <b:First>Marcelo</b:First>
            <b:Middle>Gennari do</b:Middle>
          </b:Person>
          <b:Person>
            <b:Last>Hoefler</b:Last>
            <b:First>Torsten</b:First>
          </b:Person>
          <b:Person>
            <b:Last>Hensman</b:Last>
            <b:First>James</b:First>
          </b:Person>
        </b:NameList>
      </b:Author>
    </b:Author>
    <b:Title>SliceGPT: Compress Large Language Models by Deleting Rows and Columns</b:Title>
    <b:Year>2024</b:Year>
    <b:Publisher>arXiv </b:Publisher>
    <b:DOI>10.48550/arXiv.2401.15024</b:DOI>
    <b:RefOrder>6</b:RefOrder>
  </b:Source>
  <b:Source>
    <b:Tag>Fra23</b:Tag>
    <b:SourceType>ConferenceProceedings</b:SourceType>
    <b:Guid>{78B4E89E-A94B-4F77-8B2B-A3B72750CAD3}</b:Guid>
    <b:Author>
      <b:Author>
        <b:NameList>
          <b:Person>
            <b:Last>Frantar</b:Last>
            <b:First>Elias</b:First>
          </b:Person>
          <b:Person>
            <b:Last>Ashkboos</b:Last>
            <b:First>Saleh</b:First>
          </b:Person>
          <b:Person>
            <b:Last>Hoefler</b:Last>
            <b:First>Torsten</b:First>
          </b:Person>
          <b:Person>
            <b:Last>Alistarh</b:Last>
            <b:First>Dan</b:First>
          </b:Person>
        </b:NameList>
      </b:Author>
    </b:Author>
    <b:Title>GPTQ: Accurate Post-Training Quantization for Generative Pre-trained Transformers</b:Title>
    <b:Year>2023</b:Year>
    <b:Publisher>International Conference on Learning Representations (ICLR)</b:Publisher>
    <b:DOI>10.48550/arXiv.2210.17323</b:DOI>
    <b:RefOrder>5</b:RefOrder>
  </b:Source>
  <b:Source>
    <b:Tag>Lin26</b:Tag>
    <b:SourceType>ConferenceProceedings</b:SourceType>
    <b:Guid>{DDABE054-26B3-4380-BB5E-DAF16C09169C}</b:Guid>
    <b:Author>
      <b:Author>
        <b:NameList>
          <b:Person>
            <b:Last>Lin</b:Last>
            <b:First>Ji</b:First>
          </b:Person>
          <b:Person>
            <b:Last>Tang</b:Last>
            <b:First>Jiaming</b:First>
          </b:Person>
          <b:Person>
            <b:Last>Tang</b:Last>
            <b:First>Haotian</b:First>
          </b:Person>
          <b:Person>
            <b:Last>Yang</b:Last>
            <b:First>Shang</b:First>
          </b:Person>
          <b:Person>
            <b:Last>Chen</b:Last>
            <b:First>Wei-Ming</b:First>
          </b:Person>
          <b:Person>
            <b:Last>Wang</b:Last>
            <b:First>Wei-Chen</b:First>
          </b:Person>
          <b:Person>
            <b:Last>Xiao</b:Last>
            <b:First>Guangxuan</b:First>
          </b:Person>
          <b:Person>
            <b:Last>Dang</b:Last>
            <b:First>Xingyu</b:First>
          </b:Person>
          <b:Person>
            <b:Last>Gan</b:Last>
            <b:First>Chuang</b:First>
          </b:Person>
          <b:Person>
            <b:Last>Han</b:Last>
            <b:First>Song</b:First>
          </b:Person>
        </b:NameList>
      </b:Author>
    </b:Author>
    <b:Title>AWQ: Activation-aware Weight Quantization for LLM Compression and Acceleration</b:Title>
    <b:Year>2026</b:Year>
    <b:Publisher>MLSys</b:Publisher>
    <b:ConferenceName>Proceedings of the 7th MLSys Conference</b:ConferenceName>
    <b:DOI>10.48550/arXiv.2306.00978</b:DOI>
    <b:RefOrder>12</b:RefOrder>
  </b:Source>
  <b:Source>
    <b:Tag>Des20</b:Tag>
    <b:SourceType>ConferenceProceedings</b:SourceType>
    <b:Guid>{DE853EE7-ECC1-4C94-92AD-8328547C1609}</b:Guid>
    <b:Author>
      <b:Author>
        <b:NameList>
          <b:Person>
            <b:Last>Desplanques</b:Last>
            <b:First>Brecht</b:First>
          </b:Person>
          <b:Person>
            <b:Last>Thienpondt</b:Last>
            <b:First>Jenthe</b:First>
          </b:Person>
          <b:Person>
            <b:Last>Demuynck</b:Last>
            <b:First>Kris</b:First>
          </b:Person>
        </b:NameList>
      </b:Author>
    </b:Author>
    <b:Title>ECAPA-TDNN: Emphasized Channel Attention, Propagation and Aggregation in TDNN Based Speaker Verification</b:Title>
    <b:Year>2020</b:Year>
    <b:Publisher>ISCA</b:Publisher>
    <b:ConferenceName>Interspeech 2020</b:ConferenceName>
    <b:DOI>10.21437/Interspeech.2020-2650</b:DOI>
    <b:RefOrder>13</b:RefOrder>
  </b:Source>
  <b:Source>
    <b:Tag>LuW23</b:Tag>
    <b:SourceType>ElectronicSource</b:SourceType>
    <b:Guid>{65CF8446-9908-487D-8CB2-76D78E1A9AF6}</b:Guid>
    <b:Title>Music Source Separation with Band-Split RoPE Transformer</b:Title>
    <b:Year>2023</b:Year>
    <b:Author>
      <b:Author>
        <b:NameList>
          <b:Person>
            <b:Last>Lu</b:Last>
            <b:First>Wei-Tsung</b:First>
          </b:Person>
          <b:Person>
            <b:Last>Wang</b:Last>
            <b:First>Ju-Chiang</b:First>
          </b:Person>
          <b:Person>
            <b:Last>Kong</b:Last>
            <b:First>Qiuqiang</b:First>
          </b:Person>
          <b:Person>
            <b:Last>Hung</b:Last>
            <b:First>Yun-Ning</b:First>
          </b:Person>
        </b:NameList>
      </b:Author>
    </b:Author>
    <b:DOI>10.48550/arXiv.2309.02612</b:DOI>
    <b:RefOrder>8</b:RefOrder>
  </b:Source>
  <b:Source>
    <b:Tag>Bai23</b:Tag>
    <b:SourceType>ConferenceProceedings</b:SourceType>
    <b:Guid>{7D7CD0A8-917F-4EE3-BB15-33AC20215D29}</b:Guid>
    <b:Author>
      <b:Author>
        <b:NameList>
          <b:Person>
            <b:Last>Bain</b:Last>
            <b:First>Max</b:First>
          </b:Person>
          <b:Person>
            <b:Last>Huh</b:Last>
            <b:First>Jaesung</b:First>
          </b:Person>
          <b:Person>
            <b:Last>Han</b:Last>
            <b:First>Tengda</b:First>
          </b:Person>
          <b:Person>
            <b:Last>Zisserman</b:Last>
            <b:First>Andrew</b:First>
          </b:Person>
        </b:NameList>
      </b:Author>
    </b:Author>
    <b:Title>WhisperX: Time-Accurate Speech Transcription of Long-Form Audio</b:Title>
    <b:Year>2023</b:Year>
    <b:ConferenceName>Interspeech 2023</b:ConferenceName>
    <b:DOI>10.21437/Interspeech.2023-78</b:DOI>
    <b:RefOrder>9</b:RefOrder>
  </b:Source>
  <b:Source>
    <b:Tag>WuY23</b:Tag>
    <b:SourceType>ElectronicSource</b:SourceType>
    <b:Guid>{93089462-5E46-4E7D-8970-B3D75D194876}</b:Guid>
    <b:Title>Large-scale Contrastive Language-Audio Pretraining with Feature Fusion and Keyword-to-Caption Augmentation</b:Title>
    <b:Year>2023</b:Year>
    <b:Publisher>arXiv</b:Publisher>
    <b:Author>
      <b:Author>
        <b:NameList>
          <b:Person>
            <b:Last>Wu</b:Last>
            <b:First>Yusong</b:First>
          </b:Person>
          <b:Person>
            <b:Last>Chen</b:Last>
            <b:First>Ke</b:First>
          </b:Person>
          <b:Person>
            <b:Last>Zhang</b:Last>
            <b:First>Tianyu</b:First>
          </b:Person>
          <b:Person>
            <b:Last>Hui</b:Last>
            <b:First>Yutong</b:First>
          </b:Person>
          <b:Person>
            <b:Last>Berg-Kirkpatrick</b:Last>
            <b:First>Taylor</b:First>
          </b:Person>
          <b:Person>
            <b:Last>Shier</b:Last>
            <b:First>Shlomo</b:First>
          </b:Person>
        </b:NameList>
      </b:Author>
    </b:Author>
    <b:PublicationTitle>ICASSP 2023 - 2023 IEEE International Conference on Acoustics, Speech and Signal Processing (ICASSP)</b:PublicationTitle>
    <b:DOI>10.1109/ICASSP49357.2023.10095960</b:DOI>
    <b:RefOrder>10</b:RefOrder>
  </b:Source>
</b:Sources>
</file>

<file path=customXml/itemProps1.xml><?xml version="1.0" encoding="utf-8"?>
<ds:datastoreItem xmlns:ds="http://schemas.openxmlformats.org/officeDocument/2006/customXml" ds:itemID="{65523802-3850-4934-9EC2-DF4936CBB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11</Pages>
  <Words>4197</Words>
  <Characters>23923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Yadav</dc:creator>
  <cp:keywords/>
  <dc:description/>
  <cp:lastModifiedBy>Utkarsh Yadav</cp:lastModifiedBy>
  <cp:revision>71</cp:revision>
  <dcterms:created xsi:type="dcterms:W3CDTF">2026-05-12T11:44:00Z</dcterms:created>
  <dcterms:modified xsi:type="dcterms:W3CDTF">2026-05-12T16:17:00Z</dcterms:modified>
</cp:coreProperties>
</file>