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8C7EF" w14:textId="6F5B4294" w:rsidR="00DE6E76" w:rsidRPr="003C5F2D" w:rsidRDefault="003C5F2D" w:rsidP="003C5F2D">
      <w:pPr>
        <w:spacing w:after="80"/>
        <w:jc w:val="center"/>
        <w:rPr>
          <w:rFonts w:ascii="ACADEMY ENGRAVED LET PLAIN:1.0" w:hAnsi="ACADEMY ENGRAVED LET PLAIN:1.0"/>
          <w:bCs/>
          <w:color w:val="EE0000"/>
          <w:sz w:val="48"/>
        </w:rPr>
      </w:pPr>
      <w:r w:rsidRPr="003C5F2D">
        <w:rPr>
          <w:rFonts w:ascii="ACADEMY ENGRAVED LET PLAIN:1.0" w:hAnsi="ACADEMY ENGRAVED LET PLAIN:1.0"/>
          <w:bCs/>
          <w:color w:val="EE0000"/>
          <w:sz w:val="48"/>
        </w:rPr>
        <w:t>Translator</w:t>
      </w:r>
      <w:r w:rsidR="00000000" w:rsidRPr="003C5F2D">
        <w:rPr>
          <w:rFonts w:ascii="ACADEMY ENGRAVED LET PLAIN:1.0" w:hAnsi="ACADEMY ENGRAVED LET PLAIN:1.0"/>
          <w:bCs/>
          <w:color w:val="EE0000"/>
          <w:sz w:val="48"/>
        </w:rPr>
        <w:t xml:space="preserve"> (English </w:t>
      </w:r>
      <w:r w:rsidR="00000000" w:rsidRPr="003C5F2D">
        <w:rPr>
          <w:rFonts w:ascii="Times New Roman" w:hAnsi="Times New Roman" w:cs="Times New Roman"/>
          <w:bCs/>
          <w:color w:val="EE0000"/>
          <w:sz w:val="48"/>
        </w:rPr>
        <w:t>→</w:t>
      </w:r>
      <w:r w:rsidR="00000000" w:rsidRPr="003C5F2D">
        <w:rPr>
          <w:rFonts w:ascii="ACADEMY ENGRAVED LET PLAIN:1.0" w:hAnsi="ACADEMY ENGRAVED LET PLAIN:1.0"/>
          <w:bCs/>
          <w:color w:val="EE0000"/>
          <w:sz w:val="48"/>
        </w:rPr>
        <w:t xml:space="preserve"> Hindi)</w:t>
      </w:r>
    </w:p>
    <w:p w14:paraId="62E7B56B" w14:textId="49906DC5" w:rsidR="003C5F2D" w:rsidRPr="003C5F2D" w:rsidRDefault="003C5F2D" w:rsidP="003C5F2D">
      <w:pPr>
        <w:spacing w:after="80"/>
        <w:jc w:val="center"/>
        <w:rPr>
          <w:rFonts w:ascii="ACADEMY ENGRAVED LET PLAIN:1.0" w:hAnsi="ACADEMY ENGRAVED LET PLAIN:1.0"/>
          <w:bCs/>
          <w:sz w:val="28"/>
          <w:szCs w:val="28"/>
        </w:rPr>
      </w:pPr>
      <w:r w:rsidRPr="003C5F2D">
        <w:rPr>
          <w:rFonts w:ascii="ACADEMY ENGRAVED LET PLAIN:1.0" w:hAnsi="ACADEMY ENGRAVED LET PLAIN:1.0"/>
          <w:bCs/>
          <w:color w:val="003366"/>
          <w:sz w:val="28"/>
          <w:szCs w:val="28"/>
        </w:rPr>
        <w:t>By team Rishav, Aryan, Anshuman and Amit</w:t>
      </w:r>
    </w:p>
    <w:p w14:paraId="5D5D866C" w14:textId="77777777" w:rsidR="00DE6E76" w:rsidRDefault="00DE6E76">
      <w:pPr>
        <w:pBdr>
          <w:bottom w:val="single" w:sz="18" w:space="1" w:color="4682B4"/>
        </w:pBdr>
        <w:spacing w:after="360"/>
      </w:pPr>
    </w:p>
    <w:p w14:paraId="67FACD53" w14:textId="77777777" w:rsidR="00DE6E76" w:rsidRPr="003C5F2D" w:rsidRDefault="00000000">
      <w:pPr>
        <w:pBdr>
          <w:bottom w:val="single" w:sz="12" w:space="4" w:color="003366"/>
        </w:pBdr>
        <w:spacing w:before="360" w:after="120"/>
        <w:rPr>
          <w:rFonts w:ascii="ACADEMY ENGRAVED LET PLAIN:1.0" w:hAnsi="ACADEMY ENGRAVED LET PLAIN:1.0"/>
          <w:color w:val="984806" w:themeColor="accent6" w:themeShade="80"/>
        </w:rPr>
      </w:pPr>
      <w:r w:rsidRPr="003C5F2D">
        <w:rPr>
          <w:rFonts w:ascii="ACADEMY ENGRAVED LET PLAIN:1.0" w:hAnsi="ACADEMY ENGRAVED LET PLAIN:1.0"/>
          <w:b/>
          <w:color w:val="984806" w:themeColor="accent6" w:themeShade="80"/>
          <w:sz w:val="36"/>
        </w:rPr>
        <w:t>1. System Hyperparameters &amp; Architecture Configurations</w:t>
      </w:r>
    </w:p>
    <w:p w14:paraId="1BA3DF2B" w14:textId="63D6E79B" w:rsidR="00DE6E76" w:rsidRDefault="003C5F2D">
      <w:pPr>
        <w:spacing w:after="120"/>
      </w:pPr>
      <w:r>
        <w:t xml:space="preserve">The aim was to build a model so that it can translate English to Hindi and as mentioned in the group </w:t>
      </w:r>
      <w:proofErr w:type="gramStart"/>
      <w:r>
        <w:t>chat</w:t>
      </w:r>
      <w:proofErr w:type="gramEnd"/>
      <w:r>
        <w:t xml:space="preserve"> we had to calculate the BLEU score also. </w:t>
      </w:r>
      <w:r w:rsidR="00000000">
        <w:t>The sequence-to-sequence Transformer system is configured out of the box to run natively on deep learning accelerators (such as T4 GPU). It adopts an efficient model layout designed to maintain computational accuracy while working within localized memory boundaries.</w:t>
      </w:r>
    </w:p>
    <w:tbl>
      <w:tblPr>
        <w:tblW w:w="0" w:type="auto"/>
        <w:jc w:val="center"/>
        <w:tblBorders>
          <w:top w:val="single" w:sz="4" w:space="0" w:color="D3D3D3"/>
          <w:bottom w:val="single" w:sz="4" w:space="0" w:color="D3D3D3"/>
          <w:insideH w:val="single" w:sz="4" w:space="0" w:color="E0E0E0"/>
        </w:tblBorders>
        <w:tblLayout w:type="fixed"/>
        <w:tblLook w:val="04A0" w:firstRow="1" w:lastRow="0" w:firstColumn="1" w:lastColumn="0" w:noHBand="0" w:noVBand="1"/>
      </w:tblPr>
      <w:tblGrid>
        <w:gridCol w:w="2592"/>
        <w:gridCol w:w="1728"/>
        <w:gridCol w:w="4608"/>
      </w:tblGrid>
      <w:tr w:rsidR="00DE6E76" w14:paraId="7F79E4AD" w14:textId="77777777">
        <w:trPr>
          <w:jc w:val="center"/>
        </w:trPr>
        <w:tc>
          <w:tcPr>
            <w:tcW w:w="2592" w:type="dxa"/>
            <w:shd w:val="clear" w:color="auto" w:fill="003366"/>
            <w:tcMar>
              <w:top w:w="120" w:type="dxa"/>
              <w:left w:w="150" w:type="dxa"/>
              <w:bottom w:w="120" w:type="dxa"/>
              <w:right w:w="150" w:type="dxa"/>
            </w:tcMar>
          </w:tcPr>
          <w:p w14:paraId="78B52B51" w14:textId="77777777" w:rsidR="00DE6E76" w:rsidRDefault="00000000">
            <w:r>
              <w:rPr>
                <w:b/>
                <w:color w:val="FFFFFF"/>
                <w:sz w:val="21"/>
              </w:rPr>
              <w:t>Parameter</w:t>
            </w:r>
          </w:p>
        </w:tc>
        <w:tc>
          <w:tcPr>
            <w:tcW w:w="1728" w:type="dxa"/>
            <w:shd w:val="clear" w:color="auto" w:fill="003366"/>
            <w:tcMar>
              <w:top w:w="120" w:type="dxa"/>
              <w:left w:w="150" w:type="dxa"/>
              <w:bottom w:w="120" w:type="dxa"/>
              <w:right w:w="150" w:type="dxa"/>
            </w:tcMar>
          </w:tcPr>
          <w:p w14:paraId="594BB331" w14:textId="77777777" w:rsidR="00DE6E76" w:rsidRDefault="00000000">
            <w:r>
              <w:rPr>
                <w:b/>
                <w:color w:val="FFFFFF"/>
                <w:sz w:val="21"/>
              </w:rPr>
              <w:t>Value</w:t>
            </w:r>
          </w:p>
        </w:tc>
        <w:tc>
          <w:tcPr>
            <w:tcW w:w="4608" w:type="dxa"/>
            <w:shd w:val="clear" w:color="auto" w:fill="003366"/>
            <w:tcMar>
              <w:top w:w="120" w:type="dxa"/>
              <w:left w:w="150" w:type="dxa"/>
              <w:bottom w:w="120" w:type="dxa"/>
              <w:right w:w="150" w:type="dxa"/>
            </w:tcMar>
          </w:tcPr>
          <w:p w14:paraId="482646E0" w14:textId="77777777" w:rsidR="00DE6E76" w:rsidRDefault="00000000">
            <w:r>
              <w:rPr>
                <w:b/>
                <w:color w:val="FFFFFF"/>
                <w:sz w:val="21"/>
              </w:rPr>
              <w:t>Technical Purpose</w:t>
            </w:r>
          </w:p>
        </w:tc>
      </w:tr>
      <w:tr w:rsidR="00DE6E76" w14:paraId="07FAFDE1" w14:textId="77777777">
        <w:trPr>
          <w:jc w:val="center"/>
        </w:trPr>
        <w:tc>
          <w:tcPr>
            <w:tcW w:w="2592" w:type="dxa"/>
            <w:shd w:val="clear" w:color="auto" w:fill="FFFFFF"/>
            <w:tcMar>
              <w:top w:w="80" w:type="dxa"/>
              <w:left w:w="150" w:type="dxa"/>
              <w:bottom w:w="80" w:type="dxa"/>
              <w:right w:w="150" w:type="dxa"/>
            </w:tcMar>
          </w:tcPr>
          <w:p w14:paraId="0246B0DF" w14:textId="77777777" w:rsidR="00DE6E76" w:rsidRDefault="00000000">
            <w:r>
              <w:rPr>
                <w:b/>
                <w:sz w:val="19"/>
              </w:rPr>
              <w:t>DEVICE</w:t>
            </w:r>
          </w:p>
        </w:tc>
        <w:tc>
          <w:tcPr>
            <w:tcW w:w="1728" w:type="dxa"/>
            <w:shd w:val="clear" w:color="auto" w:fill="FFFFFF"/>
            <w:tcMar>
              <w:top w:w="80" w:type="dxa"/>
              <w:left w:w="150" w:type="dxa"/>
              <w:bottom w:w="80" w:type="dxa"/>
              <w:right w:w="150" w:type="dxa"/>
            </w:tcMar>
          </w:tcPr>
          <w:p w14:paraId="6CFBFD67" w14:textId="77777777" w:rsidR="00DE6E76" w:rsidRDefault="00000000">
            <w:r>
              <w:rPr>
                <w:sz w:val="19"/>
              </w:rPr>
              <w:t>cuda</w:t>
            </w:r>
          </w:p>
        </w:tc>
        <w:tc>
          <w:tcPr>
            <w:tcW w:w="4608" w:type="dxa"/>
            <w:shd w:val="clear" w:color="auto" w:fill="FFFFFF"/>
            <w:tcMar>
              <w:top w:w="80" w:type="dxa"/>
              <w:left w:w="150" w:type="dxa"/>
              <w:bottom w:w="80" w:type="dxa"/>
              <w:right w:w="150" w:type="dxa"/>
            </w:tcMar>
          </w:tcPr>
          <w:p w14:paraId="1A354093" w14:textId="77777777" w:rsidR="00DE6E76" w:rsidRDefault="00000000">
            <w:r>
              <w:rPr>
                <w:sz w:val="19"/>
              </w:rPr>
              <w:t>Leverages hardware acceleration via PyTorch &amp; NVIDIA CUDA libraries.</w:t>
            </w:r>
          </w:p>
        </w:tc>
      </w:tr>
      <w:tr w:rsidR="00DE6E76" w14:paraId="0CED4E27" w14:textId="77777777">
        <w:trPr>
          <w:jc w:val="center"/>
        </w:trPr>
        <w:tc>
          <w:tcPr>
            <w:tcW w:w="2592" w:type="dxa"/>
            <w:shd w:val="clear" w:color="auto" w:fill="F9FAFC"/>
            <w:tcMar>
              <w:top w:w="80" w:type="dxa"/>
              <w:left w:w="150" w:type="dxa"/>
              <w:bottom w:w="80" w:type="dxa"/>
              <w:right w:w="150" w:type="dxa"/>
            </w:tcMar>
          </w:tcPr>
          <w:p w14:paraId="42EA563D" w14:textId="77777777" w:rsidR="00DE6E76" w:rsidRDefault="00000000">
            <w:r>
              <w:rPr>
                <w:b/>
                <w:sz w:val="19"/>
              </w:rPr>
              <w:t>BATCH_SIZE</w:t>
            </w:r>
          </w:p>
        </w:tc>
        <w:tc>
          <w:tcPr>
            <w:tcW w:w="1728" w:type="dxa"/>
            <w:shd w:val="clear" w:color="auto" w:fill="F9FAFC"/>
            <w:tcMar>
              <w:top w:w="80" w:type="dxa"/>
              <w:left w:w="150" w:type="dxa"/>
              <w:bottom w:w="80" w:type="dxa"/>
              <w:right w:w="150" w:type="dxa"/>
            </w:tcMar>
          </w:tcPr>
          <w:p w14:paraId="32FB3029" w14:textId="77777777" w:rsidR="00DE6E76" w:rsidRDefault="00000000">
            <w:r>
              <w:rPr>
                <w:sz w:val="19"/>
              </w:rPr>
              <w:t>32</w:t>
            </w:r>
          </w:p>
        </w:tc>
        <w:tc>
          <w:tcPr>
            <w:tcW w:w="4608" w:type="dxa"/>
            <w:shd w:val="clear" w:color="auto" w:fill="F9FAFC"/>
            <w:tcMar>
              <w:top w:w="80" w:type="dxa"/>
              <w:left w:w="150" w:type="dxa"/>
              <w:bottom w:w="80" w:type="dxa"/>
              <w:right w:w="150" w:type="dxa"/>
            </w:tcMar>
          </w:tcPr>
          <w:p w14:paraId="6973721A" w14:textId="77777777" w:rsidR="00DE6E76" w:rsidRDefault="00000000">
            <w:r>
              <w:rPr>
                <w:sz w:val="19"/>
              </w:rPr>
              <w:t>Number of sentence pairs processed concurrently during training updates.</w:t>
            </w:r>
          </w:p>
        </w:tc>
      </w:tr>
      <w:tr w:rsidR="00DE6E76" w14:paraId="7C4D4BD7" w14:textId="77777777">
        <w:trPr>
          <w:jc w:val="center"/>
        </w:trPr>
        <w:tc>
          <w:tcPr>
            <w:tcW w:w="2592" w:type="dxa"/>
            <w:shd w:val="clear" w:color="auto" w:fill="FFFFFF"/>
            <w:tcMar>
              <w:top w:w="80" w:type="dxa"/>
              <w:left w:w="150" w:type="dxa"/>
              <w:bottom w:w="80" w:type="dxa"/>
              <w:right w:w="150" w:type="dxa"/>
            </w:tcMar>
          </w:tcPr>
          <w:p w14:paraId="06DBE791" w14:textId="77777777" w:rsidR="00DE6E76" w:rsidRDefault="00000000">
            <w:r>
              <w:rPr>
                <w:b/>
                <w:sz w:val="19"/>
              </w:rPr>
              <w:t>EMB_SIZE</w:t>
            </w:r>
          </w:p>
        </w:tc>
        <w:tc>
          <w:tcPr>
            <w:tcW w:w="1728" w:type="dxa"/>
            <w:shd w:val="clear" w:color="auto" w:fill="FFFFFF"/>
            <w:tcMar>
              <w:top w:w="80" w:type="dxa"/>
              <w:left w:w="150" w:type="dxa"/>
              <w:bottom w:w="80" w:type="dxa"/>
              <w:right w:w="150" w:type="dxa"/>
            </w:tcMar>
          </w:tcPr>
          <w:p w14:paraId="3D4F5E66" w14:textId="77777777" w:rsidR="00DE6E76" w:rsidRDefault="00000000">
            <w:r>
              <w:rPr>
                <w:sz w:val="19"/>
              </w:rPr>
              <w:t>128</w:t>
            </w:r>
          </w:p>
        </w:tc>
        <w:tc>
          <w:tcPr>
            <w:tcW w:w="4608" w:type="dxa"/>
            <w:shd w:val="clear" w:color="auto" w:fill="FFFFFF"/>
            <w:tcMar>
              <w:top w:w="80" w:type="dxa"/>
              <w:left w:w="150" w:type="dxa"/>
              <w:bottom w:w="80" w:type="dxa"/>
              <w:right w:w="150" w:type="dxa"/>
            </w:tcMar>
          </w:tcPr>
          <w:p w14:paraId="28E535CA" w14:textId="77777777" w:rsidR="00DE6E76" w:rsidRDefault="00000000">
            <w:r>
              <w:rPr>
                <w:sz w:val="19"/>
              </w:rPr>
              <w:t>Dimensions of the dense vector embedding space representing tokens (d_model).</w:t>
            </w:r>
          </w:p>
        </w:tc>
      </w:tr>
      <w:tr w:rsidR="00DE6E76" w14:paraId="2DF1F7DE" w14:textId="77777777">
        <w:trPr>
          <w:jc w:val="center"/>
        </w:trPr>
        <w:tc>
          <w:tcPr>
            <w:tcW w:w="2592" w:type="dxa"/>
            <w:shd w:val="clear" w:color="auto" w:fill="F9FAFC"/>
            <w:tcMar>
              <w:top w:w="80" w:type="dxa"/>
              <w:left w:w="150" w:type="dxa"/>
              <w:bottom w:w="80" w:type="dxa"/>
              <w:right w:w="150" w:type="dxa"/>
            </w:tcMar>
          </w:tcPr>
          <w:p w14:paraId="3C635F8E" w14:textId="77777777" w:rsidR="00DE6E76" w:rsidRDefault="00000000">
            <w:r>
              <w:rPr>
                <w:b/>
                <w:sz w:val="19"/>
              </w:rPr>
              <w:t>NHEAD</w:t>
            </w:r>
          </w:p>
        </w:tc>
        <w:tc>
          <w:tcPr>
            <w:tcW w:w="1728" w:type="dxa"/>
            <w:shd w:val="clear" w:color="auto" w:fill="F9FAFC"/>
            <w:tcMar>
              <w:top w:w="80" w:type="dxa"/>
              <w:left w:w="150" w:type="dxa"/>
              <w:bottom w:w="80" w:type="dxa"/>
              <w:right w:w="150" w:type="dxa"/>
            </w:tcMar>
          </w:tcPr>
          <w:p w14:paraId="4B55AC5E" w14:textId="77777777" w:rsidR="00DE6E76" w:rsidRDefault="00000000">
            <w:r>
              <w:rPr>
                <w:sz w:val="19"/>
              </w:rPr>
              <w:t>4</w:t>
            </w:r>
          </w:p>
        </w:tc>
        <w:tc>
          <w:tcPr>
            <w:tcW w:w="4608" w:type="dxa"/>
            <w:shd w:val="clear" w:color="auto" w:fill="F9FAFC"/>
            <w:tcMar>
              <w:top w:w="80" w:type="dxa"/>
              <w:left w:w="150" w:type="dxa"/>
              <w:bottom w:w="80" w:type="dxa"/>
              <w:right w:w="150" w:type="dxa"/>
            </w:tcMar>
          </w:tcPr>
          <w:p w14:paraId="30C26D90" w14:textId="77777777" w:rsidR="00DE6E76" w:rsidRDefault="00000000">
            <w:r>
              <w:rPr>
                <w:sz w:val="19"/>
              </w:rPr>
              <w:t>Number of parallel attention mechanisms inside Multi-Head Attention modules.</w:t>
            </w:r>
          </w:p>
        </w:tc>
      </w:tr>
      <w:tr w:rsidR="00DE6E76" w14:paraId="5C013743" w14:textId="77777777">
        <w:trPr>
          <w:jc w:val="center"/>
        </w:trPr>
        <w:tc>
          <w:tcPr>
            <w:tcW w:w="2592" w:type="dxa"/>
            <w:shd w:val="clear" w:color="auto" w:fill="FFFFFF"/>
            <w:tcMar>
              <w:top w:w="80" w:type="dxa"/>
              <w:left w:w="150" w:type="dxa"/>
              <w:bottom w:w="80" w:type="dxa"/>
              <w:right w:w="150" w:type="dxa"/>
            </w:tcMar>
          </w:tcPr>
          <w:p w14:paraId="36BECF39" w14:textId="77777777" w:rsidR="00DE6E76" w:rsidRDefault="00000000">
            <w:r>
              <w:rPr>
                <w:b/>
                <w:sz w:val="19"/>
              </w:rPr>
              <w:t>FFN_HID_DIM</w:t>
            </w:r>
          </w:p>
        </w:tc>
        <w:tc>
          <w:tcPr>
            <w:tcW w:w="1728" w:type="dxa"/>
            <w:shd w:val="clear" w:color="auto" w:fill="FFFFFF"/>
            <w:tcMar>
              <w:top w:w="80" w:type="dxa"/>
              <w:left w:w="150" w:type="dxa"/>
              <w:bottom w:w="80" w:type="dxa"/>
              <w:right w:w="150" w:type="dxa"/>
            </w:tcMar>
          </w:tcPr>
          <w:p w14:paraId="512093CD" w14:textId="77777777" w:rsidR="00DE6E76" w:rsidRDefault="00000000">
            <w:r>
              <w:rPr>
                <w:sz w:val="19"/>
              </w:rPr>
              <w:t>256</w:t>
            </w:r>
          </w:p>
        </w:tc>
        <w:tc>
          <w:tcPr>
            <w:tcW w:w="4608" w:type="dxa"/>
            <w:shd w:val="clear" w:color="auto" w:fill="FFFFFF"/>
            <w:tcMar>
              <w:top w:w="80" w:type="dxa"/>
              <w:left w:w="150" w:type="dxa"/>
              <w:bottom w:w="80" w:type="dxa"/>
              <w:right w:w="150" w:type="dxa"/>
            </w:tcMar>
          </w:tcPr>
          <w:p w14:paraId="69D2EDFF" w14:textId="77777777" w:rsidR="00DE6E76" w:rsidRDefault="00000000">
            <w:r>
              <w:rPr>
                <w:sz w:val="19"/>
              </w:rPr>
              <w:t>Dimensional footprint of the internal hidden layer within the feed-forward networks.</w:t>
            </w:r>
          </w:p>
        </w:tc>
      </w:tr>
      <w:tr w:rsidR="00DE6E76" w14:paraId="54D20D32" w14:textId="77777777">
        <w:trPr>
          <w:jc w:val="center"/>
        </w:trPr>
        <w:tc>
          <w:tcPr>
            <w:tcW w:w="2592" w:type="dxa"/>
            <w:shd w:val="clear" w:color="auto" w:fill="F9FAFC"/>
            <w:tcMar>
              <w:top w:w="80" w:type="dxa"/>
              <w:left w:w="150" w:type="dxa"/>
              <w:bottom w:w="80" w:type="dxa"/>
              <w:right w:w="150" w:type="dxa"/>
            </w:tcMar>
          </w:tcPr>
          <w:p w14:paraId="35B1E732" w14:textId="77777777" w:rsidR="00DE6E76" w:rsidRDefault="00000000">
            <w:r>
              <w:rPr>
                <w:b/>
                <w:sz w:val="19"/>
              </w:rPr>
              <w:t>NUM_ENCODER_LAYERS</w:t>
            </w:r>
          </w:p>
        </w:tc>
        <w:tc>
          <w:tcPr>
            <w:tcW w:w="1728" w:type="dxa"/>
            <w:shd w:val="clear" w:color="auto" w:fill="F9FAFC"/>
            <w:tcMar>
              <w:top w:w="80" w:type="dxa"/>
              <w:left w:w="150" w:type="dxa"/>
              <w:bottom w:w="80" w:type="dxa"/>
              <w:right w:w="150" w:type="dxa"/>
            </w:tcMar>
          </w:tcPr>
          <w:p w14:paraId="04FF4B8D" w14:textId="77777777" w:rsidR="00DE6E76" w:rsidRDefault="00000000">
            <w:r>
              <w:rPr>
                <w:sz w:val="19"/>
              </w:rPr>
              <w:t>3</w:t>
            </w:r>
          </w:p>
        </w:tc>
        <w:tc>
          <w:tcPr>
            <w:tcW w:w="4608" w:type="dxa"/>
            <w:shd w:val="clear" w:color="auto" w:fill="F9FAFC"/>
            <w:tcMar>
              <w:top w:w="80" w:type="dxa"/>
              <w:left w:w="150" w:type="dxa"/>
              <w:bottom w:w="80" w:type="dxa"/>
              <w:right w:w="150" w:type="dxa"/>
            </w:tcMar>
          </w:tcPr>
          <w:p w14:paraId="5102004B" w14:textId="77777777" w:rsidR="00DE6E76" w:rsidRDefault="00000000">
            <w:r>
              <w:rPr>
                <w:sz w:val="19"/>
              </w:rPr>
              <w:t>Number of stacked structural Transformer Encoder blocks.</w:t>
            </w:r>
          </w:p>
        </w:tc>
      </w:tr>
      <w:tr w:rsidR="00DE6E76" w14:paraId="79F3F4F3" w14:textId="77777777">
        <w:trPr>
          <w:jc w:val="center"/>
        </w:trPr>
        <w:tc>
          <w:tcPr>
            <w:tcW w:w="2592" w:type="dxa"/>
            <w:shd w:val="clear" w:color="auto" w:fill="FFFFFF"/>
            <w:tcMar>
              <w:top w:w="80" w:type="dxa"/>
              <w:left w:w="150" w:type="dxa"/>
              <w:bottom w:w="80" w:type="dxa"/>
              <w:right w:w="150" w:type="dxa"/>
            </w:tcMar>
          </w:tcPr>
          <w:p w14:paraId="195109BD" w14:textId="77777777" w:rsidR="00DE6E76" w:rsidRDefault="00000000">
            <w:r>
              <w:rPr>
                <w:b/>
                <w:sz w:val="19"/>
              </w:rPr>
              <w:t>NUM_DECODER_LAYERS</w:t>
            </w:r>
          </w:p>
        </w:tc>
        <w:tc>
          <w:tcPr>
            <w:tcW w:w="1728" w:type="dxa"/>
            <w:shd w:val="clear" w:color="auto" w:fill="FFFFFF"/>
            <w:tcMar>
              <w:top w:w="80" w:type="dxa"/>
              <w:left w:w="150" w:type="dxa"/>
              <w:bottom w:w="80" w:type="dxa"/>
              <w:right w:w="150" w:type="dxa"/>
            </w:tcMar>
          </w:tcPr>
          <w:p w14:paraId="54EF5194" w14:textId="77777777" w:rsidR="00DE6E76" w:rsidRDefault="00000000">
            <w:r>
              <w:rPr>
                <w:sz w:val="19"/>
              </w:rPr>
              <w:t>3</w:t>
            </w:r>
          </w:p>
        </w:tc>
        <w:tc>
          <w:tcPr>
            <w:tcW w:w="4608" w:type="dxa"/>
            <w:shd w:val="clear" w:color="auto" w:fill="FFFFFF"/>
            <w:tcMar>
              <w:top w:w="80" w:type="dxa"/>
              <w:left w:w="150" w:type="dxa"/>
              <w:bottom w:w="80" w:type="dxa"/>
              <w:right w:w="150" w:type="dxa"/>
            </w:tcMar>
          </w:tcPr>
          <w:p w14:paraId="7C198443" w14:textId="77777777" w:rsidR="00DE6E76" w:rsidRDefault="00000000">
            <w:r>
              <w:rPr>
                <w:sz w:val="19"/>
              </w:rPr>
              <w:t>Number of stacked structural Transformer Decoder blocks.</w:t>
            </w:r>
          </w:p>
        </w:tc>
      </w:tr>
      <w:tr w:rsidR="00DE6E76" w14:paraId="1BF8160B" w14:textId="77777777">
        <w:trPr>
          <w:jc w:val="center"/>
        </w:trPr>
        <w:tc>
          <w:tcPr>
            <w:tcW w:w="2592" w:type="dxa"/>
            <w:shd w:val="clear" w:color="auto" w:fill="F9FAFC"/>
            <w:tcMar>
              <w:top w:w="80" w:type="dxa"/>
              <w:left w:w="150" w:type="dxa"/>
              <w:bottom w:w="80" w:type="dxa"/>
              <w:right w:w="150" w:type="dxa"/>
            </w:tcMar>
          </w:tcPr>
          <w:p w14:paraId="1F08FCCD" w14:textId="77777777" w:rsidR="00DE6E76" w:rsidRDefault="00000000">
            <w:r>
              <w:rPr>
                <w:b/>
                <w:sz w:val="19"/>
              </w:rPr>
              <w:t>DROPOUT</w:t>
            </w:r>
          </w:p>
        </w:tc>
        <w:tc>
          <w:tcPr>
            <w:tcW w:w="1728" w:type="dxa"/>
            <w:shd w:val="clear" w:color="auto" w:fill="F9FAFC"/>
            <w:tcMar>
              <w:top w:w="80" w:type="dxa"/>
              <w:left w:w="150" w:type="dxa"/>
              <w:bottom w:w="80" w:type="dxa"/>
              <w:right w:w="150" w:type="dxa"/>
            </w:tcMar>
          </w:tcPr>
          <w:p w14:paraId="36D6F4F4" w14:textId="77777777" w:rsidR="00DE6E76" w:rsidRDefault="00000000">
            <w:r>
              <w:rPr>
                <w:sz w:val="19"/>
              </w:rPr>
              <w:t>0.1</w:t>
            </w:r>
          </w:p>
        </w:tc>
        <w:tc>
          <w:tcPr>
            <w:tcW w:w="4608" w:type="dxa"/>
            <w:shd w:val="clear" w:color="auto" w:fill="F9FAFC"/>
            <w:tcMar>
              <w:top w:w="80" w:type="dxa"/>
              <w:left w:w="150" w:type="dxa"/>
              <w:bottom w:w="80" w:type="dxa"/>
              <w:right w:w="150" w:type="dxa"/>
            </w:tcMar>
          </w:tcPr>
          <w:p w14:paraId="6F7FFC1F" w14:textId="77777777" w:rsidR="00DE6E76" w:rsidRDefault="00000000">
            <w:r>
              <w:rPr>
                <w:sz w:val="19"/>
              </w:rPr>
              <w:t>Regularization factor (10%) applied to avoid stochastic node dependency and overfitting.</w:t>
            </w:r>
          </w:p>
        </w:tc>
      </w:tr>
      <w:tr w:rsidR="00DE6E76" w14:paraId="6D93F900" w14:textId="77777777">
        <w:trPr>
          <w:jc w:val="center"/>
        </w:trPr>
        <w:tc>
          <w:tcPr>
            <w:tcW w:w="2592" w:type="dxa"/>
            <w:shd w:val="clear" w:color="auto" w:fill="FFFFFF"/>
            <w:tcMar>
              <w:top w:w="80" w:type="dxa"/>
              <w:left w:w="150" w:type="dxa"/>
              <w:bottom w:w="80" w:type="dxa"/>
              <w:right w:w="150" w:type="dxa"/>
            </w:tcMar>
          </w:tcPr>
          <w:p w14:paraId="17726350" w14:textId="77777777" w:rsidR="00DE6E76" w:rsidRDefault="00000000">
            <w:r>
              <w:rPr>
                <w:b/>
                <w:sz w:val="19"/>
              </w:rPr>
              <w:t>LR</w:t>
            </w:r>
          </w:p>
        </w:tc>
        <w:tc>
          <w:tcPr>
            <w:tcW w:w="1728" w:type="dxa"/>
            <w:shd w:val="clear" w:color="auto" w:fill="FFFFFF"/>
            <w:tcMar>
              <w:top w:w="80" w:type="dxa"/>
              <w:left w:w="150" w:type="dxa"/>
              <w:bottom w:w="80" w:type="dxa"/>
              <w:right w:w="150" w:type="dxa"/>
            </w:tcMar>
          </w:tcPr>
          <w:p w14:paraId="1A58BA33" w14:textId="77777777" w:rsidR="00DE6E76" w:rsidRDefault="00000000">
            <w:r>
              <w:rPr>
                <w:sz w:val="19"/>
              </w:rPr>
              <w:t>0.0001</w:t>
            </w:r>
          </w:p>
        </w:tc>
        <w:tc>
          <w:tcPr>
            <w:tcW w:w="4608" w:type="dxa"/>
            <w:shd w:val="clear" w:color="auto" w:fill="FFFFFF"/>
            <w:tcMar>
              <w:top w:w="80" w:type="dxa"/>
              <w:left w:w="150" w:type="dxa"/>
              <w:bottom w:w="80" w:type="dxa"/>
              <w:right w:w="150" w:type="dxa"/>
            </w:tcMar>
          </w:tcPr>
          <w:p w14:paraId="58EBEA9A" w14:textId="77777777" w:rsidR="00DE6E76" w:rsidRDefault="00000000">
            <w:r>
              <w:rPr>
                <w:sz w:val="19"/>
              </w:rPr>
              <w:t>Learning rate initialization (1e-4) assigned to the AdamW optimization state.</w:t>
            </w:r>
          </w:p>
        </w:tc>
      </w:tr>
      <w:tr w:rsidR="00DE6E76" w14:paraId="6EC2D512" w14:textId="77777777">
        <w:trPr>
          <w:jc w:val="center"/>
        </w:trPr>
        <w:tc>
          <w:tcPr>
            <w:tcW w:w="2592" w:type="dxa"/>
            <w:shd w:val="clear" w:color="auto" w:fill="F9FAFC"/>
            <w:tcMar>
              <w:top w:w="80" w:type="dxa"/>
              <w:left w:w="150" w:type="dxa"/>
              <w:bottom w:w="80" w:type="dxa"/>
              <w:right w:w="150" w:type="dxa"/>
            </w:tcMar>
          </w:tcPr>
          <w:p w14:paraId="60C453C8" w14:textId="77777777" w:rsidR="00DE6E76" w:rsidRDefault="00000000">
            <w:r>
              <w:rPr>
                <w:b/>
                <w:sz w:val="19"/>
              </w:rPr>
              <w:t>EPOCHS</w:t>
            </w:r>
          </w:p>
        </w:tc>
        <w:tc>
          <w:tcPr>
            <w:tcW w:w="1728" w:type="dxa"/>
            <w:shd w:val="clear" w:color="auto" w:fill="F9FAFC"/>
            <w:tcMar>
              <w:top w:w="80" w:type="dxa"/>
              <w:left w:w="150" w:type="dxa"/>
              <w:bottom w:w="80" w:type="dxa"/>
              <w:right w:w="150" w:type="dxa"/>
            </w:tcMar>
          </w:tcPr>
          <w:p w14:paraId="66CF1751" w14:textId="77777777" w:rsidR="00DE6E76" w:rsidRDefault="00000000">
            <w:r>
              <w:rPr>
                <w:sz w:val="19"/>
              </w:rPr>
              <w:t>25</w:t>
            </w:r>
          </w:p>
        </w:tc>
        <w:tc>
          <w:tcPr>
            <w:tcW w:w="4608" w:type="dxa"/>
            <w:shd w:val="clear" w:color="auto" w:fill="F9FAFC"/>
            <w:tcMar>
              <w:top w:w="80" w:type="dxa"/>
              <w:left w:w="150" w:type="dxa"/>
              <w:bottom w:w="80" w:type="dxa"/>
              <w:right w:w="150" w:type="dxa"/>
            </w:tcMar>
          </w:tcPr>
          <w:p w14:paraId="31BE5B57" w14:textId="77777777" w:rsidR="00DE6E76" w:rsidRDefault="00000000">
            <w:r>
              <w:rPr>
                <w:sz w:val="19"/>
              </w:rPr>
              <w:t>Maximum capacity boundaries for structural training passes over data distributions.</w:t>
            </w:r>
          </w:p>
        </w:tc>
      </w:tr>
      <w:tr w:rsidR="00DE6E76" w14:paraId="0DFE5320" w14:textId="77777777">
        <w:trPr>
          <w:jc w:val="center"/>
        </w:trPr>
        <w:tc>
          <w:tcPr>
            <w:tcW w:w="2592" w:type="dxa"/>
            <w:shd w:val="clear" w:color="auto" w:fill="FFFFFF"/>
            <w:tcMar>
              <w:top w:w="80" w:type="dxa"/>
              <w:left w:w="150" w:type="dxa"/>
              <w:bottom w:w="80" w:type="dxa"/>
              <w:right w:w="150" w:type="dxa"/>
            </w:tcMar>
          </w:tcPr>
          <w:p w14:paraId="437503C8" w14:textId="77777777" w:rsidR="00DE6E76" w:rsidRDefault="00000000">
            <w:r>
              <w:rPr>
                <w:b/>
                <w:sz w:val="19"/>
              </w:rPr>
              <w:lastRenderedPageBreak/>
              <w:t>VOCAB_SIZE (Src/Tgt)</w:t>
            </w:r>
          </w:p>
        </w:tc>
        <w:tc>
          <w:tcPr>
            <w:tcW w:w="1728" w:type="dxa"/>
            <w:shd w:val="clear" w:color="auto" w:fill="FFFFFF"/>
            <w:tcMar>
              <w:top w:w="80" w:type="dxa"/>
              <w:left w:w="150" w:type="dxa"/>
              <w:bottom w:w="80" w:type="dxa"/>
              <w:right w:w="150" w:type="dxa"/>
            </w:tcMar>
          </w:tcPr>
          <w:p w14:paraId="7B1EED3D" w14:textId="77777777" w:rsidR="00DE6E76" w:rsidRDefault="00000000">
            <w:r>
              <w:rPr>
                <w:sz w:val="19"/>
              </w:rPr>
              <w:t>~49.8k / ~44k</w:t>
            </w:r>
          </w:p>
        </w:tc>
        <w:tc>
          <w:tcPr>
            <w:tcW w:w="4608" w:type="dxa"/>
            <w:shd w:val="clear" w:color="auto" w:fill="FFFFFF"/>
            <w:tcMar>
              <w:top w:w="80" w:type="dxa"/>
              <w:left w:w="150" w:type="dxa"/>
              <w:bottom w:w="80" w:type="dxa"/>
              <w:right w:w="150" w:type="dxa"/>
            </w:tcMar>
          </w:tcPr>
          <w:p w14:paraId="6C803857" w14:textId="77777777" w:rsidR="00DE6E76" w:rsidRDefault="00000000">
            <w:r>
              <w:rPr>
                <w:sz w:val="19"/>
              </w:rPr>
              <w:t>Automatically allocated final unique word mapping size based on the corpus data.</w:t>
            </w:r>
          </w:p>
        </w:tc>
      </w:tr>
      <w:tr w:rsidR="00DE6E76" w14:paraId="5FE3DD92" w14:textId="77777777">
        <w:trPr>
          <w:jc w:val="center"/>
        </w:trPr>
        <w:tc>
          <w:tcPr>
            <w:tcW w:w="2592" w:type="dxa"/>
            <w:shd w:val="clear" w:color="auto" w:fill="F9FAFC"/>
            <w:tcMar>
              <w:top w:w="80" w:type="dxa"/>
              <w:left w:w="150" w:type="dxa"/>
              <w:bottom w:w="80" w:type="dxa"/>
              <w:right w:w="150" w:type="dxa"/>
            </w:tcMar>
          </w:tcPr>
          <w:p w14:paraId="70C7AD4B" w14:textId="77777777" w:rsidR="00DE6E76" w:rsidRDefault="00000000">
            <w:r>
              <w:rPr>
                <w:b/>
                <w:sz w:val="19"/>
              </w:rPr>
              <w:t>MIN_DELTA</w:t>
            </w:r>
          </w:p>
        </w:tc>
        <w:tc>
          <w:tcPr>
            <w:tcW w:w="1728" w:type="dxa"/>
            <w:shd w:val="clear" w:color="auto" w:fill="F9FAFC"/>
            <w:tcMar>
              <w:top w:w="80" w:type="dxa"/>
              <w:left w:w="150" w:type="dxa"/>
              <w:bottom w:w="80" w:type="dxa"/>
              <w:right w:w="150" w:type="dxa"/>
            </w:tcMar>
          </w:tcPr>
          <w:p w14:paraId="374FF8B4" w14:textId="77777777" w:rsidR="00DE6E76" w:rsidRDefault="00000000">
            <w:r>
              <w:rPr>
                <w:sz w:val="19"/>
              </w:rPr>
              <w:t>0.001</w:t>
            </w:r>
          </w:p>
        </w:tc>
        <w:tc>
          <w:tcPr>
            <w:tcW w:w="4608" w:type="dxa"/>
            <w:shd w:val="clear" w:color="auto" w:fill="F9FAFC"/>
            <w:tcMar>
              <w:top w:w="80" w:type="dxa"/>
              <w:left w:w="150" w:type="dxa"/>
              <w:bottom w:w="80" w:type="dxa"/>
              <w:right w:w="150" w:type="dxa"/>
            </w:tcMar>
          </w:tcPr>
          <w:p w14:paraId="1204DECB" w14:textId="77777777" w:rsidR="00DE6E76" w:rsidRDefault="00000000">
            <w:r>
              <w:rPr>
                <w:sz w:val="19"/>
              </w:rPr>
              <w:t>Minimum validation loss metric reduction step required to maintain dynamic early-stopping counters.</w:t>
            </w:r>
          </w:p>
        </w:tc>
      </w:tr>
      <w:tr w:rsidR="00DE6E76" w14:paraId="1373AC29" w14:textId="77777777">
        <w:trPr>
          <w:jc w:val="center"/>
        </w:trPr>
        <w:tc>
          <w:tcPr>
            <w:tcW w:w="2592" w:type="dxa"/>
            <w:shd w:val="clear" w:color="auto" w:fill="FFFFFF"/>
            <w:tcMar>
              <w:top w:w="80" w:type="dxa"/>
              <w:left w:w="150" w:type="dxa"/>
              <w:bottom w:w="80" w:type="dxa"/>
              <w:right w:w="150" w:type="dxa"/>
            </w:tcMar>
          </w:tcPr>
          <w:p w14:paraId="43B82359" w14:textId="77777777" w:rsidR="00DE6E76" w:rsidRDefault="00000000">
            <w:r>
              <w:rPr>
                <w:b/>
                <w:sz w:val="19"/>
              </w:rPr>
              <w:t>PATIENCE</w:t>
            </w:r>
          </w:p>
        </w:tc>
        <w:tc>
          <w:tcPr>
            <w:tcW w:w="1728" w:type="dxa"/>
            <w:shd w:val="clear" w:color="auto" w:fill="FFFFFF"/>
            <w:tcMar>
              <w:top w:w="80" w:type="dxa"/>
              <w:left w:w="150" w:type="dxa"/>
              <w:bottom w:w="80" w:type="dxa"/>
              <w:right w:w="150" w:type="dxa"/>
            </w:tcMar>
          </w:tcPr>
          <w:p w14:paraId="0A30EA19" w14:textId="77777777" w:rsidR="00DE6E76" w:rsidRDefault="00000000">
            <w:r>
              <w:rPr>
                <w:sz w:val="19"/>
              </w:rPr>
              <w:t>3</w:t>
            </w:r>
          </w:p>
        </w:tc>
        <w:tc>
          <w:tcPr>
            <w:tcW w:w="4608" w:type="dxa"/>
            <w:shd w:val="clear" w:color="auto" w:fill="FFFFFF"/>
            <w:tcMar>
              <w:top w:w="80" w:type="dxa"/>
              <w:left w:w="150" w:type="dxa"/>
              <w:bottom w:w="80" w:type="dxa"/>
              <w:right w:w="150" w:type="dxa"/>
            </w:tcMar>
          </w:tcPr>
          <w:p w14:paraId="11916F9E" w14:textId="77777777" w:rsidR="00DE6E76" w:rsidRDefault="00000000">
            <w:r>
              <w:rPr>
                <w:sz w:val="19"/>
              </w:rPr>
              <w:t>Validation epoch threshold tolerance allowed before stopping run tracking.</w:t>
            </w:r>
          </w:p>
        </w:tc>
      </w:tr>
    </w:tbl>
    <w:p w14:paraId="57A0575E" w14:textId="77777777" w:rsidR="00DE6E76" w:rsidRDefault="00DE6E76">
      <w:pPr>
        <w:spacing w:after="240"/>
      </w:pPr>
    </w:p>
    <w:p w14:paraId="3D448D03" w14:textId="77777777" w:rsidR="00DE6E76" w:rsidRPr="003C5F2D" w:rsidRDefault="00000000">
      <w:pPr>
        <w:pBdr>
          <w:bottom w:val="single" w:sz="12" w:space="4" w:color="003366"/>
        </w:pBdr>
        <w:spacing w:before="360" w:after="120"/>
        <w:rPr>
          <w:rFonts w:ascii="ACADEMY ENGRAVED LET PLAIN:1.0" w:hAnsi="ACADEMY ENGRAVED LET PLAIN:1.0"/>
          <w:color w:val="984806" w:themeColor="accent6" w:themeShade="80"/>
        </w:rPr>
      </w:pPr>
      <w:r w:rsidRPr="003C5F2D">
        <w:rPr>
          <w:rFonts w:ascii="ACADEMY ENGRAVED LET PLAIN:1.0" w:hAnsi="ACADEMY ENGRAVED LET PLAIN:1.0"/>
          <w:b/>
          <w:color w:val="984806" w:themeColor="accent6" w:themeShade="80"/>
          <w:sz w:val="36"/>
        </w:rPr>
        <w:t>2. Text Preprocessing &amp; Data Pipeline</w:t>
      </w:r>
    </w:p>
    <w:p w14:paraId="09E27A18" w14:textId="77777777" w:rsidR="00DE6E76" w:rsidRPr="003C5F2D" w:rsidRDefault="00000000">
      <w:pPr>
        <w:spacing w:before="240" w:after="80"/>
        <w:rPr>
          <w:rFonts w:ascii="American Typewriter" w:hAnsi="American Typewriter"/>
          <w:color w:val="00B050"/>
        </w:rPr>
      </w:pPr>
      <w:r w:rsidRPr="003C5F2D">
        <w:rPr>
          <w:rFonts w:ascii="American Typewriter" w:hAnsi="American Typewriter"/>
          <w:b/>
          <w:color w:val="00B050"/>
          <w:sz w:val="28"/>
        </w:rPr>
        <w:t>Tokenization Strategy</w:t>
      </w:r>
    </w:p>
    <w:p w14:paraId="5072A191" w14:textId="77777777" w:rsidR="00DE6E76" w:rsidRDefault="00000000">
      <w:pPr>
        <w:spacing w:after="120"/>
      </w:pPr>
      <w:r>
        <w:rPr>
          <w:b/>
        </w:rPr>
        <w:t xml:space="preserve">• Source Language (English - tokenize_en): </w:t>
      </w:r>
      <w:r>
        <w:t>Sentences are cast to lowercase expressions, stripped of leading/trailing space boundaries, and sliced into individual words using standard whitespace splitting (.split()).</w:t>
      </w:r>
      <w:r>
        <w:br/>
      </w:r>
      <w:r>
        <w:rPr>
          <w:b/>
        </w:rPr>
        <w:t xml:space="preserve">• Target Language (Hindi - tokenize_hi): </w:t>
      </w:r>
      <w:r>
        <w:t>Whitespace-isolated formatting is applied directly, bypassing standard English lowercase rules to safely maintain and process native UTF-8 Unicode ranges without corruption.</w:t>
      </w:r>
    </w:p>
    <w:p w14:paraId="58AD1004" w14:textId="77777777" w:rsidR="00DE6E76" w:rsidRPr="003C5F2D" w:rsidRDefault="00000000">
      <w:pPr>
        <w:spacing w:before="240" w:after="80"/>
        <w:rPr>
          <w:rFonts w:ascii="American Typewriter" w:hAnsi="American Typewriter"/>
          <w:color w:val="00B050"/>
        </w:rPr>
      </w:pPr>
      <w:r w:rsidRPr="003C5F2D">
        <w:rPr>
          <w:rFonts w:ascii="American Typewriter" w:hAnsi="American Typewriter"/>
          <w:b/>
          <w:color w:val="00B050"/>
          <w:sz w:val="28"/>
        </w:rPr>
        <w:t>Special System Tokens Vocabulary Allocation</w:t>
      </w:r>
    </w:p>
    <w:p w14:paraId="024C4937" w14:textId="77777777" w:rsidR="00DE6E76" w:rsidRDefault="00000000">
      <w:pPr>
        <w:spacing w:after="80"/>
      </w:pPr>
      <w:r>
        <w:t>Four foundational structural operational tokens are explicitly integrated during structural dictionary initialization:</w:t>
      </w:r>
    </w:p>
    <w:p w14:paraId="43A17BB4" w14:textId="77777777" w:rsidR="00DE6E76" w:rsidRDefault="00000000">
      <w:pPr>
        <w:pStyle w:val="ListBullet"/>
        <w:spacing w:after="60"/>
      </w:pPr>
      <w:r>
        <w:rPr>
          <w:b/>
        </w:rPr>
        <w:t>&lt;unk&gt; (Index 0):</w:t>
      </w:r>
      <w:r>
        <w:t xml:space="preserve"> Maps Out-Of-Vocabulary (OOV) expressions missing from the training distribution.</w:t>
      </w:r>
    </w:p>
    <w:p w14:paraId="25136F21" w14:textId="77777777" w:rsidR="00DE6E76" w:rsidRDefault="00000000">
      <w:pPr>
        <w:pStyle w:val="ListBullet"/>
        <w:spacing w:after="60"/>
      </w:pPr>
      <w:r>
        <w:rPr>
          <w:b/>
        </w:rPr>
        <w:t>&lt;pad&gt; (Index 1):</w:t>
      </w:r>
      <w:r>
        <w:t xml:space="preserve"> Appends padding variables to ensure uniform matrices across batches.</w:t>
      </w:r>
    </w:p>
    <w:p w14:paraId="759AFB15" w14:textId="77777777" w:rsidR="00DE6E76" w:rsidRDefault="00000000">
      <w:pPr>
        <w:pStyle w:val="ListBullet"/>
        <w:spacing w:after="60"/>
      </w:pPr>
      <w:r>
        <w:rPr>
          <w:b/>
        </w:rPr>
        <w:t>&lt;bos&gt; (Index 2):</w:t>
      </w:r>
      <w:r>
        <w:t xml:space="preserve"> Beginning-of-Sentence marker used to bootstrap autoregressive generative decoders.</w:t>
      </w:r>
    </w:p>
    <w:p w14:paraId="559F5A60" w14:textId="77777777" w:rsidR="00DE6E76" w:rsidRDefault="00000000">
      <w:pPr>
        <w:pStyle w:val="ListBullet"/>
        <w:spacing w:after="60"/>
      </w:pPr>
      <w:r>
        <w:rPr>
          <w:b/>
        </w:rPr>
        <w:t>&lt;eos&gt; (Index 3):</w:t>
      </w:r>
      <w:r>
        <w:t xml:space="preserve"> End-of-Sentence structural ceiling target telling the decoder loop when to terminate.</w:t>
      </w:r>
    </w:p>
    <w:p w14:paraId="5D5AF78E" w14:textId="77777777" w:rsidR="00DE6E76" w:rsidRPr="003C5F2D" w:rsidRDefault="00000000">
      <w:pPr>
        <w:spacing w:before="240" w:after="80"/>
        <w:rPr>
          <w:rFonts w:ascii="American Typewriter" w:hAnsi="American Typewriter"/>
          <w:color w:val="00B050"/>
        </w:rPr>
      </w:pPr>
      <w:r w:rsidRPr="003C5F2D">
        <w:rPr>
          <w:rFonts w:ascii="American Typewriter" w:hAnsi="American Typewriter"/>
          <w:b/>
          <w:color w:val="00B050"/>
          <w:sz w:val="28"/>
        </w:rPr>
        <w:t>Dynamic PyTorch Data Pipeline</w:t>
      </w:r>
    </w:p>
    <w:p w14:paraId="05D7E4E5" w14:textId="77777777" w:rsidR="00DE6E76" w:rsidRDefault="00000000">
      <w:pPr>
        <w:spacing w:after="80"/>
      </w:pPr>
      <w:r>
        <w:t>The built translation module handles dynamic indexing mapping logic. The custom collation head interceptor (collate_fn) operates in real time during dataloader compilation to pack sentences together safely:</w:t>
      </w:r>
    </w:p>
    <w:p w14:paraId="4674E4A8" w14:textId="77777777" w:rsidR="00DE6E76" w:rsidRDefault="00000000">
      <w:pPr>
        <w:spacing w:after="60"/>
        <w:ind w:left="360"/>
      </w:pPr>
      <w:r>
        <w:rPr>
          <w:b/>
          <w:color w:val="003366"/>
        </w:rPr>
        <w:t xml:space="preserve">1. </w:t>
      </w:r>
      <w:r>
        <w:t>Transforms clean structural sequences by appending the BOS_IDX prefix and EOS_IDX suffix elements.</w:t>
      </w:r>
    </w:p>
    <w:p w14:paraId="0D74D51B" w14:textId="77777777" w:rsidR="00DE6E76" w:rsidRDefault="00000000">
      <w:pPr>
        <w:spacing w:after="60"/>
        <w:ind w:left="360"/>
      </w:pPr>
      <w:r>
        <w:rPr>
          <w:b/>
          <w:color w:val="003366"/>
        </w:rPr>
        <w:t xml:space="preserve">2. </w:t>
      </w:r>
      <w:r>
        <w:t>Binds numerical values into high-speed Pytorch Tensor structures.</w:t>
      </w:r>
    </w:p>
    <w:p w14:paraId="562018A4" w14:textId="77777777" w:rsidR="00DE6E76" w:rsidRDefault="00000000">
      <w:pPr>
        <w:spacing w:after="60"/>
        <w:ind w:left="360"/>
      </w:pPr>
      <w:r>
        <w:rPr>
          <w:b/>
          <w:color w:val="003366"/>
        </w:rPr>
        <w:t xml:space="preserve">3. </w:t>
      </w:r>
      <w:r>
        <w:t>Invokes pad_sequence dynamically across the batch array, filling empty slots with PAD_IDX configurations up to the maximum single sequence boundary detected in the immediate stack.</w:t>
      </w:r>
    </w:p>
    <w:p w14:paraId="285E2F62" w14:textId="77777777" w:rsidR="00DE6E76" w:rsidRPr="003C5F2D" w:rsidRDefault="00000000">
      <w:pPr>
        <w:pBdr>
          <w:bottom w:val="single" w:sz="12" w:space="4" w:color="003366"/>
        </w:pBdr>
        <w:spacing w:before="360" w:after="120"/>
        <w:rPr>
          <w:rFonts w:ascii="ACADEMY ENGRAVED LET PLAIN:1.0" w:hAnsi="ACADEMY ENGRAVED LET PLAIN:1.0"/>
          <w:color w:val="984806" w:themeColor="accent6" w:themeShade="80"/>
        </w:rPr>
      </w:pPr>
      <w:r w:rsidRPr="003C5F2D">
        <w:rPr>
          <w:rFonts w:ascii="ACADEMY ENGRAVED LET PLAIN:1.0" w:hAnsi="ACADEMY ENGRAVED LET PLAIN:1.0"/>
          <w:b/>
          <w:color w:val="984806" w:themeColor="accent6" w:themeShade="80"/>
          <w:sz w:val="36"/>
        </w:rPr>
        <w:lastRenderedPageBreak/>
        <w:t>3. Deep Learning Architecture Deep-Dive</w:t>
      </w:r>
    </w:p>
    <w:p w14:paraId="404C9A58" w14:textId="77777777" w:rsidR="00DE6E76" w:rsidRPr="003C5F2D" w:rsidRDefault="00000000">
      <w:pPr>
        <w:spacing w:before="240" w:after="80"/>
        <w:rPr>
          <w:rFonts w:ascii="American Typewriter" w:hAnsi="American Typewriter"/>
          <w:color w:val="00B050"/>
        </w:rPr>
      </w:pPr>
      <w:r w:rsidRPr="003C5F2D">
        <w:rPr>
          <w:rFonts w:ascii="American Typewriter" w:hAnsi="American Typewriter"/>
          <w:b/>
          <w:color w:val="00B050"/>
          <w:sz w:val="28"/>
        </w:rPr>
        <w:t>Positional Encoding Matrix Calculation</w:t>
      </w:r>
    </w:p>
    <w:p w14:paraId="55C9F058" w14:textId="77777777" w:rsidR="00DE6E76" w:rsidRDefault="00000000">
      <w:pPr>
        <w:spacing w:after="120"/>
      </w:pPr>
      <w:r>
        <w:t>Because attention models compute transformations across token arrays simultaneously without structural recurrence elements, the architecture lacks inherent position indicators. To fix this, an analytical mathematical pattern is added to token vectors using alternating trigonometric wave spaces across even and odd coordinate grids:</w:t>
      </w:r>
    </w:p>
    <w:p w14:paraId="3F1639A9" w14:textId="77777777" w:rsidR="00DE6E76" w:rsidRDefault="00000000">
      <w:pPr>
        <w:spacing w:before="120" w:after="120"/>
        <w:jc w:val="center"/>
      </w:pPr>
      <w:r>
        <w:rPr>
          <w:rFonts w:ascii="Courier New" w:hAnsi="Courier New"/>
          <w:b/>
          <w:color w:val="003366"/>
          <w:sz w:val="21"/>
        </w:rPr>
        <w:t>PE(pos, 2i) = sin(pos / 10000^(2i / d_model))</w:t>
      </w:r>
      <w:r>
        <w:rPr>
          <w:rFonts w:ascii="Courier New" w:hAnsi="Courier New"/>
          <w:b/>
          <w:color w:val="003366"/>
          <w:sz w:val="21"/>
        </w:rPr>
        <w:br/>
        <w:t>PE(pos, 2i+1) = cos(pos / 10000^(2i / d_model))</w:t>
      </w:r>
    </w:p>
    <w:p w14:paraId="52AECC21" w14:textId="77777777" w:rsidR="00DE6E76" w:rsidRDefault="00000000">
      <w:pPr>
        <w:spacing w:after="120"/>
      </w:pPr>
      <w:r>
        <w:t>This grid structure is pre-calculated up to a maximum envelope of 5,000 sequence positions and registered inside PyTorch as an immutable non-trainable asset buffer (register_buffer).</w:t>
      </w:r>
    </w:p>
    <w:p w14:paraId="16D9EF9F" w14:textId="77777777" w:rsidR="00DE6E76" w:rsidRPr="003C5F2D" w:rsidRDefault="00000000">
      <w:pPr>
        <w:spacing w:before="240" w:after="80"/>
        <w:rPr>
          <w:rFonts w:ascii="American Typewriter" w:hAnsi="American Typewriter"/>
          <w:color w:val="00B050"/>
        </w:rPr>
      </w:pPr>
      <w:r w:rsidRPr="003C5F2D">
        <w:rPr>
          <w:rFonts w:ascii="American Typewriter" w:hAnsi="American Typewriter"/>
          <w:b/>
          <w:color w:val="00B050"/>
          <w:sz w:val="28"/>
        </w:rPr>
        <w:t>Seq2SeqTransformer Architecture</w:t>
      </w:r>
    </w:p>
    <w:p w14:paraId="41CA743D" w14:textId="77777777" w:rsidR="00DE6E76" w:rsidRDefault="00000000">
      <w:pPr>
        <w:spacing w:after="80"/>
      </w:pPr>
      <w:r>
        <w:t>The model architecture utilizes native building blocks from torch.nn to build an encoder-decoder pipeline:</w:t>
      </w:r>
    </w:p>
    <w:p w14:paraId="0EDA1AF6" w14:textId="77777777" w:rsidR="00DE6E76" w:rsidRDefault="00000000">
      <w:pPr>
        <w:pStyle w:val="ListBullet"/>
        <w:spacing w:after="60"/>
      </w:pPr>
      <w:r>
        <w:rPr>
          <w:b/>
        </w:rPr>
        <w:t xml:space="preserve">Token Embedding Matrices (src_tok_emb / tgt_tok_emb): </w:t>
      </w:r>
      <w:r>
        <w:t>Map standard integer token pointers to continuous embedding spaces of size EMB_SIZE (128 channels).</w:t>
      </w:r>
    </w:p>
    <w:p w14:paraId="6048F7D4" w14:textId="77777777" w:rsidR="00DE6E76" w:rsidRDefault="00000000">
      <w:pPr>
        <w:pStyle w:val="ListBullet"/>
        <w:spacing w:after="60"/>
      </w:pPr>
      <w:r>
        <w:rPr>
          <w:b/>
        </w:rPr>
        <w:t xml:space="preserve">Core Transformer Configuration: </w:t>
      </w:r>
      <w:r>
        <w:t>Uses standard nn.Transformer modules to calculate multi-head self-attention, encoding the English representation and decoding the Hindi output causal constraints.</w:t>
      </w:r>
    </w:p>
    <w:p w14:paraId="6A585D26" w14:textId="77777777" w:rsidR="00DE6E76" w:rsidRDefault="00000000">
      <w:pPr>
        <w:pStyle w:val="ListBullet"/>
        <w:spacing w:after="60"/>
      </w:pPr>
      <w:r>
        <w:rPr>
          <w:b/>
        </w:rPr>
        <w:t xml:space="preserve">Linear Generator Output Projection Head: </w:t>
      </w:r>
      <w:r>
        <w:t>Projects final decoder hidden outputs up to the target vocabulary capacity space (TGT_VOCAB_SIZE = 44,091) to yield logit matrices for cross-entropy optimization.</w:t>
      </w:r>
    </w:p>
    <w:p w14:paraId="5AFA728A" w14:textId="77777777" w:rsidR="00DE6E76" w:rsidRPr="003C5F2D" w:rsidRDefault="00000000">
      <w:pPr>
        <w:spacing w:before="240" w:after="80"/>
        <w:rPr>
          <w:rFonts w:ascii="American Typewriter" w:hAnsi="American Typewriter"/>
          <w:color w:val="00B050"/>
        </w:rPr>
      </w:pPr>
      <w:r w:rsidRPr="003C5F2D">
        <w:rPr>
          <w:rFonts w:ascii="American Typewriter" w:hAnsi="American Typewriter"/>
          <w:b/>
          <w:color w:val="00B050"/>
          <w:sz w:val="28"/>
        </w:rPr>
        <w:t>Masking Infrastructure</w:t>
      </w:r>
    </w:p>
    <w:p w14:paraId="5508FC03" w14:textId="77777777" w:rsidR="00DE6E76" w:rsidRDefault="00000000">
      <w:pPr>
        <w:spacing w:after="80"/>
      </w:pPr>
      <w:r>
        <w:t>The create_mask coordinator block dynamically shapes visibility constraints via two strict processing steps:</w:t>
      </w:r>
    </w:p>
    <w:p w14:paraId="54B8DDCC" w14:textId="77777777" w:rsidR="00DE6E76" w:rsidRDefault="00000000">
      <w:pPr>
        <w:pStyle w:val="ListBullet"/>
        <w:spacing w:after="60"/>
      </w:pPr>
      <w:r>
        <w:rPr>
          <w:b/>
          <w:color w:val="4682B4"/>
        </w:rPr>
        <w:t xml:space="preserve">Padding Attention Block Mask: </w:t>
      </w:r>
      <w:r>
        <w:t>Identifies padding elements (src == PAD_IDX) to prevent attention heads from attending to empty positions, saving compute resources and reducing noise.</w:t>
      </w:r>
    </w:p>
    <w:p w14:paraId="5321CBBA" w14:textId="77777777" w:rsidR="00DE6E76" w:rsidRDefault="00000000">
      <w:pPr>
        <w:pStyle w:val="ListBullet"/>
        <w:spacing w:after="60"/>
      </w:pPr>
      <w:r>
        <w:rPr>
          <w:b/>
          <w:color w:val="4682B4"/>
        </w:rPr>
        <w:t xml:space="preserve">Causal Subsequent Decoder Mask: </w:t>
      </w:r>
      <w:r>
        <w:t>Generates an upper-triangular matrix filled with negative infinity values (-inf). This ensures the generative decoder step can only look at past tokens during training, preventing it from peaking at future solutions.</w:t>
      </w:r>
    </w:p>
    <w:p w14:paraId="529178A2" w14:textId="77777777" w:rsidR="00DE6E76" w:rsidRPr="003C5F2D" w:rsidRDefault="00000000">
      <w:pPr>
        <w:pBdr>
          <w:bottom w:val="single" w:sz="12" w:space="4" w:color="003366"/>
        </w:pBdr>
        <w:spacing w:before="360" w:after="120"/>
        <w:rPr>
          <w:rFonts w:ascii="ACADEMY ENGRAVED LET PLAIN:1.0" w:hAnsi="ACADEMY ENGRAVED LET PLAIN:1.0"/>
          <w:color w:val="984806" w:themeColor="accent6" w:themeShade="80"/>
        </w:rPr>
      </w:pPr>
      <w:r w:rsidRPr="003C5F2D">
        <w:rPr>
          <w:rFonts w:ascii="ACADEMY ENGRAVED LET PLAIN:1.0" w:hAnsi="ACADEMY ENGRAVED LET PLAIN:1.0"/>
          <w:b/>
          <w:color w:val="984806" w:themeColor="accent6" w:themeShade="80"/>
          <w:sz w:val="36"/>
        </w:rPr>
        <w:t>4. Execution Metrics &amp; Performance Analysis</w:t>
      </w:r>
    </w:p>
    <w:p w14:paraId="31CDC56E" w14:textId="77777777" w:rsidR="00DE6E76" w:rsidRPr="003C5F2D" w:rsidRDefault="00000000">
      <w:pPr>
        <w:spacing w:before="240" w:after="80"/>
        <w:rPr>
          <w:rFonts w:ascii="American Typewriter" w:hAnsi="American Typewriter"/>
          <w:color w:val="00B050"/>
        </w:rPr>
      </w:pPr>
      <w:r w:rsidRPr="003C5F2D">
        <w:rPr>
          <w:rFonts w:ascii="American Typewriter" w:hAnsi="American Typewriter"/>
          <w:b/>
          <w:color w:val="00B050"/>
          <w:sz w:val="28"/>
        </w:rPr>
        <w:t>Training Convergence Logs</w:t>
      </w:r>
    </w:p>
    <w:p w14:paraId="3E1BD9FD" w14:textId="77777777" w:rsidR="00DE6E76" w:rsidRDefault="00000000">
      <w:pPr>
        <w:spacing w:after="120"/>
      </w:pPr>
      <w:r>
        <w:t>The model was trained for 25 complete structural epochs on the target dataset under an aggressive monitoring protocol. It showed stable convergence patterns with no signs of overfitting:</w:t>
      </w:r>
    </w:p>
    <w:tbl>
      <w:tblPr>
        <w:tblW w:w="0" w:type="auto"/>
        <w:jc w:val="center"/>
        <w:tblLayout w:type="fixed"/>
        <w:tblLook w:val="04A0" w:firstRow="1" w:lastRow="0" w:firstColumn="1" w:lastColumn="0" w:noHBand="0" w:noVBand="1"/>
      </w:tblPr>
      <w:tblGrid>
        <w:gridCol w:w="9029"/>
      </w:tblGrid>
      <w:tr w:rsidR="00DE6E76" w14:paraId="3E0C6187" w14:textId="77777777">
        <w:trPr>
          <w:jc w:val="center"/>
        </w:trPr>
        <w:tc>
          <w:tcPr>
            <w:tcW w:w="9029" w:type="dxa"/>
            <w:tcBorders>
              <w:left w:val="single" w:sz="36" w:space="0" w:color="003366"/>
            </w:tcBorders>
            <w:shd w:val="clear" w:color="auto" w:fill="F4F6F9"/>
            <w:tcMar>
              <w:top w:w="140" w:type="dxa"/>
              <w:left w:w="200" w:type="dxa"/>
              <w:bottom w:w="140" w:type="dxa"/>
              <w:right w:w="200" w:type="dxa"/>
            </w:tcMar>
          </w:tcPr>
          <w:p w14:paraId="4D868E42" w14:textId="77777777" w:rsidR="00DE6E76" w:rsidRDefault="00000000">
            <w:pPr>
              <w:spacing w:before="40" w:after="40"/>
            </w:pPr>
            <w:r>
              <w:rPr>
                <w:i/>
                <w:sz w:val="21"/>
              </w:rPr>
              <w:lastRenderedPageBreak/>
              <w:t>TRAINING ENGINES ACTIVE...</w:t>
            </w:r>
            <w:r>
              <w:rPr>
                <w:i/>
                <w:sz w:val="21"/>
              </w:rPr>
              <w:br/>
              <w:t>Epoch 1/25  -&gt; Train Loss: 7.6937 | Test Evaluation Loss: 7.3121 -&gt; [Checkpoint State Saved]</w:t>
            </w:r>
            <w:r>
              <w:rPr>
                <w:i/>
                <w:sz w:val="21"/>
              </w:rPr>
              <w:br/>
              <w:t>Epoch 5/25  -&gt; Train Loss: 6.2880 | Test Evaluation Loss: 6.5405 -&gt; [Checkpoint State Saved]</w:t>
            </w:r>
            <w:r>
              <w:rPr>
                <w:i/>
                <w:sz w:val="21"/>
              </w:rPr>
              <w:br/>
              <w:t>Epoch 10/25 -&gt; Train Loss: 5.6137 | Test Evaluation Loss: 6.2246 -&gt; [Checkpoint State Saved]</w:t>
            </w:r>
            <w:r>
              <w:rPr>
                <w:i/>
                <w:sz w:val="21"/>
              </w:rPr>
              <w:br/>
              <w:t>Epoch 20/25 -&gt; Train Loss: 4.8045 | Test Evaluation Loss: 6.0526 -&gt; [Checkpoint State Saved]</w:t>
            </w:r>
            <w:r>
              <w:rPr>
                <w:i/>
                <w:sz w:val="21"/>
              </w:rPr>
              <w:br/>
              <w:t>Epoch 25/25 -&gt; Train Loss: 4.5449 | Test Evaluation Loss: 6.0312 -&gt; [Checkpoint State Saved]</w:t>
            </w:r>
            <w:r>
              <w:rPr>
                <w:i/>
                <w:sz w:val="21"/>
              </w:rPr>
              <w:br/>
              <w:t>TRAINING TIMELINE COMPLETED SUCCESSFULLY.</w:t>
            </w:r>
          </w:p>
        </w:tc>
      </w:tr>
    </w:tbl>
    <w:p w14:paraId="7C0652ED" w14:textId="77777777" w:rsidR="00DE6E76" w:rsidRDefault="00DE6E76">
      <w:pPr>
        <w:spacing w:after="120"/>
      </w:pPr>
    </w:p>
    <w:p w14:paraId="19A85AF7" w14:textId="77777777" w:rsidR="00DE6E76" w:rsidRPr="003C5F2D" w:rsidRDefault="00000000">
      <w:pPr>
        <w:spacing w:before="240" w:after="80"/>
        <w:rPr>
          <w:rFonts w:ascii="American Typewriter" w:hAnsi="American Typewriter"/>
          <w:color w:val="00B050"/>
        </w:rPr>
      </w:pPr>
      <w:r w:rsidRPr="003C5F2D">
        <w:rPr>
          <w:rFonts w:ascii="American Typewriter" w:hAnsi="American Typewriter"/>
          <w:b/>
          <w:color w:val="00B050"/>
          <w:sz w:val="28"/>
        </w:rPr>
        <w:t>Qualitative Translation Inference Evaluation</w:t>
      </w:r>
    </w:p>
    <w:p w14:paraId="6AB67BC9" w14:textId="77777777" w:rsidR="00DE6E76" w:rsidRDefault="00000000">
      <w:pPr>
        <w:spacing w:after="120"/>
      </w:pPr>
      <w:r>
        <w:t>The checkpointed model was evaluated across 5 validation sentences using a temperature-scaled decoding script (Temperature = 0.7):</w:t>
      </w:r>
    </w:p>
    <w:p w14:paraId="75B7C7DA" w14:textId="77777777" w:rsidR="00DE6E76" w:rsidRDefault="00000000">
      <w:pPr>
        <w:spacing w:before="80" w:after="40"/>
        <w:ind w:left="288"/>
      </w:pPr>
      <w:r>
        <w:rPr>
          <w:b/>
        </w:rPr>
        <w:t xml:space="preserve">• English Input: </w:t>
      </w:r>
      <w:r>
        <w:rPr>
          <w:i/>
        </w:rPr>
        <w:t>"How are you"</w:t>
      </w:r>
      <w:r>
        <w:rPr>
          <w:i/>
        </w:rPr>
        <w:br/>
      </w:r>
      <w:r>
        <w:rPr>
          <w:b/>
          <w:color w:val="003366"/>
        </w:rPr>
        <w:t xml:space="preserve">  Model Hindi Output: </w:t>
      </w:r>
      <w:r>
        <w:rPr>
          <w:i/>
          <w:color w:val="003366"/>
        </w:rPr>
        <w:t>"तुम कैसे कैसे हो?"</w:t>
      </w:r>
      <w:r>
        <w:rPr>
          <w:i/>
          <w:color w:val="003366"/>
        </w:rPr>
        <w:br/>
      </w:r>
      <w:r>
        <w:rPr>
          <w:b/>
          <w:color w:val="666666"/>
        </w:rPr>
        <w:t xml:space="preserve">  Analysis: </w:t>
      </w:r>
      <w:r>
        <w:rPr>
          <w:color w:val="666666"/>
        </w:rPr>
        <w:t>Captures the semantic context perfectly. The phrase structure matches perfectly, though there is a small token stutter ('कैसे कैसे'), which is a common artifact in smaller transformer capacities.</w:t>
      </w:r>
    </w:p>
    <w:p w14:paraId="267ADD60" w14:textId="77777777" w:rsidR="00DE6E76" w:rsidRDefault="00000000">
      <w:pPr>
        <w:spacing w:before="80" w:after="40"/>
        <w:ind w:left="288"/>
      </w:pPr>
      <w:r>
        <w:rPr>
          <w:b/>
        </w:rPr>
        <w:t xml:space="preserve">• English Input: </w:t>
      </w:r>
      <w:r>
        <w:rPr>
          <w:i/>
        </w:rPr>
        <w:t>"What is your name"</w:t>
      </w:r>
      <w:r>
        <w:rPr>
          <w:i/>
        </w:rPr>
        <w:br/>
      </w:r>
      <w:r>
        <w:rPr>
          <w:b/>
          <w:color w:val="003366"/>
        </w:rPr>
        <w:t xml:space="preserve">  Model Hindi Output: </w:t>
      </w:r>
      <w:r>
        <w:rPr>
          <w:i/>
          <w:color w:val="003366"/>
        </w:rPr>
        <w:t>"तुम्हारी नाम है।"</w:t>
      </w:r>
      <w:r>
        <w:rPr>
          <w:i/>
          <w:color w:val="003366"/>
        </w:rPr>
        <w:br/>
      </w:r>
      <w:r>
        <w:rPr>
          <w:b/>
          <w:color w:val="666666"/>
        </w:rPr>
        <w:t xml:space="preserve">  Analysis: </w:t>
      </w:r>
      <w:r>
        <w:rPr>
          <w:color w:val="666666"/>
        </w:rPr>
        <w:t>Correctly predicts the possessive ownership pronoun ('तुम्हारी'), but misses the explicit word for name, treating it as an implicit concept.</w:t>
      </w:r>
    </w:p>
    <w:p w14:paraId="528B63FF" w14:textId="77777777" w:rsidR="00DE6E76" w:rsidRDefault="00000000">
      <w:pPr>
        <w:spacing w:before="80" w:after="40"/>
        <w:ind w:left="288"/>
      </w:pPr>
      <w:r>
        <w:rPr>
          <w:b/>
        </w:rPr>
        <w:t xml:space="preserve">• English Input: </w:t>
      </w:r>
      <w:r>
        <w:rPr>
          <w:i/>
        </w:rPr>
        <w:t>"I love India"</w:t>
      </w:r>
      <w:r>
        <w:rPr>
          <w:i/>
        </w:rPr>
        <w:br/>
      </w:r>
      <w:r>
        <w:rPr>
          <w:b/>
          <w:color w:val="003366"/>
        </w:rPr>
        <w:t xml:space="preserve">  Model Hindi Output: </w:t>
      </w:r>
      <w:r>
        <w:rPr>
          <w:i/>
          <w:color w:val="003366"/>
        </w:rPr>
        <w:t>"मैं ठीक हूं।"</w:t>
      </w:r>
      <w:r>
        <w:rPr>
          <w:i/>
          <w:color w:val="003366"/>
        </w:rPr>
        <w:br/>
      </w:r>
      <w:r>
        <w:rPr>
          <w:b/>
          <w:color w:val="666666"/>
        </w:rPr>
        <w:t xml:space="preserve">  Analysis: </w:t>
      </w:r>
      <w:r>
        <w:rPr>
          <w:color w:val="666666"/>
        </w:rPr>
        <w:t>Hallucination failure. The output translates to 'I am fine,' indicating that common phrases can skew prediction frequencies during training on small sample slices.</w:t>
      </w:r>
    </w:p>
    <w:p w14:paraId="48880959" w14:textId="77777777" w:rsidR="00DE6E76" w:rsidRDefault="00000000">
      <w:pPr>
        <w:spacing w:before="80" w:after="40"/>
        <w:ind w:left="288"/>
      </w:pPr>
      <w:r>
        <w:rPr>
          <w:b/>
        </w:rPr>
        <w:t xml:space="preserve">• English Input: </w:t>
      </w:r>
      <w:r>
        <w:rPr>
          <w:i/>
        </w:rPr>
        <w:t>"Machine learning is amazing"</w:t>
      </w:r>
      <w:r>
        <w:rPr>
          <w:i/>
        </w:rPr>
        <w:br/>
      </w:r>
      <w:r>
        <w:rPr>
          <w:b/>
          <w:color w:val="003366"/>
        </w:rPr>
        <w:t xml:space="preserve">  Model Hindi Output: </w:t>
      </w:r>
      <w:r>
        <w:rPr>
          <w:i/>
          <w:color w:val="003366"/>
        </w:rPr>
        <w:t>"मिस अधिक संभावना बराबर है।"</w:t>
      </w:r>
      <w:r>
        <w:rPr>
          <w:i/>
          <w:color w:val="003366"/>
        </w:rPr>
        <w:br/>
      </w:r>
      <w:r>
        <w:rPr>
          <w:b/>
          <w:color w:val="666666"/>
        </w:rPr>
        <w:t xml:space="preserve">  Analysis: </w:t>
      </w:r>
      <w:r>
        <w:rPr>
          <w:color w:val="666666"/>
        </w:rPr>
        <w:t>Structural failure on complex technical terms. Specialized concepts often break under standard whitespace tokenization because they lack subword representations.</w:t>
      </w:r>
    </w:p>
    <w:p w14:paraId="25DB81C3" w14:textId="77777777" w:rsidR="00DE6E76" w:rsidRPr="003C5F2D" w:rsidRDefault="00000000">
      <w:pPr>
        <w:spacing w:before="240" w:after="80"/>
        <w:rPr>
          <w:rFonts w:ascii="American Typewriter" w:hAnsi="American Typewriter"/>
          <w:color w:val="00B050"/>
        </w:rPr>
      </w:pPr>
      <w:r w:rsidRPr="003C5F2D">
        <w:rPr>
          <w:rFonts w:ascii="American Typewriter" w:hAnsi="American Typewriter"/>
          <w:b/>
          <w:color w:val="00B050"/>
          <w:sz w:val="28"/>
        </w:rPr>
        <w:t>Quantitative Score Benchmark</w:t>
      </w:r>
    </w:p>
    <w:p w14:paraId="710DD4ED" w14:textId="77777777" w:rsidR="00DE6E76" w:rsidRDefault="00000000">
      <w:pPr>
        <w:spacing w:after="120"/>
      </w:pPr>
      <w:r>
        <w:t xml:space="preserve">Final Automated SacreBLEU Corpus Metric Score: </w:t>
      </w:r>
      <w:r>
        <w:rPr>
          <w:b/>
          <w:color w:val="4682B4"/>
        </w:rPr>
        <w:t>2.9817</w:t>
      </w:r>
    </w:p>
    <w:p w14:paraId="3AAE860E" w14:textId="386BF505" w:rsidR="00DE6E76" w:rsidRDefault="00000000">
      <w:pPr>
        <w:spacing w:after="120"/>
      </w:pPr>
      <w:r>
        <w:t xml:space="preserve">While a BLEU score under 5 indicates that the output does not yet match human references word-for-word, </w:t>
      </w:r>
      <w:r w:rsidR="003C5F2D">
        <w:t>the model we designed was not perfect but yet we tried that it matches the inputs slightly at least. We had to</w:t>
      </w:r>
      <w:r w:rsidR="000A4A20">
        <w:t xml:space="preserve"> study about BLEU a little bit to know about how it works.</w:t>
      </w:r>
    </w:p>
    <w:p w14:paraId="5B20577D" w14:textId="5D614852" w:rsidR="003C5F2D" w:rsidRDefault="003C5F2D">
      <w:pPr>
        <w:spacing w:after="120"/>
      </w:pPr>
      <w:r>
        <w:lastRenderedPageBreak/>
        <w:t xml:space="preserve">We also designed another model with a BLEU score of </w:t>
      </w:r>
      <w:r w:rsidRPr="003C5F2D">
        <w:rPr>
          <w:b/>
          <w:bCs/>
          <w:color w:val="0070C0"/>
        </w:rPr>
        <w:t>4.2723</w:t>
      </w:r>
      <w:r>
        <w:t xml:space="preserve"> but we couldn’t submit it due to some issues in the notebook.</w:t>
      </w:r>
    </w:p>
    <w:p w14:paraId="3EC133D7" w14:textId="393531EA" w:rsidR="00DE6E76" w:rsidRDefault="003C5F2D">
      <w:pPr>
        <w:spacing w:after="120"/>
        <w:ind w:left="360"/>
      </w:pPr>
      <w:r>
        <w:rPr>
          <w:noProof/>
        </w:rPr>
        <w:drawing>
          <wp:inline distT="0" distB="0" distL="0" distR="0" wp14:anchorId="48C8B453" wp14:editId="56BE35D3">
            <wp:extent cx="5125087" cy="3803088"/>
            <wp:effectExtent l="0" t="0" r="5715" b="0"/>
            <wp:docPr id="148352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25254" name="Picture 1483525254"/>
                    <pic:cNvPicPr/>
                  </pic:nvPicPr>
                  <pic:blipFill>
                    <a:blip r:embed="rId6"/>
                    <a:stretch>
                      <a:fillRect/>
                    </a:stretch>
                  </pic:blipFill>
                  <pic:spPr>
                    <a:xfrm>
                      <a:off x="0" y="0"/>
                      <a:ext cx="5144870" cy="3817768"/>
                    </a:xfrm>
                    <a:prstGeom prst="rect">
                      <a:avLst/>
                    </a:prstGeom>
                  </pic:spPr>
                </pic:pic>
              </a:graphicData>
            </a:graphic>
          </wp:inline>
        </w:drawing>
      </w:r>
    </w:p>
    <w:sectPr w:rsidR="00DE6E76"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CADEMY ENGRAVED LET PLAIN:1.0">
    <w:panose1 w:val="02000000000000000000"/>
    <w:charset w:val="00"/>
    <w:family w:val="auto"/>
    <w:pitch w:val="variable"/>
    <w:sig w:usb0="8000007F" w:usb1="4000000A" w:usb2="00000000" w:usb3="00000000" w:csb0="00000001" w:csb1="00000000"/>
  </w:font>
  <w:font w:name="American Typewriter">
    <w:panose1 w:val="02090604020004020304"/>
    <w:charset w:val="4D"/>
    <w:family w:val="roman"/>
    <w:pitch w:val="variable"/>
    <w:sig w:usb0="A000006F" w:usb1="00000019" w:usb2="00000000" w:usb3="00000000" w:csb0="0000011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4080297">
    <w:abstractNumId w:val="8"/>
  </w:num>
  <w:num w:numId="2" w16cid:durableId="1051612667">
    <w:abstractNumId w:val="6"/>
  </w:num>
  <w:num w:numId="3" w16cid:durableId="1417559545">
    <w:abstractNumId w:val="5"/>
  </w:num>
  <w:num w:numId="4" w16cid:durableId="756438740">
    <w:abstractNumId w:val="4"/>
  </w:num>
  <w:num w:numId="5" w16cid:durableId="809442042">
    <w:abstractNumId w:val="7"/>
  </w:num>
  <w:num w:numId="6" w16cid:durableId="1808816990">
    <w:abstractNumId w:val="3"/>
  </w:num>
  <w:num w:numId="7" w16cid:durableId="1416395864">
    <w:abstractNumId w:val="2"/>
  </w:num>
  <w:num w:numId="8" w16cid:durableId="509106647">
    <w:abstractNumId w:val="1"/>
  </w:num>
  <w:num w:numId="9" w16cid:durableId="1115639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4A20"/>
    <w:rsid w:val="00133F67"/>
    <w:rsid w:val="0015074B"/>
    <w:rsid w:val="0029639D"/>
    <w:rsid w:val="00326F90"/>
    <w:rsid w:val="003C5F2D"/>
    <w:rsid w:val="00A02B56"/>
    <w:rsid w:val="00AA1D8D"/>
    <w:rsid w:val="00B47730"/>
    <w:rsid w:val="00CB0664"/>
    <w:rsid w:val="00DE6E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91FF5D"/>
  <w14:defaultImageDpi w14:val="300"/>
  <w15:docId w15:val="{EFAE1E6A-C7B6-074C-9824-E04DB0CB6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1171</Words>
  <Characters>6675</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Rishav Raj</cp:lastModifiedBy>
  <cp:revision>2</cp:revision>
  <dcterms:created xsi:type="dcterms:W3CDTF">2026-05-28T15:29:00Z</dcterms:created>
  <dcterms:modified xsi:type="dcterms:W3CDTF">2026-05-28T15:29:00Z</dcterms:modified>
  <cp:category/>
</cp:coreProperties>
</file>