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2650" w14:textId="77777777" w:rsidR="00024E9B" w:rsidRPr="00DA63DD" w:rsidRDefault="00024E9B">
      <w:pPr>
        <w:spacing w:before="120" w:after="120"/>
      </w:pPr>
    </w:p>
    <w:p w14:paraId="4A761F30" w14:textId="77777777" w:rsidR="008C7EDE" w:rsidRDefault="008C7EDE">
      <w:pPr>
        <w:spacing w:after="120"/>
        <w:jc w:val="center"/>
        <w:rPr>
          <w:sz w:val="144"/>
          <w:szCs w:val="144"/>
        </w:rPr>
      </w:pPr>
    </w:p>
    <w:p w14:paraId="0788BCE2" w14:textId="645921E4" w:rsidR="00024E9B" w:rsidRPr="008C7EDE" w:rsidRDefault="00000000">
      <w:pPr>
        <w:spacing w:after="120"/>
        <w:jc w:val="center"/>
        <w:rPr>
          <w:sz w:val="144"/>
          <w:szCs w:val="144"/>
        </w:rPr>
      </w:pPr>
      <w:r w:rsidRPr="008C7EDE">
        <w:rPr>
          <w:sz w:val="144"/>
          <w:szCs w:val="144"/>
        </w:rPr>
        <w:t>AI in Human Resources &amp; Talent Management</w:t>
      </w:r>
    </w:p>
    <w:p w14:paraId="23C2DA35" w14:textId="77777777" w:rsidR="00024E9B" w:rsidRPr="00DA63DD" w:rsidRDefault="00024E9B">
      <w:pPr>
        <w:spacing w:before="120" w:after="120"/>
      </w:pPr>
    </w:p>
    <w:p w14:paraId="0539EE43" w14:textId="77777777" w:rsidR="00024E9B" w:rsidRPr="00DA63DD" w:rsidRDefault="00024E9B">
      <w:pPr>
        <w:spacing w:before="120" w:after="120"/>
      </w:pPr>
    </w:p>
    <w:p w14:paraId="1A762D00" w14:textId="77777777" w:rsidR="00024E9B" w:rsidRPr="00DA63DD" w:rsidRDefault="00024E9B">
      <w:pPr>
        <w:spacing w:before="120" w:after="120"/>
      </w:pPr>
    </w:p>
    <w:p w14:paraId="42A9165E" w14:textId="77777777" w:rsidR="00024E9B" w:rsidRPr="00DA63DD" w:rsidRDefault="00024E9B">
      <w:pPr>
        <w:spacing w:before="120" w:after="120"/>
      </w:pPr>
    </w:p>
    <w:p w14:paraId="6BCBE4EB" w14:textId="77777777" w:rsidR="00024E9B" w:rsidRPr="00DA63DD" w:rsidRDefault="00024E9B">
      <w:pPr>
        <w:spacing w:before="120" w:after="120"/>
      </w:pPr>
    </w:p>
    <w:p w14:paraId="081A043C" w14:textId="77777777" w:rsidR="00024E9B" w:rsidRPr="00DA63DD" w:rsidRDefault="00000000">
      <w:pPr>
        <w:spacing w:after="80"/>
      </w:pPr>
      <w:r w:rsidRPr="00DA63DD">
        <w:t>Submitted to: Mr. Chintan Patel</w:t>
      </w:r>
    </w:p>
    <w:p w14:paraId="692124D2" w14:textId="77777777" w:rsidR="00024E9B" w:rsidRPr="00DA63DD" w:rsidRDefault="00000000">
      <w:pPr>
        <w:spacing w:after="80"/>
      </w:pPr>
      <w:r w:rsidRPr="00DA63DD">
        <w:t>Submitted by: Utkrati Agrawal</w:t>
      </w:r>
    </w:p>
    <w:p w14:paraId="378E80E1" w14:textId="77777777" w:rsidR="00024E9B" w:rsidRPr="00DA63DD" w:rsidRDefault="00000000">
      <w:pPr>
        <w:spacing w:after="400"/>
      </w:pPr>
      <w:r w:rsidRPr="00DA63DD">
        <w:t>Enrollment No.: 20261037</w:t>
      </w:r>
    </w:p>
    <w:p w14:paraId="70F3037D" w14:textId="77777777" w:rsidR="00024E9B" w:rsidRPr="00DA63DD" w:rsidRDefault="00024E9B">
      <w:pPr>
        <w:spacing w:before="120" w:after="120"/>
      </w:pPr>
    </w:p>
    <w:p w14:paraId="4031D44F" w14:textId="77777777" w:rsidR="00DA63DD" w:rsidRDefault="00DA63DD">
      <w:pPr>
        <w:rPr>
          <w:kern w:val="36"/>
        </w:rPr>
      </w:pPr>
      <w:r>
        <w:rPr>
          <w:b/>
          <w:bCs/>
        </w:rPr>
        <w:br w:type="page"/>
      </w:r>
    </w:p>
    <w:p w14:paraId="35D9C4C0" w14:textId="1A977A0C" w:rsidR="00024E9B" w:rsidRPr="00DA63DD" w:rsidRDefault="00000000">
      <w:pPr>
        <w:pStyle w:val="Heading1"/>
        <w:keepNext w:val="0"/>
        <w:keepLines w:val="0"/>
        <w:spacing w:before="360" w:after="200"/>
        <w:rPr>
          <w:sz w:val="24"/>
          <w:szCs w:val="24"/>
        </w:rPr>
      </w:pPr>
      <w:r w:rsidRPr="00DA63DD">
        <w:rPr>
          <w:color w:val="auto"/>
          <w:sz w:val="24"/>
          <w:szCs w:val="24"/>
        </w:rPr>
        <w:lastRenderedPageBreak/>
        <w:t>1. Executive Summary</w:t>
      </w:r>
    </w:p>
    <w:p w14:paraId="7E5DDAC7" w14:textId="77777777" w:rsidR="00024E9B" w:rsidRPr="00DA63DD" w:rsidRDefault="00000000">
      <w:pPr>
        <w:spacing w:after="200"/>
      </w:pPr>
      <w:r w:rsidRPr="00DA63DD">
        <w:t>Basically, most large Indian IT companies end up selling their services to clients. Their revenue is derived from having the right engineers on the projects, retaining them long enough for them to become productive, and ensuring that their skills remain up to date as the clients' needs change. As the rate of staff turnover increases, recruitment becomes a disorganized process and training tends to be general in nature. The actual costs only become apparent later in the form of delayed deliveries, greater expenses when replacing employees, and poorer client relationships. This report aims to present a practical AI strategy in response to that particular situation. I have referred only to Infosys, Accenture and Naukri.com – not taken them as the main focus.</w:t>
      </w:r>
    </w:p>
    <w:p w14:paraId="719F0D1C" w14:textId="4834EE66" w:rsidR="00024E9B" w:rsidRPr="00DA63DD" w:rsidRDefault="00000000">
      <w:pPr>
        <w:spacing w:after="200"/>
      </w:pPr>
      <w:r w:rsidRPr="00DA63DD">
        <w:t xml:space="preserve">The idea I am putting forward is a “Talent Intelligence” </w:t>
      </w:r>
      <w:proofErr w:type="spellStart"/>
      <w:r w:rsidRPr="00DA63DD">
        <w:t>programme</w:t>
      </w:r>
      <w:proofErr w:type="spellEnd"/>
      <w:r w:rsidRPr="00DA63DD">
        <w:t xml:space="preserve"> consisting of three interconnected components: first, the use of fair and explainable AI in the recruitment process; second, an early-warning system for staff turnover that is tied to specific retention measures; and third, more personali</w:t>
      </w:r>
      <w:r w:rsidR="006019A2">
        <w:t>z</w:t>
      </w:r>
      <w:r w:rsidRPr="00DA63DD">
        <w:t>ed assistance with career development, learning and daily engagement. All three elements will be based on a single, well-governed people-data platform and will be introduced in three stages over a period of approximately 36 months.</w:t>
      </w:r>
    </w:p>
    <w:p w14:paraId="7DC6DF15" w14:textId="77777777" w:rsidR="00024E9B" w:rsidRPr="00DA63DD" w:rsidRDefault="00000000">
      <w:pPr>
        <w:spacing w:after="200"/>
      </w:pPr>
      <w:r w:rsidRPr="00DA63DD">
        <w:t>The business case that I set out in Appendix B indicates an ROI of approximately 226% over three years and a payback period of about 13 months, but I shouldn't place much trust in that figure. In practice, the final result will turn largely on whether the data is ready, whether the managers actually make use of the tools, and whether the responsible-AI checks are taken seriously rather than on how advanced the models are.</w:t>
      </w:r>
    </w:p>
    <w:p w14:paraId="516928D5" w14:textId="789AF249" w:rsidR="00024E9B" w:rsidRPr="00DA63DD" w:rsidRDefault="00000000">
      <w:pPr>
        <w:pStyle w:val="Heading1"/>
        <w:keepNext w:val="0"/>
        <w:keepLines w:val="0"/>
        <w:spacing w:before="360" w:after="200"/>
        <w:rPr>
          <w:sz w:val="24"/>
          <w:szCs w:val="24"/>
        </w:rPr>
      </w:pPr>
      <w:r w:rsidRPr="00DA63DD">
        <w:rPr>
          <w:color w:val="auto"/>
          <w:sz w:val="24"/>
          <w:szCs w:val="24"/>
        </w:rPr>
        <w:t>2. The HR Context in Indian IT</w:t>
      </w:r>
    </w:p>
    <w:p w14:paraId="4A504520" w14:textId="0AACCA67" w:rsidR="00024E9B" w:rsidRPr="00DA63DD" w:rsidRDefault="00000000">
      <w:pPr>
        <w:spacing w:after="120"/>
      </w:pPr>
      <w:r w:rsidRPr="00DA63DD">
        <w:t>The present problem is that, as Aon (2026) points out, attrition among India Inc reached 18% in 2026, which is an increase on the 16.2% recorded in 2025 and the 17.1% seen in 2024, thus reversing the gradual decline that had been occurring since 2023. Since IT services is a business that relies heavily on people, revenue is essentially equal to billable headcount multiplied by utili</w:t>
      </w:r>
      <w:r w:rsidR="006019A2">
        <w:t>z</w:t>
      </w:r>
      <w:r w:rsidRPr="00DA63DD">
        <w:t>ation. Each employee who leaves therefore results in recruitment costs, onboarding costs, lost productivity during the period of departure, a ramp-up period for the new person, and in many cases disruption to project delivery.</w:t>
      </w:r>
    </w:p>
    <w:p w14:paraId="0478BCFD" w14:textId="77777777" w:rsidR="00024E9B" w:rsidRPr="00DA63DD" w:rsidRDefault="00000000">
      <w:pPr>
        <w:spacing w:after="120"/>
      </w:pPr>
      <w:r w:rsidRPr="00DA63DD">
        <w:t>The amount of hiring involved. In the case of high-volume hiring—particularly with campus recruitment or entry-level positions—recruiters often receive between 3,000 and 8,000 resumes for a single vacancy. It would be impossible for a human team to go through that volume in a careful manner. Because of this, screening technology becomes an attractive option, although the quality of the technology is of real importance.</w:t>
      </w:r>
    </w:p>
    <w:p w14:paraId="26F6D9A7" w14:textId="2A08B0DE" w:rsidR="00024E9B" w:rsidRPr="00DA63DD" w:rsidRDefault="00000000">
      <w:pPr>
        <w:spacing w:after="120"/>
      </w:pPr>
      <w:r w:rsidRPr="00DA63DD">
        <w:t>Bottlenecks exist; standard resume screening methods based on keywords have obvious drawbacks. Such systems encourage applicants to fill their resumes with keywords, they fail to recogni</w:t>
      </w:r>
      <w:r w:rsidR="006019A2">
        <w:t>z</w:t>
      </w:r>
      <w:r w:rsidRPr="00DA63DD">
        <w:t xml:space="preserve">e skills that are equivalent but expressed in different terms, and capable candidates occasionally do get overlooked. Interviews are frequently inconsistent, thus allowing room for bias to creep in. Engagement surveys generally take place only once a year – that is far too late to take any action – and most training </w:t>
      </w:r>
      <w:proofErr w:type="spellStart"/>
      <w:r w:rsidRPr="00DA63DD">
        <w:t>programmes</w:t>
      </w:r>
      <w:proofErr w:type="spellEnd"/>
      <w:r w:rsidRPr="00DA63DD">
        <w:t xml:space="preserve"> remain one-size-fits-all.</w:t>
      </w:r>
    </w:p>
    <w:p w14:paraId="6708A7CB" w14:textId="77777777" w:rsidR="00024E9B" w:rsidRPr="00DA63DD" w:rsidRDefault="00000000">
      <w:pPr>
        <w:spacing w:after="120"/>
      </w:pPr>
      <w:r w:rsidRPr="00DA63DD">
        <w:t xml:space="preserve">The way I carry out my analysis is to use a simple three-column note format (see Appendix E): the Industry Challenge and Context, the AI Strategy and Mechanism, and my Analysis and Recommendations. I made sure that my own thoughts accounted for about half of the report. The actual </w:t>
      </w:r>
      <w:r w:rsidRPr="00DA63DD">
        <w:lastRenderedPageBreak/>
        <w:t>strategy—that is, what to build and why—is set out in Sections 3 to 5, while the execution plan (including how, when, who, and the order in which it will be carried out) is given in Sections 6 to 10.</w:t>
      </w:r>
    </w:p>
    <w:p w14:paraId="521A0590" w14:textId="77777777" w:rsidR="00024E9B" w:rsidRPr="00DA63DD" w:rsidRDefault="00000000">
      <w:pPr>
        <w:spacing w:after="80"/>
      </w:pPr>
      <w:r w:rsidRPr="00DA63DD">
        <w:t>Measurable objectives:</w:t>
      </w:r>
    </w:p>
    <w:p w14:paraId="4B5457F4" w14:textId="77777777" w:rsidR="00024E9B" w:rsidRPr="00DA63DD" w:rsidRDefault="00000000">
      <w:pPr>
        <w:numPr>
          <w:ilvl w:val="0"/>
          <w:numId w:val="1"/>
        </w:numPr>
        <w:tabs>
          <w:tab w:val="left" w:pos="360"/>
        </w:tabs>
        <w:spacing w:before="240" w:after="120"/>
        <w:ind w:hanging="242"/>
      </w:pPr>
      <w:r w:rsidRPr="00DA63DD">
        <w:t>Retention: cut voluntary attrition by two percentage points within 36 months, beginning with the groups of employees who have critical skills and are high performers.</w:t>
      </w:r>
    </w:p>
    <w:p w14:paraId="7DBF0208" w14:textId="77777777" w:rsidR="00024E9B" w:rsidRPr="00DA63DD" w:rsidRDefault="00000000">
      <w:pPr>
        <w:numPr>
          <w:ilvl w:val="0"/>
          <w:numId w:val="1"/>
        </w:numPr>
        <w:tabs>
          <w:tab w:val="left" w:pos="360"/>
        </w:tabs>
        <w:spacing w:before="120" w:after="120"/>
        <w:ind w:hanging="242"/>
      </w:pPr>
      <w:r w:rsidRPr="00DA63DD">
        <w:t>Recruitment: reduce the time it takes to make a hire by 30 per cent and at the same time improve the quality of the hires over the 12-month period (as measured by the performance ratings and the retention of new employees).</w:t>
      </w:r>
    </w:p>
    <w:p w14:paraId="23BDD74E" w14:textId="77777777" w:rsidR="00024E9B" w:rsidRPr="00DA63DD" w:rsidRDefault="00000000">
      <w:pPr>
        <w:numPr>
          <w:ilvl w:val="0"/>
          <w:numId w:val="1"/>
        </w:numPr>
        <w:tabs>
          <w:tab w:val="left" w:pos="360"/>
        </w:tabs>
        <w:spacing w:before="120" w:after="120"/>
        <w:ind w:hanging="242"/>
      </w:pPr>
      <w:r w:rsidRPr="00DA63DD">
        <w:t>Improve the internal fill rate for open positions and enhance the engagement scores as measured by the pulse surveys.</w:t>
      </w:r>
    </w:p>
    <w:p w14:paraId="44F9A27A" w14:textId="77777777" w:rsidR="00024E9B" w:rsidRPr="00DA63DD" w:rsidRDefault="00000000">
      <w:pPr>
        <w:numPr>
          <w:ilvl w:val="0"/>
          <w:numId w:val="1"/>
        </w:numPr>
        <w:tabs>
          <w:tab w:val="left" w:pos="360"/>
        </w:tabs>
        <w:spacing w:before="120" w:after="240"/>
        <w:ind w:hanging="242"/>
      </w:pPr>
      <w:r w:rsidRPr="00DA63DD">
        <w:t>Regarding fairness and compliance, there must be no adverse automated decisions made without explanation, and each model must undergo bias audits both before and after it is launched.</w:t>
      </w:r>
    </w:p>
    <w:p w14:paraId="37DB05AD" w14:textId="01672EA7" w:rsidR="00024E9B" w:rsidRPr="00DA63DD" w:rsidRDefault="00000000">
      <w:pPr>
        <w:pStyle w:val="Heading1"/>
        <w:keepNext w:val="0"/>
        <w:keepLines w:val="0"/>
        <w:spacing w:before="360" w:after="200"/>
        <w:rPr>
          <w:sz w:val="24"/>
          <w:szCs w:val="24"/>
        </w:rPr>
      </w:pPr>
      <w:r w:rsidRPr="00DA63DD">
        <w:rPr>
          <w:color w:val="auto"/>
          <w:sz w:val="24"/>
          <w:szCs w:val="24"/>
        </w:rPr>
        <w:t>3. Reference Cases: Lessons from Similar Organi</w:t>
      </w:r>
      <w:r w:rsidR="006019A2">
        <w:rPr>
          <w:color w:val="auto"/>
          <w:sz w:val="24"/>
          <w:szCs w:val="24"/>
        </w:rPr>
        <w:t>z</w:t>
      </w:r>
      <w:r w:rsidRPr="00DA63DD">
        <w:rPr>
          <w:color w:val="auto"/>
          <w:sz w:val="24"/>
          <w:szCs w:val="24"/>
        </w:rPr>
        <w:t>ations</w:t>
      </w:r>
    </w:p>
    <w:p w14:paraId="68759224" w14:textId="7B62ADD8" w:rsidR="00024E9B" w:rsidRPr="00DA63DD" w:rsidRDefault="00000000">
      <w:pPr>
        <w:spacing w:after="200"/>
      </w:pPr>
      <w:r w:rsidRPr="00DA63DD">
        <w:t>The report focuses on the problem rather than on any particular company; for that reason, I have chosen only three organi</w:t>
      </w:r>
      <w:r w:rsidR="006019A2">
        <w:t>z</w:t>
      </w:r>
      <w:r w:rsidRPr="00DA63DD">
        <w:t>ations to serve as examples. The figures are based on information that has been made publicly available and must therefore be regarded as approximate rather than precise. A brief comparison table is included in Appendix A.</w:t>
      </w:r>
    </w:p>
    <w:p w14:paraId="0174562F" w14:textId="77777777" w:rsidR="00024E9B" w:rsidRPr="00DA63DD" w:rsidRDefault="00000000">
      <w:pPr>
        <w:spacing w:after="120"/>
      </w:pPr>
      <w:r w:rsidRPr="00DA63DD">
        <w:t>Infosys (India): in 2023 Infosys introduced Infosys Topaz as a range of AI-focused services. By mid-2023 its free digital-learning platform, Infosys Springboard, had reached 5.5 million registered users and was providing AI certification courses which were designed by their own experts (Infosys, 2023). The key point that I draw from this is that it is possible to deliver learning material on a large scale through a single platform. Within a company, though, the same concept will function only as a tool for retaining employees if the learning is directly connected to real projects and actual career advancements – not just available as a large collection of courses.</w:t>
      </w:r>
    </w:p>
    <w:p w14:paraId="671AFA26" w14:textId="77777777" w:rsidR="00024E9B" w:rsidRPr="00DA63DD" w:rsidRDefault="00000000">
      <w:pPr>
        <w:spacing w:after="120"/>
      </w:pPr>
      <w:r w:rsidRPr="00DA63DD">
        <w:t>Accenture (Global). In June 2023 Accenture announced an investment of US$3 billion over a three-year period in its Data &amp; AI practice, with a view to doubling its number of AI professionals to 80,000 through hiring, acquisitions and training (Accenture, 2023). The implication for me is that talent must be treated as a portfolio of skills that align with client demand; and this can only be achieved if there is a reliable skills inventory – which is the reason why a skills graph is at the heart of the design I am suggesting.</w:t>
      </w:r>
    </w:p>
    <w:p w14:paraId="10FB830A" w14:textId="77777777" w:rsidR="00024E9B" w:rsidRPr="00DA63DD" w:rsidRDefault="00000000">
      <w:pPr>
        <w:spacing w:after="200"/>
      </w:pPr>
      <w:r w:rsidRPr="00DA63DD">
        <w:t xml:space="preserve">Naukri.com (India): the website, which is operated by Info Edge, is designed around matching candidates and recruiters on a large scale; it also releases the </w:t>
      </w:r>
      <w:proofErr w:type="spellStart"/>
      <w:r w:rsidRPr="00DA63DD">
        <w:t>JobSpeak</w:t>
      </w:r>
      <w:proofErr w:type="spellEnd"/>
      <w:r w:rsidRPr="00DA63DD">
        <w:t xml:space="preserve"> index, a monthly measure of white-collar hiring that is derived from job postings and recruiter searches (Info Edge, 2024 and onwards into 2026). The obvious takeaway is that technology for matching and for providing market data already functions effectively. This same approach could be used within a company to match candidates to job positions and employees to internal opportunities. Moreover, market data can be used to benchmark the demand for skills and pay levels, which then contributes to attrition analysis.</w:t>
      </w:r>
    </w:p>
    <w:p w14:paraId="1BDEBF8C" w14:textId="77777777" w:rsidR="00024E9B" w:rsidRPr="00DA63DD" w:rsidRDefault="00000000">
      <w:pPr>
        <w:pStyle w:val="Heading1"/>
        <w:keepNext w:val="0"/>
        <w:keepLines w:val="0"/>
        <w:spacing w:before="360" w:after="200"/>
        <w:rPr>
          <w:sz w:val="24"/>
          <w:szCs w:val="24"/>
        </w:rPr>
      </w:pPr>
      <w:r w:rsidRPr="00DA63DD">
        <w:rPr>
          <w:color w:val="auto"/>
          <w:sz w:val="24"/>
          <w:szCs w:val="24"/>
        </w:rPr>
        <w:t>4. Proposed AI Strategy</w:t>
      </w:r>
    </w:p>
    <w:p w14:paraId="4B671814" w14:textId="77777777" w:rsidR="00024E9B" w:rsidRPr="00DA63DD" w:rsidRDefault="00000000">
      <w:pPr>
        <w:pStyle w:val="Heading2"/>
        <w:keepNext w:val="0"/>
        <w:keepLines w:val="0"/>
        <w:spacing w:before="280" w:after="160"/>
        <w:rPr>
          <w:b w:val="0"/>
          <w:bCs w:val="0"/>
          <w:sz w:val="24"/>
          <w:szCs w:val="24"/>
        </w:rPr>
      </w:pPr>
      <w:r w:rsidRPr="00DA63DD">
        <w:rPr>
          <w:b w:val="0"/>
          <w:bCs w:val="0"/>
          <w:color w:val="auto"/>
          <w:sz w:val="24"/>
          <w:szCs w:val="24"/>
        </w:rPr>
        <w:t>4.1 Unbiased recruitment</w:t>
      </w:r>
    </w:p>
    <w:p w14:paraId="4D139646" w14:textId="40B2A25D" w:rsidR="00024E9B" w:rsidRPr="00DA63DD" w:rsidRDefault="00000000">
      <w:pPr>
        <w:spacing w:after="120"/>
      </w:pPr>
      <w:r w:rsidRPr="00DA63DD">
        <w:lastRenderedPageBreak/>
        <w:t>The recruitment process is intended to assist with making decisions, not to take their place. It does not include automated rejection as one of its features. There are five practical stages: first, examining the job advertisement to identify any language that could exclude people and to define the position in terms of the required skills; second, parsing the resumes on the basis of a common skills classification so that experience which is equivalent can be recogni</w:t>
      </w:r>
      <w:r w:rsidR="006019A2">
        <w:t>z</w:t>
      </w:r>
      <w:r w:rsidRPr="00DA63DD">
        <w:t>ed even if the wording differs; third, the use of structured and scored screening and interview evaluation criteria; fourth, shortlists that are ranked and include the reasons for the ranking; and fifth, a human recruiter who is responsible for making each final decision.</w:t>
      </w:r>
    </w:p>
    <w:p w14:paraId="0378E190" w14:textId="77777777" w:rsidR="00024E9B" w:rsidRPr="00DA63DD" w:rsidRDefault="00000000">
      <w:pPr>
        <w:spacing w:after="200"/>
      </w:pPr>
      <w:r w:rsidRPr="00DA63DD">
        <w:t>Bias control must be incorporated right from the beginning. In the model inputs, names, photos, gender, age, religion, caste, location proxies such as pin codes, and weak indicators such as the tier of an institution or gaps in a person's career are excluded. The shortlists are evaluated using the adverse impact ratio (also known as the four-fifths rule) and equal-opportunity gaps. For counterfactual tests, only one protected attribute is changed at a time to check whether the score changes. The well-known example of Amazon remains the most important lesson in this area – their experimental tool was withdrawn because it had learned from previous hiring patterns which had been male-dominated and thus began to downgrade resumes submitted by women (Dastin, 2018). Models should be trained using actual performance and retention data after hire, not on past hiring decisions, and they also need to be audited after being launched.</w:t>
      </w:r>
    </w:p>
    <w:p w14:paraId="4F71F487" w14:textId="77777777" w:rsidR="00024E9B" w:rsidRPr="00DA63DD" w:rsidRDefault="00000000">
      <w:pPr>
        <w:pStyle w:val="Heading2"/>
        <w:keepNext w:val="0"/>
        <w:keepLines w:val="0"/>
        <w:spacing w:before="280" w:after="160"/>
        <w:rPr>
          <w:b w:val="0"/>
          <w:bCs w:val="0"/>
          <w:sz w:val="24"/>
          <w:szCs w:val="24"/>
        </w:rPr>
      </w:pPr>
      <w:r w:rsidRPr="00DA63DD">
        <w:rPr>
          <w:b w:val="0"/>
          <w:bCs w:val="0"/>
          <w:color w:val="auto"/>
          <w:sz w:val="24"/>
          <w:szCs w:val="24"/>
        </w:rPr>
        <w:t>4.2 Attrition prediction</w:t>
      </w:r>
    </w:p>
    <w:p w14:paraId="61BEC71E" w14:textId="77777777" w:rsidR="00024E9B" w:rsidRPr="00DA63DD" w:rsidRDefault="00000000">
      <w:pPr>
        <w:spacing w:after="120"/>
      </w:pPr>
      <w:r w:rsidRPr="00DA63DD">
        <w:t>The attrition model is designed to calculate the probability that an employee or a group of employees will resign voluntarily in the following six months. I would begin by using an interpretable baseline method like logistic regression and then compare it with gradient-boosted trees. The inputs consist of tenure, the length of time since the last promotion, the employee's pay level within their pay band, changes in manager, history of internal mobility, project allocation and bench time, participation in learning activities, and engagement-survey scores. Protected attributes are not included. The results are first applied at the team and cohort levels, while individual-level scores are provided only to HR business partners who have been trained.</w:t>
      </w:r>
    </w:p>
    <w:p w14:paraId="6EE9AF33" w14:textId="77777777" w:rsidR="00024E9B" w:rsidRPr="00DA63DD" w:rsidRDefault="00000000">
      <w:pPr>
        <w:spacing w:after="200"/>
      </w:pPr>
      <w:r w:rsidRPr="00DA63DD">
        <w:t>There are two design considerations. The first is that the model should be evaluated in terms of precision and recall among the high-risk group and in relation to the actual retention achieved – not on the basis of overall accuracy. Since resignations are relatively uncommon, a model which simply predicts that 'no one will leave' may appear to have a high level of accuracy while in fact being entirely useless. The second point is that with each prediction the main reasons behind it (SHAP explanations; Lundberg &amp; Lee, 2017) should be provided so that managers will be in a position to take action. There should be a practical retention strategy associated with each risk category – for instance a conversation to encourage the employee to stay, a pay review, a change of role or assigning a mentor. The results of the predictions are never used for punitive purposes, such as refusing to grant a promotion or choosing employees for layoffs. Model drift should be checked every quarter.</w:t>
      </w:r>
    </w:p>
    <w:p w14:paraId="15F3278C" w14:textId="335C0208" w:rsidR="00024E9B" w:rsidRPr="00DA63DD" w:rsidRDefault="00000000">
      <w:pPr>
        <w:pStyle w:val="Heading2"/>
        <w:keepNext w:val="0"/>
        <w:keepLines w:val="0"/>
        <w:spacing w:before="280" w:after="160"/>
        <w:rPr>
          <w:b w:val="0"/>
          <w:bCs w:val="0"/>
          <w:sz w:val="24"/>
          <w:szCs w:val="24"/>
        </w:rPr>
      </w:pPr>
      <w:r w:rsidRPr="00DA63DD">
        <w:rPr>
          <w:b w:val="0"/>
          <w:bCs w:val="0"/>
          <w:color w:val="auto"/>
          <w:sz w:val="24"/>
          <w:szCs w:val="24"/>
        </w:rPr>
        <w:t>4.3 Personali</w:t>
      </w:r>
      <w:r w:rsidR="006019A2">
        <w:rPr>
          <w:b w:val="0"/>
          <w:bCs w:val="0"/>
          <w:color w:val="auto"/>
          <w:sz w:val="24"/>
          <w:szCs w:val="24"/>
        </w:rPr>
        <w:t>z</w:t>
      </w:r>
      <w:r w:rsidRPr="00DA63DD">
        <w:rPr>
          <w:b w:val="0"/>
          <w:bCs w:val="0"/>
          <w:color w:val="auto"/>
          <w:sz w:val="24"/>
          <w:szCs w:val="24"/>
        </w:rPr>
        <w:t>ed development and engagement</w:t>
      </w:r>
    </w:p>
    <w:p w14:paraId="2C40EE9E" w14:textId="55340B68" w:rsidR="00024E9B" w:rsidRPr="00DA63DD" w:rsidRDefault="00000000">
      <w:pPr>
        <w:spacing w:after="200"/>
      </w:pPr>
      <w:r w:rsidRPr="00DA63DD">
        <w:t>It creates for each employee a profile of the skills they have, based on the projects they've been involved in, the certifications they hold and their record of ongoing learning. On this basis, a recommendation system can propose learning routes, internal projects ('gigs') and changes in role. This results in the establishment of a sort of internal talent market which should increase the rate at which positions are filled within the company and provide employees with a better incentive to remain. A generative AI career assistant is used to help employees get ready for discussions about their careers. Natural-language processing is employed to summari</w:t>
      </w:r>
      <w:r w:rsidR="006019A2">
        <w:t>z</w:t>
      </w:r>
      <w:r w:rsidRPr="00DA63DD">
        <w:t xml:space="preserve">e the free-text comments from the pulse surveys, in an anonymous </w:t>
      </w:r>
      <w:r w:rsidRPr="00DA63DD">
        <w:lastRenderedPageBreak/>
        <w:t>and aggregated way, with a minimum group size (for example, ten employees) to ensure that no individual can be identified. Throughout all this, the role of AI is to improve the judgement of both managers and employees – not to replace it.</w:t>
      </w:r>
    </w:p>
    <w:p w14:paraId="520EE52F" w14:textId="77777777" w:rsidR="00024E9B" w:rsidRPr="00DA63DD" w:rsidRDefault="00000000">
      <w:pPr>
        <w:pStyle w:val="Heading2"/>
        <w:keepNext w:val="0"/>
        <w:keepLines w:val="0"/>
        <w:spacing w:before="280" w:after="160"/>
        <w:rPr>
          <w:b w:val="0"/>
          <w:bCs w:val="0"/>
          <w:sz w:val="24"/>
          <w:szCs w:val="24"/>
        </w:rPr>
      </w:pPr>
      <w:r w:rsidRPr="00DA63DD">
        <w:rPr>
          <w:b w:val="0"/>
          <w:bCs w:val="0"/>
          <w:color w:val="auto"/>
          <w:sz w:val="24"/>
          <w:szCs w:val="24"/>
        </w:rPr>
        <w:t>4.4 Technology foundation and emerging trends</w:t>
      </w:r>
    </w:p>
    <w:p w14:paraId="207B2859" w14:textId="77777777" w:rsidR="00024E9B" w:rsidRPr="00DA63DD" w:rsidRDefault="00000000">
      <w:pPr>
        <w:spacing w:after="200"/>
      </w:pPr>
      <w:r w:rsidRPr="00DA63DD">
        <w:t>There is a single people-data platform which links the applicant tracking system, the HR system, the learning platform, and the performance and survey data, including role-based access, a feature store and ML operations tooling. Agentic AI is used to assist the recruiting and onboarding coordinators, with human approval checkpoints. For routine HR tasks, smaller language models and AI deployed directly on devices are preferred since this reduces costs and ensures that sensitive data remains local. The principle of sustainable AI is to use models of the appropriate size rather than always choosing the largest one.</w:t>
      </w:r>
    </w:p>
    <w:p w14:paraId="2FC7A3DE" w14:textId="77777777" w:rsidR="00024E9B" w:rsidRPr="00DA63DD" w:rsidRDefault="00000000">
      <w:pPr>
        <w:pStyle w:val="Heading1"/>
        <w:keepNext w:val="0"/>
        <w:keepLines w:val="0"/>
        <w:spacing w:before="360" w:after="200"/>
        <w:rPr>
          <w:sz w:val="24"/>
          <w:szCs w:val="24"/>
        </w:rPr>
      </w:pPr>
      <w:r w:rsidRPr="00DA63DD">
        <w:rPr>
          <w:color w:val="auto"/>
          <w:sz w:val="24"/>
          <w:szCs w:val="24"/>
        </w:rPr>
        <w:t>5. AI Readiness Assessment</w:t>
      </w:r>
    </w:p>
    <w:p w14:paraId="18E644B5" w14:textId="3709A651" w:rsidR="00024E9B" w:rsidRPr="00DA63DD" w:rsidRDefault="00000000">
      <w:pPr>
        <w:spacing w:after="200"/>
      </w:pPr>
      <w:r w:rsidRPr="00DA63DD">
        <w:t>It is necessary to carefully examine three aspects of readiness before starting any work. Regarding data readiness, HR data is generally spread out among various systems, skills are recorded in an inconsistent manner, exit reasons are not well captured and resignation events are relatively infrequent. As for talent readiness, while an IT company usually has a large number of engineers it typically has too few people-analytics specialists and responsible-AI practitioners. Concerning process readiness, interviews, exit interviews and decisions regarding promotion must be clearly defined and properly documented so that they can be supported by AI. In reality most organi</w:t>
      </w:r>
      <w:r w:rsidR="006019A2">
        <w:t>z</w:t>
      </w:r>
      <w:r w:rsidRPr="00DA63DD">
        <w:t>ations tend to overestimate their level of readiness; it is mostly the data pipelines rather than the models that lead to scaling failures. My current assumption is that the company is still at the "developing" level of maturity in both data and process – of course this would have to be verified – and I would suggest carrying out an eight-week readiness sprint (see Appendix D) prior to making any major investment.</w:t>
      </w:r>
    </w:p>
    <w:p w14:paraId="54E68B0D" w14:textId="77777777" w:rsidR="00024E9B" w:rsidRPr="00DA63DD" w:rsidRDefault="00000000">
      <w:pPr>
        <w:pStyle w:val="Heading1"/>
        <w:keepNext w:val="0"/>
        <w:keepLines w:val="0"/>
        <w:spacing w:before="360" w:after="200"/>
        <w:rPr>
          <w:sz w:val="24"/>
          <w:szCs w:val="24"/>
        </w:rPr>
      </w:pPr>
      <w:r w:rsidRPr="00DA63DD">
        <w:rPr>
          <w:color w:val="auto"/>
          <w:sz w:val="24"/>
          <w:szCs w:val="24"/>
        </w:rPr>
        <w:t>6. Implementation Roadmap</w:t>
      </w:r>
    </w:p>
    <w:p w14:paraId="2B714D83" w14:textId="77777777" w:rsidR="00024E9B" w:rsidRPr="00DA63DD" w:rsidRDefault="00000000">
      <w:pPr>
        <w:spacing w:after="120"/>
      </w:pPr>
      <w:r w:rsidRPr="00DA63DD">
        <w:t>Horizon 1 – Quick wins (0–6 months). The main thing to do is to establish some trust through tangible results. Begin with the readiness sprint and agree upon a common skills taxonomy. Then carry out AI-assisted screening in one business unit (including a proper bias audit), introduce aggregated engagement analytics, and make available an attrition dashboard for two units. Responsible parties: the CHRO (as sponsor) and the Head of People Analytics. The metrics to achieve are a 30% reduction in screening time, the audit having been passed, and at least 80% of HR business partners using the dashboard.</w:t>
      </w:r>
    </w:p>
    <w:p w14:paraId="34B7619F" w14:textId="7CC150F5" w:rsidR="00024E9B" w:rsidRPr="00DA63DD" w:rsidRDefault="00000000">
      <w:pPr>
        <w:spacing w:after="120"/>
      </w:pPr>
      <w:r w:rsidRPr="00DA63DD">
        <w:t>Horizon 2 – Core transformation (6 to 18 months): deploy on a large scale, extend hiring support to all units, put the attrition models into production along with continuous monitoring, launch the internal talent marketplace and the personali</w:t>
      </w:r>
      <w:r w:rsidR="006019A2">
        <w:t>z</w:t>
      </w:r>
      <w:r w:rsidRPr="00DA63DD">
        <w:t>ed learning paths, and introduce the agentic recruiting coordinator. Responsible party: People Analytics together with the CTO/IT. The metrics to track are attrition reduction in the pilot cohorts, the internal fill rate, and quality of hire.</w:t>
      </w:r>
    </w:p>
    <w:p w14:paraId="7A28F217" w14:textId="77777777" w:rsidR="00024E9B" w:rsidRPr="00DA63DD" w:rsidRDefault="00000000">
      <w:pPr>
        <w:spacing w:after="200"/>
      </w:pPr>
      <w:r w:rsidRPr="00DA63DD">
        <w:t xml:space="preserve">In the Horizon 3 phase – that spanning from 18 to 36 months – focus on achieving strategic differentiation by developing a proprietary skills graph which connects the available workforce with the anticipated demand for skills from clients, carry out workforce planning simulations and refine the governance structure through external audit. The company might also provide its clients with these capabilities as a service. Responsible owner: the Executive committee. The metrics to track are sustained </w:t>
      </w:r>
      <w:r w:rsidRPr="00DA63DD">
        <w:lastRenderedPageBreak/>
        <w:t>reduction in attrition, lower hiring costs due to the smaller skill gap, and readiness for audit and regulatory requirements.</w:t>
      </w:r>
    </w:p>
    <w:p w14:paraId="0FDC5AB0" w14:textId="77777777" w:rsidR="00024E9B" w:rsidRPr="00DA63DD" w:rsidRDefault="00000000">
      <w:pPr>
        <w:pStyle w:val="Heading1"/>
        <w:keepNext w:val="0"/>
        <w:keepLines w:val="0"/>
        <w:spacing w:before="360" w:after="200"/>
        <w:rPr>
          <w:sz w:val="24"/>
          <w:szCs w:val="24"/>
        </w:rPr>
      </w:pPr>
      <w:r w:rsidRPr="00DA63DD">
        <w:rPr>
          <w:color w:val="auto"/>
          <w:sz w:val="24"/>
          <w:szCs w:val="24"/>
        </w:rPr>
        <w:t>7. Stakeholder and Change Management</w:t>
      </w:r>
    </w:p>
    <w:p w14:paraId="138FCF02" w14:textId="0A13BA29" w:rsidR="00024E9B" w:rsidRPr="00DA63DD" w:rsidRDefault="00000000">
      <w:pPr>
        <w:spacing w:after="120"/>
      </w:pPr>
      <w:r w:rsidRPr="00DA63DD">
        <w:t>Five stakeholder groups are important. The Board and the CEO expect a return on investment and risk control — the plan provides them with a clear ROI figure and a risk dashboard. The CFO is concerned about payback and budget control — this is achieved through stage-gated funding. The CTO and the IT department are interested in integration and feasibility — the plan includes shared platform standards and security reviews. Middle managers are concerned about their workload and the relevance of the tools; it is they who decide whether or not the tools will be used. The attrition insights and the playbooks have to be incorporated into their daily workflow, training is necessary, and adoption must be included in their goals. Frontline employees are worried about being watched over and about their job security — the plan makes clear what data will be used, ensures that personali</w:t>
      </w:r>
      <w:r w:rsidR="006019A2">
        <w:t>z</w:t>
      </w:r>
      <w:r w:rsidRPr="00DA63DD">
        <w:t>ation is optional, and explicitly states that AI will not be involved in the process of dismissing employees. Legal and the Data Protection Officer require early review.</w:t>
      </w:r>
    </w:p>
    <w:p w14:paraId="0F0534A1" w14:textId="77777777" w:rsidR="00024E9B" w:rsidRPr="00DA63DD" w:rsidRDefault="00000000">
      <w:pPr>
        <w:spacing w:after="200"/>
      </w:pPr>
      <w:r w:rsidRPr="00DA63DD">
        <w:t>The changes are based on Kotter’s eight steps: first, generate a sense of urgency by using figures on attrition and cost; then, form a coalition involving the CHRO, the CTO and the business leaders; develop a vision that says "AI will help managers retain and develop talent"; keep communicating repeatedly; eliminate obstacles such as delays in accessing data; achieve short-term successes in Horizon 1; maintain momentum; and finally embed the practice within cultural and performance objectives. It is essential to have respected AI champions (that is, experienced HR business partners and delivery managers). Recruiters should be reskilled as talent advisors so that they can interpret the output of the AI and deal with candidates personally.</w:t>
      </w:r>
    </w:p>
    <w:p w14:paraId="55C0C11B" w14:textId="77777777" w:rsidR="00024E9B" w:rsidRPr="00DA63DD" w:rsidRDefault="00000000">
      <w:pPr>
        <w:pStyle w:val="Heading1"/>
        <w:keepNext w:val="0"/>
        <w:keepLines w:val="0"/>
        <w:spacing w:before="360" w:after="200"/>
        <w:rPr>
          <w:sz w:val="24"/>
          <w:szCs w:val="24"/>
        </w:rPr>
      </w:pPr>
      <w:r w:rsidRPr="00DA63DD">
        <w:rPr>
          <w:color w:val="auto"/>
          <w:sz w:val="24"/>
          <w:szCs w:val="24"/>
        </w:rPr>
        <w:t>8. ROI and Business Case</w:t>
      </w:r>
    </w:p>
    <w:p w14:paraId="5EBD009F" w14:textId="77777777" w:rsidR="00024E9B" w:rsidRPr="00DA63DD" w:rsidRDefault="00000000">
      <w:pPr>
        <w:spacing w:after="120"/>
      </w:pPr>
      <w:r w:rsidRPr="00DA63DD">
        <w:t>The ROI is equal to (Benefit minus Cost) divided by Cost and then multiplied by 100; hard ROI mainly comprises the avoided replacement cost and recruiter productivity, soft ROI includes the time saved by the manager, faster decisions and a better candidate experience, and strategic ROI involves a stronger employer brand, proprietary talent data and regulatory readiness.</w:t>
      </w:r>
    </w:p>
    <w:p w14:paraId="13CDCF79" w14:textId="77777777" w:rsidR="00024E9B" w:rsidRPr="00DA63DD" w:rsidRDefault="00000000">
      <w:pPr>
        <w:spacing w:after="200"/>
      </w:pPr>
      <w:r w:rsidRPr="00DA63DD">
        <w:t xml:space="preserve">The example model presented in Appendix B is based on a company with 2,00,000 employees, 14% voluntary attrition (this being a conservative figure below the 18% average for India Inc), and a replacement cost of ₹3.2 lakh per employee who leaves (this being approximately 40% of the assumed average annual CTC of ₹8 lakh). This results in a baseline figure of 28,000 employee exits at a yearly cost of about ₹896 crore. Reducing attrition by two percentage points at full run-rate would prevent about 4,000 exits, amounting to roughly ₹128 crore in annual savings. With improvements in recruitment efficiency, the total hard benefits over three years amount to about ₹293 crore compared to </w:t>
      </w:r>
      <w:proofErr w:type="spellStart"/>
      <w:r w:rsidRPr="00DA63DD">
        <w:t>programme</w:t>
      </w:r>
      <w:proofErr w:type="spellEnd"/>
      <w:r w:rsidRPr="00DA63DD">
        <w:t xml:space="preserve"> costs of ₹90 crore, giving an ROI of about 226% and a payback period of about 13 months. These figures are purely assumed for illustrative purposes and must be substituted with the company’s own data before any actual decision is made.</w:t>
      </w:r>
    </w:p>
    <w:p w14:paraId="599D0429" w14:textId="77777777" w:rsidR="00024E9B" w:rsidRPr="00DA63DD" w:rsidRDefault="00000000">
      <w:pPr>
        <w:pStyle w:val="Heading1"/>
        <w:keepNext w:val="0"/>
        <w:keepLines w:val="0"/>
        <w:spacing w:before="360" w:after="200"/>
        <w:rPr>
          <w:sz w:val="24"/>
          <w:szCs w:val="24"/>
        </w:rPr>
      </w:pPr>
      <w:r w:rsidRPr="00DA63DD">
        <w:rPr>
          <w:color w:val="auto"/>
          <w:sz w:val="24"/>
          <w:szCs w:val="24"/>
        </w:rPr>
        <w:t>9. Responsible AI, Governance and Risk</w:t>
      </w:r>
    </w:p>
    <w:p w14:paraId="77B5835D" w14:textId="26D17ADC" w:rsidR="00024E9B" w:rsidRPr="00DA63DD" w:rsidRDefault="00000000">
      <w:pPr>
        <w:spacing w:after="120"/>
      </w:pPr>
      <w:r w:rsidRPr="00DA63DD">
        <w:t xml:space="preserve">Since HR decisions have an impact on people's livelihoods, it is necessary to incorporate responsible AI as a design requirement. The principles followed are fairness (this includes carrying out bias audits and excluding certain attributes), transparency (the reasons for each score are made clear), accountability </w:t>
      </w:r>
      <w:r w:rsidRPr="00DA63DD">
        <w:lastRenderedPageBreak/>
        <w:t>(each model has a named business owner), privacy (data minimi</w:t>
      </w:r>
      <w:r w:rsidR="006019A2">
        <w:t>z</w:t>
      </w:r>
      <w:r w:rsidRPr="00DA63DD">
        <w:t>ation and limitations on purpose are observed), safety (predictions are not used in a punitive way), human oversight (humans make the decisions regarding hiring, promotion and exit) and sustainability (using models of the appropriate size).</w:t>
      </w:r>
    </w:p>
    <w:p w14:paraId="097D8B43" w14:textId="77777777" w:rsidR="00024E9B" w:rsidRPr="00DA63DD" w:rsidRDefault="00000000">
      <w:pPr>
        <w:spacing w:after="200"/>
      </w:pPr>
      <w:r w:rsidRPr="00DA63DD">
        <w:t>The governance framework features an AI Ethics Committee consisting of representatives from HR, legal, IT, diversity, and employee affairs; includes written AI policy and guidelines; carries out a risk assessment prior to each launch; conducts audits and monitoring of the deployed models; and provides training for recruiters and managers. According to India’s Digital Personal Data Protection Act of 2023 (with the Rules announced in November 2025), lawful processing, consent, and purpose limitation are required. The EU AI Act classifies AI used in the context of employment as being of a high risk. New York City’s Local Law 144 currently mandates bias audits for automated employment decision tools. Appendix E sets out the five risk categories together with HR-specific examples and mitigation measures.</w:t>
      </w:r>
    </w:p>
    <w:p w14:paraId="30544236" w14:textId="77777777" w:rsidR="00024E9B" w:rsidRPr="00DA63DD" w:rsidRDefault="00000000">
      <w:pPr>
        <w:pStyle w:val="Heading1"/>
        <w:keepNext w:val="0"/>
        <w:keepLines w:val="0"/>
        <w:spacing w:before="360" w:after="200"/>
        <w:rPr>
          <w:sz w:val="24"/>
          <w:szCs w:val="24"/>
        </w:rPr>
      </w:pPr>
      <w:r w:rsidRPr="00DA63DD">
        <w:rPr>
          <w:color w:val="auto"/>
          <w:sz w:val="24"/>
          <w:szCs w:val="24"/>
        </w:rPr>
        <w:t>10. Failure Modes and How to Avoid Them</w:t>
      </w:r>
    </w:p>
    <w:p w14:paraId="2B7CE64A" w14:textId="6F2B3991" w:rsidR="00024E9B" w:rsidRPr="00DA63DD" w:rsidRDefault="00000000">
      <w:pPr>
        <w:spacing w:after="200"/>
      </w:pPr>
      <w:r w:rsidRPr="00DA63DD">
        <w:t>The following six common modes of failure are dealt with. In the case of data poverty, since resignations are infrequent, the plan starts at the cohort level, carefully enriches the data and makes use of external benchmarks. To avoid pilot purgatory, each pilot has a designated owner, a go-live criterion and a decision date. With regard to scope creep, each horizon has a fixed scope and a change-control procedure. On the issue of shadow AI, approved, fast tools and clear rules are made available so that recruiters will not paste resumes into unauthori</w:t>
      </w:r>
      <w:r w:rsidR="006019A2">
        <w:t>z</w:t>
      </w:r>
      <w:r w:rsidRPr="00DA63DD">
        <w:t xml:space="preserve">ed tools. Concerning metrics mismatch, the plan focuses on measuring retention achieved and quality of hire, not model accuracy. As for leadership abandonment, a steering group is employed rather than a single sponsor so that the </w:t>
      </w:r>
      <w:proofErr w:type="spellStart"/>
      <w:r w:rsidRPr="00DA63DD">
        <w:t>programme</w:t>
      </w:r>
      <w:proofErr w:type="spellEnd"/>
      <w:r w:rsidRPr="00DA63DD">
        <w:t xml:space="preserve"> can continue through changes in leadership.</w:t>
      </w:r>
    </w:p>
    <w:p w14:paraId="719B6219" w14:textId="77777777" w:rsidR="00024E9B" w:rsidRPr="00DA63DD" w:rsidRDefault="00000000">
      <w:pPr>
        <w:pStyle w:val="Heading1"/>
        <w:keepNext w:val="0"/>
        <w:keepLines w:val="0"/>
        <w:spacing w:before="360" w:after="200"/>
        <w:rPr>
          <w:sz w:val="24"/>
          <w:szCs w:val="24"/>
        </w:rPr>
      </w:pPr>
      <w:r w:rsidRPr="00DA63DD">
        <w:rPr>
          <w:color w:val="auto"/>
          <w:sz w:val="24"/>
          <w:szCs w:val="24"/>
        </w:rPr>
        <w:t>11. Conclusion and Recommendations</w:t>
      </w:r>
    </w:p>
    <w:p w14:paraId="710F4247" w14:textId="57501DC7" w:rsidR="00024E9B" w:rsidRPr="00DA63DD" w:rsidRDefault="00000000">
      <w:pPr>
        <w:spacing w:after="120"/>
      </w:pPr>
      <w:r w:rsidRPr="00DA63DD">
        <w:t>A large IT company can make use of AI to hire in a more</w:t>
      </w:r>
      <w:r w:rsidR="006019A2">
        <w:t xml:space="preserve"> </w:t>
      </w:r>
      <w:r w:rsidRPr="00DA63DD">
        <w:t>fair way, retain its top staff, and develop its skills at the same rate as client demand. However, this will only be successful if the company regards the entire matter as a business and a people initiative, not merely as an exercise in building models. The main recommendations I have are that the company should:</w:t>
      </w:r>
    </w:p>
    <w:p w14:paraId="716E9EE4" w14:textId="77777777" w:rsidR="00024E9B" w:rsidRPr="00DA63DD" w:rsidRDefault="00000000">
      <w:pPr>
        <w:numPr>
          <w:ilvl w:val="0"/>
          <w:numId w:val="2"/>
        </w:numPr>
        <w:spacing w:before="240" w:after="120"/>
        <w:ind w:hanging="329"/>
      </w:pPr>
      <w:r w:rsidRPr="00DA63DD">
        <w:t>start with an eight-week readiness sprint and one clear, hard ROI target;</w:t>
      </w:r>
    </w:p>
    <w:p w14:paraId="3BD28FD5" w14:textId="77777777" w:rsidR="00024E9B" w:rsidRPr="00DA63DD" w:rsidRDefault="00000000">
      <w:pPr>
        <w:numPr>
          <w:ilvl w:val="0"/>
          <w:numId w:val="2"/>
        </w:numPr>
        <w:spacing w:before="120" w:after="120"/>
        <w:ind w:hanging="329"/>
      </w:pPr>
      <w:r w:rsidRPr="00DA63DD">
        <w:t>launch decision-support hiring and cohort-level attrition analytics in Horizon 1;</w:t>
      </w:r>
    </w:p>
    <w:p w14:paraId="17E4B3BA" w14:textId="77777777" w:rsidR="00024E9B" w:rsidRPr="00DA63DD" w:rsidRDefault="00000000">
      <w:pPr>
        <w:numPr>
          <w:ilvl w:val="0"/>
          <w:numId w:val="2"/>
        </w:numPr>
        <w:spacing w:before="120" w:after="120"/>
        <w:ind w:hanging="329"/>
      </w:pPr>
      <w:r w:rsidRPr="00DA63DD">
        <w:t xml:space="preserve">make middle managers the </w:t>
      </w:r>
      <w:proofErr w:type="spellStart"/>
      <w:r w:rsidRPr="00DA63DD">
        <w:t>centre</w:t>
      </w:r>
      <w:proofErr w:type="spellEnd"/>
      <w:r w:rsidRPr="00DA63DD">
        <w:t xml:space="preserve"> of the adoption plan;</w:t>
      </w:r>
    </w:p>
    <w:p w14:paraId="3BCF95C7" w14:textId="77777777" w:rsidR="00024E9B" w:rsidRPr="00DA63DD" w:rsidRDefault="00000000">
      <w:pPr>
        <w:numPr>
          <w:ilvl w:val="0"/>
          <w:numId w:val="2"/>
        </w:numPr>
        <w:spacing w:before="120" w:after="120"/>
        <w:ind w:hanging="329"/>
      </w:pPr>
      <w:r w:rsidRPr="00DA63DD">
        <w:t>set up the AI Ethics Committee and bias-audit process before the first model goes live; and</w:t>
      </w:r>
    </w:p>
    <w:p w14:paraId="25B1B768" w14:textId="77777777" w:rsidR="00024E9B" w:rsidRPr="00DA63DD" w:rsidRDefault="00000000">
      <w:pPr>
        <w:numPr>
          <w:ilvl w:val="0"/>
          <w:numId w:val="2"/>
        </w:numPr>
        <w:spacing w:before="120" w:after="240"/>
        <w:ind w:hanging="329"/>
      </w:pPr>
      <w:r w:rsidRPr="00DA63DD">
        <w:t>Make sure that each pilot has an owner and a go-live decision date so as to prevent pilot purgatory.</w:t>
      </w:r>
    </w:p>
    <w:p w14:paraId="24E97BAA" w14:textId="77777777" w:rsidR="00DA63DD" w:rsidRDefault="00DA63DD">
      <w:pPr>
        <w:rPr>
          <w:kern w:val="36"/>
        </w:rPr>
      </w:pPr>
      <w:r>
        <w:rPr>
          <w:b/>
          <w:bCs/>
        </w:rPr>
        <w:br w:type="page"/>
      </w:r>
    </w:p>
    <w:p w14:paraId="7D7AC246" w14:textId="6B4DDB78" w:rsidR="00024E9B" w:rsidRPr="00DA63DD" w:rsidRDefault="00000000">
      <w:pPr>
        <w:pStyle w:val="Heading1"/>
        <w:keepNext w:val="0"/>
        <w:keepLines w:val="0"/>
        <w:spacing w:before="360" w:after="200"/>
        <w:rPr>
          <w:sz w:val="24"/>
          <w:szCs w:val="24"/>
        </w:rPr>
      </w:pPr>
      <w:r w:rsidRPr="00DA63DD">
        <w:rPr>
          <w:color w:val="auto"/>
          <w:sz w:val="24"/>
          <w:szCs w:val="24"/>
        </w:rPr>
        <w:lastRenderedPageBreak/>
        <w:t>References</w:t>
      </w:r>
    </w:p>
    <w:p w14:paraId="697BF276" w14:textId="04EE9583" w:rsidR="00024E9B" w:rsidRPr="00DA63DD" w:rsidRDefault="00000000">
      <w:pPr>
        <w:spacing w:after="100"/>
      </w:pPr>
      <w:r w:rsidRPr="00DA63DD">
        <w:t xml:space="preserve">Accenture. (2023, June 13). </w:t>
      </w:r>
      <w:r w:rsidRPr="00DA63DD">
        <w:rPr>
          <w:i/>
          <w:iCs/>
        </w:rPr>
        <w:t>Accenture to invest $3 billion in AI to accelerate clients’ reinvention</w:t>
      </w:r>
      <w:r w:rsidRPr="00DA63DD">
        <w:t xml:space="preserve"> [Press release]. </w:t>
      </w:r>
      <w:hyperlink r:id="rId7" w:history="1">
        <w:r w:rsidRPr="00007B49">
          <w:rPr>
            <w:rStyle w:val="Hyperlink"/>
          </w:rPr>
          <w:t>https://newsroom.accenture.com/news/2023/accenture-to-invest-3-billion-in-ai-to-accelerate-clients-reinvention</w:t>
        </w:r>
      </w:hyperlink>
    </w:p>
    <w:p w14:paraId="53117C99" w14:textId="793BD740" w:rsidR="00024E9B" w:rsidRPr="00DA63DD" w:rsidRDefault="00000000">
      <w:pPr>
        <w:spacing w:after="100"/>
      </w:pPr>
      <w:r w:rsidRPr="00DA63DD">
        <w:t xml:space="preserve">Anthropic. (2025). </w:t>
      </w:r>
      <w:r w:rsidRPr="00DA63DD">
        <w:rPr>
          <w:i/>
          <w:iCs/>
        </w:rPr>
        <w:t>Claude</w:t>
      </w:r>
      <w:r w:rsidRPr="00DA63DD">
        <w:t xml:space="preserve"> [Large language model]. </w:t>
      </w:r>
      <w:hyperlink r:id="rId8" w:history="1">
        <w:r w:rsidRPr="00FD1D42">
          <w:rPr>
            <w:rStyle w:val="Hyperlink"/>
          </w:rPr>
          <w:t>https://claude.ai</w:t>
        </w:r>
      </w:hyperlink>
    </w:p>
    <w:p w14:paraId="60E5CA5A" w14:textId="2631CFCF" w:rsidR="00024E9B" w:rsidRPr="00DA63DD" w:rsidRDefault="00000000">
      <w:pPr>
        <w:spacing w:after="100"/>
      </w:pPr>
      <w:r w:rsidRPr="00DA63DD">
        <w:t xml:space="preserve">Aon. (2026). </w:t>
      </w:r>
      <w:r w:rsidRPr="00DA63DD">
        <w:rPr>
          <w:i/>
          <w:iCs/>
        </w:rPr>
        <w:t>Annual Salary Increase and Turnover Survey for India 2026-27</w:t>
      </w:r>
      <w:r w:rsidRPr="00DA63DD">
        <w:t xml:space="preserve">. </w:t>
      </w:r>
      <w:hyperlink r:id="rId9" w:history="1">
        <w:r w:rsidRPr="00007B49">
          <w:rPr>
            <w:rStyle w:val="Hyperlink"/>
          </w:rPr>
          <w:t>https://www.aon.com/apac/in-the-press/asia-newsroom/2026/aon-survey-projects-slight-uptick-in-salaries-in-india-2026</w:t>
        </w:r>
      </w:hyperlink>
    </w:p>
    <w:p w14:paraId="6A90D78D" w14:textId="079C22C3" w:rsidR="00024E9B" w:rsidRPr="00DA63DD" w:rsidRDefault="00000000">
      <w:pPr>
        <w:spacing w:after="100"/>
      </w:pPr>
      <w:r w:rsidRPr="00DA63DD">
        <w:t xml:space="preserve">Dastin, J. (2018, October 10). Amazon scraps secret AI recruiting tool that showed bias against women. </w:t>
      </w:r>
      <w:r w:rsidRPr="00DA63DD">
        <w:rPr>
          <w:i/>
          <w:iCs/>
        </w:rPr>
        <w:t>Reuters</w:t>
      </w:r>
      <w:r w:rsidRPr="00DA63DD">
        <w:t xml:space="preserve">. </w:t>
      </w:r>
      <w:hyperlink r:id="rId10" w:history="1">
        <w:r w:rsidRPr="00007B49">
          <w:rPr>
            <w:rStyle w:val="Hyperlink"/>
          </w:rPr>
          <w:t>https://www.reuters.com/article/us-amazon-com-jobs-automation-insight/amazon-scraps-secret-ai-recruiting-tool-that-showed-bias-against-women-idUSKCN1MK08G</w:t>
        </w:r>
      </w:hyperlink>
    </w:p>
    <w:p w14:paraId="51AA3BE6" w14:textId="4A3A18ED" w:rsidR="00024E9B" w:rsidRPr="00DA63DD" w:rsidRDefault="00000000">
      <w:pPr>
        <w:spacing w:after="100"/>
      </w:pPr>
      <w:r w:rsidRPr="00DA63DD">
        <w:t xml:space="preserve">European Parliament and Council. (2024). </w:t>
      </w:r>
      <w:r w:rsidRPr="00DA63DD">
        <w:rPr>
          <w:i/>
          <w:iCs/>
        </w:rPr>
        <w:t xml:space="preserve">Regulation (EU) 2024/1689 laying down </w:t>
      </w:r>
      <w:proofErr w:type="spellStart"/>
      <w:r w:rsidRPr="00DA63DD">
        <w:rPr>
          <w:i/>
          <w:iCs/>
        </w:rPr>
        <w:t>harmonised</w:t>
      </w:r>
      <w:proofErr w:type="spellEnd"/>
      <w:r w:rsidRPr="00DA63DD">
        <w:rPr>
          <w:i/>
          <w:iCs/>
        </w:rPr>
        <w:t xml:space="preserve"> rules on artificial intelligence (Artificial Intelligence Act)</w:t>
      </w:r>
      <w:r w:rsidRPr="00DA63DD">
        <w:t xml:space="preserve">. </w:t>
      </w:r>
      <w:hyperlink r:id="rId11" w:history="1">
        <w:r w:rsidRPr="00007B49">
          <w:rPr>
            <w:rStyle w:val="Hyperlink"/>
          </w:rPr>
          <w:t>https://eur-lex.europa.eu/eli/reg/2024/1689/oj</w:t>
        </w:r>
      </w:hyperlink>
    </w:p>
    <w:p w14:paraId="0AC8D42E" w14:textId="1DF895A8" w:rsidR="00024E9B" w:rsidRPr="00DA63DD" w:rsidRDefault="00000000">
      <w:pPr>
        <w:spacing w:after="100"/>
      </w:pPr>
      <w:r w:rsidRPr="00DA63DD">
        <w:t xml:space="preserve">Info Edge (India) Ltd. (2024–2026). </w:t>
      </w:r>
      <w:r w:rsidRPr="00DA63DD">
        <w:rPr>
          <w:i/>
          <w:iCs/>
        </w:rPr>
        <w:t xml:space="preserve">Naukri </w:t>
      </w:r>
      <w:proofErr w:type="spellStart"/>
      <w:r w:rsidRPr="00DA63DD">
        <w:rPr>
          <w:i/>
          <w:iCs/>
        </w:rPr>
        <w:t>JobSpeak</w:t>
      </w:r>
      <w:proofErr w:type="spellEnd"/>
      <w:r w:rsidRPr="00DA63DD">
        <w:t xml:space="preserve"> monthly reports.</w:t>
      </w:r>
      <w:hyperlink r:id="rId12" w:history="1">
        <w:r w:rsidRPr="00007B49">
          <w:rPr>
            <w:rStyle w:val="Hyperlink"/>
          </w:rPr>
          <w:t xml:space="preserve"> https://www.infoedge.in and https://www.naukri.com/blog/</w:t>
        </w:r>
      </w:hyperlink>
    </w:p>
    <w:p w14:paraId="55809238" w14:textId="735786C4" w:rsidR="00024E9B" w:rsidRPr="00DA63DD" w:rsidRDefault="00000000">
      <w:pPr>
        <w:spacing w:after="100"/>
      </w:pPr>
      <w:r w:rsidRPr="00DA63DD">
        <w:t>Infosys. (2023, June 22) Announces that it will offer</w:t>
      </w:r>
      <w:r w:rsidRPr="00DA63DD">
        <w:rPr>
          <w:i/>
          <w:iCs/>
        </w:rPr>
        <w:t xml:space="preserve"> certification in AI and generative AI skills via Infosys Springboard</w:t>
      </w:r>
      <w:r w:rsidRPr="00DA63DD">
        <w:t xml:space="preserve"> [Press release]. </w:t>
      </w:r>
      <w:hyperlink r:id="rId13" w:history="1">
        <w:r w:rsidRPr="00007B49">
          <w:rPr>
            <w:rStyle w:val="Hyperlink"/>
          </w:rPr>
          <w:t>https://www.infosys.com/newsroom/press-releases/2023/certification-ai-generative-ai-skills.html</w:t>
        </w:r>
      </w:hyperlink>
    </w:p>
    <w:p w14:paraId="4076604F" w14:textId="77777777" w:rsidR="00024E9B" w:rsidRPr="00DA63DD" w:rsidRDefault="00000000">
      <w:pPr>
        <w:spacing w:after="100"/>
      </w:pPr>
      <w:r w:rsidRPr="00DA63DD">
        <w:t xml:space="preserve">Kotter, J. P. (1996). </w:t>
      </w:r>
      <w:r w:rsidRPr="00DA63DD">
        <w:rPr>
          <w:i/>
          <w:iCs/>
        </w:rPr>
        <w:t>Leading change</w:t>
      </w:r>
      <w:r w:rsidRPr="00DA63DD">
        <w:t>. Harvard Business School Press.</w:t>
      </w:r>
    </w:p>
    <w:p w14:paraId="18599B1B" w14:textId="6E1AC2B8" w:rsidR="00024E9B" w:rsidRPr="00DA63DD" w:rsidRDefault="00000000">
      <w:pPr>
        <w:spacing w:after="100"/>
      </w:pPr>
      <w:r w:rsidRPr="00DA63DD">
        <w:t xml:space="preserve">S. M. Lundberg and S.-I. Lee (2017) presented a unified method for interpreting model predictions in </w:t>
      </w:r>
      <w:r w:rsidRPr="00DA63DD">
        <w:rPr>
          <w:i/>
          <w:iCs/>
        </w:rPr>
        <w:t>Advances in Neural Information Processing Systems, volume 30</w:t>
      </w:r>
      <w:r w:rsidRPr="00DA63DD">
        <w:t xml:space="preserve">. </w:t>
      </w:r>
      <w:hyperlink r:id="rId14" w:history="1">
        <w:r w:rsidRPr="00007B49">
          <w:rPr>
            <w:rStyle w:val="Hyperlink"/>
          </w:rPr>
          <w:t>https://proceedings.neurips.cc/paper/2017/hash/8a20a8621978632d76c43dfd28b67767-Abstract.html</w:t>
        </w:r>
      </w:hyperlink>
    </w:p>
    <w:p w14:paraId="40A01D92" w14:textId="1EE72166" w:rsidR="00024E9B" w:rsidRPr="00DA63DD" w:rsidRDefault="00000000">
      <w:pPr>
        <w:spacing w:after="100"/>
      </w:pPr>
      <w:r w:rsidRPr="00DA63DD">
        <w:t xml:space="preserve">The </w:t>
      </w:r>
      <w:r w:rsidRPr="00DA63DD">
        <w:rPr>
          <w:i/>
          <w:iCs/>
        </w:rPr>
        <w:t>Digital Personal Data Protection Act, 2023 and the Rules, 2025, published by the Ministry of Electronics and Information Technology.</w:t>
      </w:r>
      <w:r w:rsidRPr="00DA63DD">
        <w:t xml:space="preserve"> Government of India. </w:t>
      </w:r>
      <w:hyperlink r:id="rId15" w:history="1">
        <w:r w:rsidRPr="00007B49">
          <w:rPr>
            <w:rStyle w:val="Hyperlink"/>
          </w:rPr>
          <w:t>https://www.meity.gov.in/data-protection-framework</w:t>
        </w:r>
      </w:hyperlink>
    </w:p>
    <w:p w14:paraId="599B3DCF" w14:textId="60B69553" w:rsidR="00024E9B" w:rsidRPr="00DA63DD" w:rsidRDefault="00000000">
      <w:pPr>
        <w:spacing w:after="100"/>
      </w:pPr>
      <w:r w:rsidRPr="00DA63DD">
        <w:t>New York State Comptroller's Office. 2025 December 2. Enforcing</w:t>
      </w:r>
      <w:r w:rsidRPr="00DA63DD">
        <w:rPr>
          <w:i/>
          <w:iCs/>
        </w:rPr>
        <w:t xml:space="preserve"> Local Law 144 – Automated employment decision tools</w:t>
      </w:r>
      <w:r w:rsidRPr="00DA63DD">
        <w:t xml:space="preserve">. </w:t>
      </w:r>
      <w:hyperlink r:id="rId16" w:history="1">
        <w:r w:rsidRPr="00007B49">
          <w:rPr>
            <w:rStyle w:val="Hyperlink"/>
          </w:rPr>
          <w:t>https://www.osc.ny.gov/state-agencies/audits/2025/12/02/enforcement-local-law-144-automated-employment-decision-tools</w:t>
        </w:r>
      </w:hyperlink>
    </w:p>
    <w:p w14:paraId="339F0AE3" w14:textId="77777777" w:rsidR="00024E9B" w:rsidRPr="00DA63DD" w:rsidRDefault="00000000">
      <w:pPr>
        <w:spacing w:after="100"/>
      </w:pPr>
      <w:r w:rsidRPr="00DA63DD">
        <w:t xml:space="preserve">C. Patel (2026). </w:t>
      </w:r>
      <w:r w:rsidRPr="00DA63DD">
        <w:rPr>
          <w:i/>
          <w:iCs/>
        </w:rPr>
        <w:t>Introduction to Artificial Intelligence</w:t>
      </w:r>
      <w:r w:rsidRPr="00DA63DD">
        <w:t xml:space="preserve"> [Lecture slides]. For the PGDM </w:t>
      </w:r>
      <w:proofErr w:type="spellStart"/>
      <w:r w:rsidRPr="00DA63DD">
        <w:t>programme</w:t>
      </w:r>
      <w:proofErr w:type="spellEnd"/>
      <w:r w:rsidRPr="00DA63DD">
        <w:t>.</w:t>
      </w:r>
    </w:p>
    <w:p w14:paraId="77717463" w14:textId="77FC10E5" w:rsidR="00024E9B" w:rsidRDefault="00000000">
      <w:pPr>
        <w:spacing w:after="200"/>
      </w:pPr>
      <w:proofErr w:type="spellStart"/>
      <w:r w:rsidRPr="00DA63DD">
        <w:t>xAI</w:t>
      </w:r>
      <w:proofErr w:type="spellEnd"/>
      <w:r w:rsidRPr="00DA63DD">
        <w:t xml:space="preserve">. (2025). </w:t>
      </w:r>
      <w:r w:rsidRPr="00DA63DD">
        <w:rPr>
          <w:i/>
          <w:iCs/>
        </w:rPr>
        <w:t>Grok</w:t>
      </w:r>
      <w:r w:rsidRPr="00DA63DD">
        <w:t xml:space="preserve"> [Large language model]. </w:t>
      </w:r>
      <w:hyperlink r:id="rId17" w:history="1">
        <w:r w:rsidRPr="00FD1D42">
          <w:rPr>
            <w:rStyle w:val="Hyperlink"/>
          </w:rPr>
          <w:t>https://x.ai</w:t>
        </w:r>
      </w:hyperlink>
      <w:r w:rsidRPr="00DA63DD">
        <w:t xml:space="preserve"> and </w:t>
      </w:r>
      <w:hyperlink r:id="rId18" w:history="1">
        <w:r w:rsidR="00FD1D42" w:rsidRPr="002F68D5">
          <w:rPr>
            <w:rStyle w:val="Hyperlink"/>
          </w:rPr>
          <w:t>https://grok.x.ai</w:t>
        </w:r>
      </w:hyperlink>
    </w:p>
    <w:p w14:paraId="79E34DE3" w14:textId="77777777" w:rsidR="00FD1D42" w:rsidRPr="00DA63DD" w:rsidRDefault="00FD1D42">
      <w:pPr>
        <w:spacing w:after="200"/>
      </w:pPr>
    </w:p>
    <w:p w14:paraId="568AF692" w14:textId="77777777" w:rsidR="00024E9B" w:rsidRPr="00DA63DD" w:rsidRDefault="00024E9B">
      <w:pPr>
        <w:spacing w:before="120" w:after="120"/>
      </w:pPr>
    </w:p>
    <w:p w14:paraId="43527501" w14:textId="77777777" w:rsidR="00DA63DD" w:rsidRDefault="00DA63DD">
      <w:pPr>
        <w:rPr>
          <w:kern w:val="36"/>
        </w:rPr>
      </w:pPr>
      <w:r>
        <w:rPr>
          <w:b/>
          <w:bCs/>
        </w:rPr>
        <w:br w:type="page"/>
      </w:r>
    </w:p>
    <w:p w14:paraId="2C221B94" w14:textId="2C39DFFB" w:rsidR="00024E9B" w:rsidRPr="00DA63DD" w:rsidRDefault="00000000">
      <w:pPr>
        <w:pStyle w:val="Heading1"/>
        <w:keepNext w:val="0"/>
        <w:keepLines w:val="0"/>
        <w:spacing w:before="360" w:after="200"/>
        <w:rPr>
          <w:sz w:val="24"/>
          <w:szCs w:val="24"/>
        </w:rPr>
      </w:pPr>
      <w:r w:rsidRPr="00DA63DD">
        <w:rPr>
          <w:color w:val="auto"/>
          <w:sz w:val="24"/>
          <w:szCs w:val="24"/>
        </w:rPr>
        <w:lastRenderedPageBreak/>
        <w:t>Appendix A – Reference Cases Comparison</w:t>
      </w:r>
    </w:p>
    <w:tbl>
      <w:tblPr>
        <w:tblStyle w:val="PlainTable1"/>
        <w:tblW w:w="0" w:type="auto"/>
        <w:tblLook w:val="04A0" w:firstRow="1" w:lastRow="0" w:firstColumn="1" w:lastColumn="0" w:noHBand="0" w:noVBand="1"/>
      </w:tblPr>
      <w:tblGrid>
        <w:gridCol w:w="1817"/>
        <w:gridCol w:w="1934"/>
        <w:gridCol w:w="3238"/>
        <w:gridCol w:w="3081"/>
      </w:tblGrid>
      <w:tr w:rsidR="00024E9B" w:rsidRPr="00DA63DD" w14:paraId="7B81A1EF" w14:textId="77777777" w:rsidTr="007B1D0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295" w:type="dxa"/>
            <w:hideMark/>
          </w:tcPr>
          <w:p w14:paraId="3388BCC1" w14:textId="10E3AEFD" w:rsidR="00DA63DD" w:rsidRPr="007B1D00" w:rsidRDefault="00DA63DD">
            <w:pPr>
              <w:rPr>
                <w:b w:val="0"/>
                <w:bCs w:val="0"/>
                <w:color w:val="000000"/>
              </w:rPr>
            </w:pPr>
            <w:r w:rsidRPr="007B1D00">
              <w:rPr>
                <w:b w:val="0"/>
                <w:bCs w:val="0"/>
                <w:color w:val="000000"/>
              </w:rPr>
              <w:t>Organization</w:t>
            </w:r>
          </w:p>
        </w:tc>
        <w:tc>
          <w:tcPr>
            <w:tcW w:w="2295" w:type="dxa"/>
            <w:hideMark/>
          </w:tcPr>
          <w:p w14:paraId="1FBE169A" w14:textId="17A83E83"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Scope</w:t>
            </w:r>
          </w:p>
        </w:tc>
        <w:tc>
          <w:tcPr>
            <w:tcW w:w="2295" w:type="dxa"/>
            <w:hideMark/>
          </w:tcPr>
          <w:p w14:paraId="5A75C74B" w14:textId="2CA578A5"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Public AI/ Talent Practice</w:t>
            </w:r>
          </w:p>
        </w:tc>
        <w:tc>
          <w:tcPr>
            <w:tcW w:w="2295" w:type="dxa"/>
            <w:hideMark/>
          </w:tcPr>
          <w:p w14:paraId="736B6EAC" w14:textId="290B4BAA"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Lesson Applied</w:t>
            </w:r>
          </w:p>
        </w:tc>
      </w:tr>
      <w:tr w:rsidR="00024E9B" w:rsidRPr="00DA63DD" w14:paraId="049B954A"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72E4BEE" w14:textId="77777777" w:rsidR="00024E9B" w:rsidRPr="00DA63DD" w:rsidRDefault="00000000">
            <w:pPr>
              <w:rPr>
                <w:b w:val="0"/>
                <w:bCs w:val="0"/>
                <w:color w:val="000000"/>
              </w:rPr>
            </w:pPr>
            <w:r w:rsidRPr="00DA63DD">
              <w:rPr>
                <w:b w:val="0"/>
                <w:bCs w:val="0"/>
                <w:color w:val="000000"/>
              </w:rPr>
              <w:t>Infosys</w:t>
            </w:r>
          </w:p>
        </w:tc>
        <w:tc>
          <w:tcPr>
            <w:tcW w:w="0" w:type="auto"/>
            <w:hideMark/>
          </w:tcPr>
          <w:p w14:paraId="0623B7EA"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India, large IT services</w:t>
            </w:r>
          </w:p>
        </w:tc>
        <w:tc>
          <w:tcPr>
            <w:tcW w:w="0" w:type="auto"/>
            <w:hideMark/>
          </w:tcPr>
          <w:p w14:paraId="2353464E"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Springboard (5.5M+ users, 2023); Topaz AI-first services</w:t>
            </w:r>
          </w:p>
        </w:tc>
        <w:tc>
          <w:tcPr>
            <w:tcW w:w="0" w:type="auto"/>
            <w:hideMark/>
          </w:tcPr>
          <w:p w14:paraId="4CBCDDF3"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Tie learning to projects and career moves</w:t>
            </w:r>
          </w:p>
        </w:tc>
      </w:tr>
      <w:tr w:rsidR="00024E9B" w:rsidRPr="00DA63DD" w14:paraId="38EE1E95"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FBADB79" w14:textId="77777777" w:rsidR="00024E9B" w:rsidRPr="00DA63DD" w:rsidRDefault="00000000">
            <w:pPr>
              <w:rPr>
                <w:b w:val="0"/>
                <w:bCs w:val="0"/>
                <w:color w:val="000000"/>
              </w:rPr>
            </w:pPr>
            <w:r w:rsidRPr="00DA63DD">
              <w:rPr>
                <w:b w:val="0"/>
                <w:bCs w:val="0"/>
                <w:color w:val="000000"/>
                <w:shd w:val="clear" w:color="auto" w:fill="F2F2F2"/>
              </w:rPr>
              <w:t>Accenture</w:t>
            </w:r>
          </w:p>
        </w:tc>
        <w:tc>
          <w:tcPr>
            <w:tcW w:w="0" w:type="auto"/>
            <w:hideMark/>
          </w:tcPr>
          <w:p w14:paraId="1E829583"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Global, consulting and IT</w:t>
            </w:r>
          </w:p>
        </w:tc>
        <w:tc>
          <w:tcPr>
            <w:tcW w:w="0" w:type="auto"/>
            <w:hideMark/>
          </w:tcPr>
          <w:p w14:paraId="12AE934A"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US$3B over 3 years; double AI talent to 80,000</w:t>
            </w:r>
          </w:p>
        </w:tc>
        <w:tc>
          <w:tcPr>
            <w:tcW w:w="0" w:type="auto"/>
            <w:hideMark/>
          </w:tcPr>
          <w:p w14:paraId="4E554969"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Manage talent as skills portfolio linked to demand</w:t>
            </w:r>
          </w:p>
        </w:tc>
      </w:tr>
      <w:tr w:rsidR="00024E9B" w:rsidRPr="00DA63DD" w14:paraId="54108BCF"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2180103" w14:textId="77777777" w:rsidR="00024E9B" w:rsidRPr="00DA63DD" w:rsidRDefault="00000000">
            <w:pPr>
              <w:rPr>
                <w:b w:val="0"/>
                <w:bCs w:val="0"/>
                <w:color w:val="000000"/>
              </w:rPr>
            </w:pPr>
            <w:hyperlink r:id="rId19" w:history="1">
              <w:r w:rsidRPr="00DA63DD">
                <w:rPr>
                  <w:b w:val="0"/>
                  <w:bCs w:val="0"/>
                  <w:color w:val="0000EE"/>
                  <w:u w:val="single" w:color="0000EE"/>
                </w:rPr>
                <w:t>Naukri.com</w:t>
              </w:r>
            </w:hyperlink>
          </w:p>
        </w:tc>
        <w:tc>
          <w:tcPr>
            <w:tcW w:w="0" w:type="auto"/>
            <w:hideMark/>
          </w:tcPr>
          <w:p w14:paraId="0DEBA37D"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India, job marketplace</w:t>
            </w:r>
          </w:p>
        </w:tc>
        <w:tc>
          <w:tcPr>
            <w:tcW w:w="0" w:type="auto"/>
            <w:hideMark/>
          </w:tcPr>
          <w:p w14:paraId="23EBAC42" w14:textId="2C5231B0"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 xml:space="preserve">Candidate–recruiter matching; </w:t>
            </w:r>
            <w:proofErr w:type="spellStart"/>
            <w:r w:rsidRPr="00DA63DD">
              <w:rPr>
                <w:color w:val="000000"/>
              </w:rPr>
              <w:t>JobSpeak</w:t>
            </w:r>
            <w:proofErr w:type="spellEnd"/>
            <w:r w:rsidRPr="00DA63DD">
              <w:rPr>
                <w:color w:val="000000"/>
              </w:rPr>
              <w:t xml:space="preserve"> index</w:t>
            </w:r>
          </w:p>
        </w:tc>
        <w:tc>
          <w:tcPr>
            <w:tcW w:w="0" w:type="auto"/>
            <w:hideMark/>
          </w:tcPr>
          <w:p w14:paraId="233C1C25"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Internal matching engine; market data for benchmarks</w:t>
            </w:r>
          </w:p>
        </w:tc>
      </w:tr>
    </w:tbl>
    <w:p w14:paraId="19D07246" w14:textId="77777777" w:rsidR="00024E9B" w:rsidRPr="00DA63DD" w:rsidRDefault="00024E9B">
      <w:pPr>
        <w:spacing w:before="120" w:after="120"/>
      </w:pPr>
    </w:p>
    <w:p w14:paraId="6CBC9462" w14:textId="77777777" w:rsidR="00024E9B" w:rsidRPr="00DA63DD" w:rsidRDefault="00000000">
      <w:pPr>
        <w:pStyle w:val="Heading1"/>
        <w:keepNext w:val="0"/>
        <w:keepLines w:val="0"/>
        <w:spacing w:before="360" w:after="200"/>
        <w:rPr>
          <w:sz w:val="24"/>
          <w:szCs w:val="24"/>
        </w:rPr>
      </w:pPr>
      <w:r w:rsidRPr="00DA63DD">
        <w:rPr>
          <w:color w:val="auto"/>
          <w:sz w:val="24"/>
          <w:szCs w:val="24"/>
        </w:rPr>
        <w:t>Appendix B – Illustrative ROI Model (₹ crore)</w:t>
      </w:r>
    </w:p>
    <w:p w14:paraId="19957335" w14:textId="77777777" w:rsidR="00024E9B" w:rsidRPr="00DA63DD" w:rsidRDefault="00000000">
      <w:pPr>
        <w:spacing w:after="120"/>
      </w:pPr>
      <w:r w:rsidRPr="00DA63DD">
        <w:rPr>
          <w:i/>
          <w:iCs/>
        </w:rPr>
        <w:t>Assumptions: 2,00,000 employees, 14% voluntary attrition, a replacement cost of ₹3.2 lakh for each exit, with attrition decreasing by 2 percentage points when the full run-rate is reached. All the figures are illustrative.</w:t>
      </w:r>
    </w:p>
    <w:tbl>
      <w:tblPr>
        <w:tblStyle w:val="PlainTable1"/>
        <w:tblW w:w="0" w:type="auto"/>
        <w:tblLook w:val="04A0" w:firstRow="1" w:lastRow="0" w:firstColumn="1" w:lastColumn="0" w:noHBand="0" w:noVBand="1"/>
      </w:tblPr>
      <w:tblGrid>
        <w:gridCol w:w="2213"/>
        <w:gridCol w:w="1962"/>
        <w:gridCol w:w="1962"/>
        <w:gridCol w:w="1962"/>
        <w:gridCol w:w="1971"/>
      </w:tblGrid>
      <w:tr w:rsidR="00024E9B" w:rsidRPr="00DA63DD" w14:paraId="5B48F908" w14:textId="77777777" w:rsidTr="007B1D0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295" w:type="dxa"/>
            <w:hideMark/>
          </w:tcPr>
          <w:p w14:paraId="1571789F" w14:textId="2CAD9BA7" w:rsidR="00024E9B" w:rsidRPr="007B1D00" w:rsidRDefault="00DA63DD">
            <w:pPr>
              <w:rPr>
                <w:b w:val="0"/>
                <w:bCs w:val="0"/>
                <w:color w:val="000000"/>
              </w:rPr>
            </w:pPr>
            <w:r w:rsidRPr="007B1D00">
              <w:rPr>
                <w:b w:val="0"/>
                <w:bCs w:val="0"/>
                <w:color w:val="000000"/>
              </w:rPr>
              <w:t>Item</w:t>
            </w:r>
          </w:p>
        </w:tc>
        <w:tc>
          <w:tcPr>
            <w:tcW w:w="2295" w:type="dxa"/>
            <w:hideMark/>
          </w:tcPr>
          <w:p w14:paraId="3D2D205D" w14:textId="48E48990"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 xml:space="preserve">Year 1 </w:t>
            </w:r>
          </w:p>
        </w:tc>
        <w:tc>
          <w:tcPr>
            <w:tcW w:w="2295" w:type="dxa"/>
            <w:hideMark/>
          </w:tcPr>
          <w:p w14:paraId="073F56E5" w14:textId="774022B8"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Year 2</w:t>
            </w:r>
          </w:p>
        </w:tc>
        <w:tc>
          <w:tcPr>
            <w:tcW w:w="2295" w:type="dxa"/>
            <w:hideMark/>
          </w:tcPr>
          <w:p w14:paraId="23F55121" w14:textId="5F155F76"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Year 3</w:t>
            </w:r>
          </w:p>
        </w:tc>
        <w:tc>
          <w:tcPr>
            <w:tcW w:w="2295" w:type="dxa"/>
            <w:hideMark/>
          </w:tcPr>
          <w:p w14:paraId="153632D6" w14:textId="7AEC7344"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Total</w:t>
            </w:r>
          </w:p>
        </w:tc>
      </w:tr>
      <w:tr w:rsidR="00024E9B" w:rsidRPr="00DA63DD" w14:paraId="3C0638F3"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9869814" w14:textId="77777777" w:rsidR="00024E9B" w:rsidRPr="00DA63DD" w:rsidRDefault="00000000">
            <w:pPr>
              <w:rPr>
                <w:b w:val="0"/>
                <w:bCs w:val="0"/>
                <w:color w:val="000000"/>
              </w:rPr>
            </w:pPr>
            <w:r w:rsidRPr="00DA63DD">
              <w:rPr>
                <w:b w:val="0"/>
                <w:bCs w:val="0"/>
                <w:color w:val="000000"/>
              </w:rPr>
              <w:t>Avoided attrition cost</w:t>
            </w:r>
          </w:p>
        </w:tc>
        <w:tc>
          <w:tcPr>
            <w:tcW w:w="0" w:type="auto"/>
            <w:hideMark/>
          </w:tcPr>
          <w:p w14:paraId="5B84E785"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20</w:t>
            </w:r>
          </w:p>
        </w:tc>
        <w:tc>
          <w:tcPr>
            <w:tcW w:w="0" w:type="auto"/>
            <w:hideMark/>
          </w:tcPr>
          <w:p w14:paraId="14B2B242"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75</w:t>
            </w:r>
          </w:p>
        </w:tc>
        <w:tc>
          <w:tcPr>
            <w:tcW w:w="0" w:type="auto"/>
            <w:hideMark/>
          </w:tcPr>
          <w:p w14:paraId="266D58C2"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128</w:t>
            </w:r>
          </w:p>
        </w:tc>
        <w:tc>
          <w:tcPr>
            <w:tcW w:w="0" w:type="auto"/>
            <w:hideMark/>
          </w:tcPr>
          <w:p w14:paraId="4BF2C897"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223</w:t>
            </w:r>
          </w:p>
        </w:tc>
      </w:tr>
      <w:tr w:rsidR="00024E9B" w:rsidRPr="00DA63DD" w14:paraId="2E29F981"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5C391ED" w14:textId="77777777" w:rsidR="00024E9B" w:rsidRPr="00DA63DD" w:rsidRDefault="00000000">
            <w:pPr>
              <w:rPr>
                <w:b w:val="0"/>
                <w:bCs w:val="0"/>
                <w:color w:val="000000"/>
              </w:rPr>
            </w:pPr>
            <w:r w:rsidRPr="00DA63DD">
              <w:rPr>
                <w:b w:val="0"/>
                <w:bCs w:val="0"/>
                <w:color w:val="000000"/>
                <w:shd w:val="clear" w:color="auto" w:fill="F2F2F2"/>
              </w:rPr>
              <w:t>Recruitment efficiency</w:t>
            </w:r>
          </w:p>
        </w:tc>
        <w:tc>
          <w:tcPr>
            <w:tcW w:w="0" w:type="auto"/>
            <w:hideMark/>
          </w:tcPr>
          <w:p w14:paraId="4AC20E29"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rPr>
              <w:t>10</w:t>
            </w:r>
          </w:p>
        </w:tc>
        <w:tc>
          <w:tcPr>
            <w:tcW w:w="0" w:type="auto"/>
            <w:hideMark/>
          </w:tcPr>
          <w:p w14:paraId="11A6054D"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rPr>
              <w:t>25</w:t>
            </w:r>
          </w:p>
        </w:tc>
        <w:tc>
          <w:tcPr>
            <w:tcW w:w="0" w:type="auto"/>
            <w:hideMark/>
          </w:tcPr>
          <w:p w14:paraId="29261C9D"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rPr>
              <w:t>35</w:t>
            </w:r>
          </w:p>
        </w:tc>
        <w:tc>
          <w:tcPr>
            <w:tcW w:w="0" w:type="auto"/>
            <w:hideMark/>
          </w:tcPr>
          <w:p w14:paraId="36246B02"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rPr>
              <w:t>70</w:t>
            </w:r>
          </w:p>
        </w:tc>
      </w:tr>
      <w:tr w:rsidR="00024E9B" w:rsidRPr="00DA63DD" w14:paraId="5ABB8A89"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B55922C" w14:textId="77777777" w:rsidR="00024E9B" w:rsidRPr="00DA63DD" w:rsidRDefault="00000000">
            <w:pPr>
              <w:rPr>
                <w:b w:val="0"/>
                <w:bCs w:val="0"/>
                <w:color w:val="000000"/>
              </w:rPr>
            </w:pPr>
            <w:r w:rsidRPr="00DA63DD">
              <w:rPr>
                <w:b w:val="0"/>
                <w:bCs w:val="0"/>
                <w:color w:val="000000"/>
              </w:rPr>
              <w:t>Total hard benefit</w:t>
            </w:r>
          </w:p>
        </w:tc>
        <w:tc>
          <w:tcPr>
            <w:tcW w:w="0" w:type="auto"/>
            <w:hideMark/>
          </w:tcPr>
          <w:p w14:paraId="3CD56053"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30</w:t>
            </w:r>
          </w:p>
        </w:tc>
        <w:tc>
          <w:tcPr>
            <w:tcW w:w="0" w:type="auto"/>
            <w:hideMark/>
          </w:tcPr>
          <w:p w14:paraId="60DD2EC9"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100</w:t>
            </w:r>
          </w:p>
        </w:tc>
        <w:tc>
          <w:tcPr>
            <w:tcW w:w="0" w:type="auto"/>
            <w:hideMark/>
          </w:tcPr>
          <w:p w14:paraId="2058BEAC"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163</w:t>
            </w:r>
          </w:p>
        </w:tc>
        <w:tc>
          <w:tcPr>
            <w:tcW w:w="0" w:type="auto"/>
            <w:hideMark/>
          </w:tcPr>
          <w:p w14:paraId="0797844F"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293</w:t>
            </w:r>
          </w:p>
        </w:tc>
      </w:tr>
      <w:tr w:rsidR="00024E9B" w:rsidRPr="00DA63DD" w14:paraId="1C67C434"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7BEA0AE" w14:textId="77777777" w:rsidR="00024E9B" w:rsidRPr="00DA63DD" w:rsidRDefault="00000000">
            <w:pPr>
              <w:rPr>
                <w:b w:val="0"/>
                <w:bCs w:val="0"/>
                <w:color w:val="000000"/>
              </w:rPr>
            </w:pPr>
            <w:proofErr w:type="spellStart"/>
            <w:r w:rsidRPr="00DA63DD">
              <w:rPr>
                <w:b w:val="0"/>
                <w:bCs w:val="0"/>
                <w:color w:val="000000"/>
                <w:shd w:val="clear" w:color="auto" w:fill="F2F2F2"/>
              </w:rPr>
              <w:t>Programme</w:t>
            </w:r>
            <w:proofErr w:type="spellEnd"/>
            <w:r w:rsidRPr="00DA63DD">
              <w:rPr>
                <w:b w:val="0"/>
                <w:bCs w:val="0"/>
                <w:color w:val="000000"/>
                <w:shd w:val="clear" w:color="auto" w:fill="F2F2F2"/>
              </w:rPr>
              <w:t xml:space="preserve"> cost</w:t>
            </w:r>
          </w:p>
        </w:tc>
        <w:tc>
          <w:tcPr>
            <w:tcW w:w="0" w:type="auto"/>
            <w:hideMark/>
          </w:tcPr>
          <w:p w14:paraId="1727172B"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rPr>
              <w:t>35</w:t>
            </w:r>
          </w:p>
        </w:tc>
        <w:tc>
          <w:tcPr>
            <w:tcW w:w="0" w:type="auto"/>
            <w:hideMark/>
          </w:tcPr>
          <w:p w14:paraId="51B08BEF"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rPr>
              <w:t>30</w:t>
            </w:r>
          </w:p>
        </w:tc>
        <w:tc>
          <w:tcPr>
            <w:tcW w:w="0" w:type="auto"/>
            <w:hideMark/>
          </w:tcPr>
          <w:p w14:paraId="7CF53C51"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rPr>
              <w:t>25</w:t>
            </w:r>
          </w:p>
        </w:tc>
        <w:tc>
          <w:tcPr>
            <w:tcW w:w="0" w:type="auto"/>
            <w:hideMark/>
          </w:tcPr>
          <w:p w14:paraId="6717F03A"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rPr>
              <w:t>90</w:t>
            </w:r>
          </w:p>
        </w:tc>
      </w:tr>
      <w:tr w:rsidR="00024E9B" w:rsidRPr="00DA63DD" w14:paraId="1EEBB7B2"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3DEBE47" w14:textId="77777777" w:rsidR="00024E9B" w:rsidRPr="00DA63DD" w:rsidRDefault="00000000">
            <w:pPr>
              <w:rPr>
                <w:b w:val="0"/>
                <w:bCs w:val="0"/>
                <w:color w:val="000000"/>
              </w:rPr>
            </w:pPr>
            <w:r w:rsidRPr="00DA63DD">
              <w:rPr>
                <w:b w:val="0"/>
                <w:bCs w:val="0"/>
                <w:color w:val="000000"/>
              </w:rPr>
              <w:t>Net benefit</w:t>
            </w:r>
          </w:p>
        </w:tc>
        <w:tc>
          <w:tcPr>
            <w:tcW w:w="0" w:type="auto"/>
            <w:hideMark/>
          </w:tcPr>
          <w:p w14:paraId="23369D42"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−5</w:t>
            </w:r>
          </w:p>
        </w:tc>
        <w:tc>
          <w:tcPr>
            <w:tcW w:w="0" w:type="auto"/>
            <w:hideMark/>
          </w:tcPr>
          <w:p w14:paraId="013BC34C"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70</w:t>
            </w:r>
          </w:p>
        </w:tc>
        <w:tc>
          <w:tcPr>
            <w:tcW w:w="0" w:type="auto"/>
            <w:hideMark/>
          </w:tcPr>
          <w:p w14:paraId="6CBFF7AC"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138</w:t>
            </w:r>
          </w:p>
        </w:tc>
        <w:tc>
          <w:tcPr>
            <w:tcW w:w="0" w:type="auto"/>
            <w:hideMark/>
          </w:tcPr>
          <w:p w14:paraId="1B8D831D"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203</w:t>
            </w:r>
          </w:p>
        </w:tc>
      </w:tr>
    </w:tbl>
    <w:p w14:paraId="53F2D811" w14:textId="77777777" w:rsidR="00024E9B" w:rsidRPr="00DA63DD" w:rsidRDefault="00000000">
      <w:pPr>
        <w:spacing w:before="160" w:after="200"/>
      </w:pPr>
      <w:r w:rsidRPr="00DA63DD">
        <w:t>The return on investment is (293 minus 90) divided by 90 and then multiplied by 100, which is approximately 226 per cent. The payback period is about 13 months.</w:t>
      </w:r>
    </w:p>
    <w:p w14:paraId="2657EB0E" w14:textId="77777777" w:rsidR="00024E9B" w:rsidRPr="00DA63DD" w:rsidRDefault="00000000">
      <w:pPr>
        <w:pStyle w:val="Heading1"/>
        <w:keepNext w:val="0"/>
        <w:keepLines w:val="0"/>
        <w:spacing w:before="360" w:after="200"/>
        <w:rPr>
          <w:sz w:val="24"/>
          <w:szCs w:val="24"/>
        </w:rPr>
      </w:pPr>
      <w:r w:rsidRPr="00DA63DD">
        <w:rPr>
          <w:color w:val="auto"/>
          <w:sz w:val="24"/>
          <w:szCs w:val="24"/>
        </w:rPr>
        <w:t>Appendix C – Roadmap Metrics Summary</w:t>
      </w:r>
    </w:p>
    <w:tbl>
      <w:tblPr>
        <w:tblStyle w:val="PlainTable1"/>
        <w:tblW w:w="0" w:type="auto"/>
        <w:tblLook w:val="04A0" w:firstRow="1" w:lastRow="0" w:firstColumn="1" w:lastColumn="0" w:noHBand="0" w:noVBand="1"/>
      </w:tblPr>
      <w:tblGrid>
        <w:gridCol w:w="2051"/>
        <w:gridCol w:w="1472"/>
        <w:gridCol w:w="3403"/>
        <w:gridCol w:w="3144"/>
      </w:tblGrid>
      <w:tr w:rsidR="00024E9B" w:rsidRPr="00DA63DD" w14:paraId="03FEA82C" w14:textId="77777777" w:rsidTr="007B1D0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295" w:type="dxa"/>
            <w:hideMark/>
          </w:tcPr>
          <w:p w14:paraId="15E13AA0" w14:textId="24A5EFB7" w:rsidR="00024E9B" w:rsidRPr="007B1D00" w:rsidRDefault="00DA63DD">
            <w:pPr>
              <w:rPr>
                <w:b w:val="0"/>
                <w:bCs w:val="0"/>
                <w:color w:val="000000"/>
              </w:rPr>
            </w:pPr>
            <w:r w:rsidRPr="007B1D00">
              <w:rPr>
                <w:b w:val="0"/>
                <w:bCs w:val="0"/>
                <w:color w:val="000000"/>
              </w:rPr>
              <w:t>Horizon</w:t>
            </w:r>
          </w:p>
        </w:tc>
        <w:tc>
          <w:tcPr>
            <w:tcW w:w="2295" w:type="dxa"/>
            <w:hideMark/>
          </w:tcPr>
          <w:p w14:paraId="7C92CAFD" w14:textId="32E907F9"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Window</w:t>
            </w:r>
          </w:p>
        </w:tc>
        <w:tc>
          <w:tcPr>
            <w:tcW w:w="2295" w:type="dxa"/>
            <w:hideMark/>
          </w:tcPr>
          <w:p w14:paraId="268234F6" w14:textId="3795A911"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Focus</w:t>
            </w:r>
          </w:p>
        </w:tc>
        <w:tc>
          <w:tcPr>
            <w:tcW w:w="2295" w:type="dxa"/>
            <w:hideMark/>
          </w:tcPr>
          <w:p w14:paraId="6C368E51" w14:textId="5535E7D3"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Succes Matrix</w:t>
            </w:r>
          </w:p>
        </w:tc>
      </w:tr>
      <w:tr w:rsidR="00024E9B" w:rsidRPr="00DA63DD" w14:paraId="551CD497"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B866571" w14:textId="77777777" w:rsidR="00024E9B" w:rsidRPr="00DA63DD" w:rsidRDefault="00000000">
            <w:pPr>
              <w:rPr>
                <w:b w:val="0"/>
                <w:bCs w:val="0"/>
                <w:color w:val="000000"/>
              </w:rPr>
            </w:pPr>
            <w:r w:rsidRPr="00DA63DD">
              <w:rPr>
                <w:b w:val="0"/>
                <w:bCs w:val="0"/>
                <w:color w:val="000000"/>
              </w:rPr>
              <w:t>1 – Quick wins</w:t>
            </w:r>
          </w:p>
        </w:tc>
        <w:tc>
          <w:tcPr>
            <w:tcW w:w="0" w:type="auto"/>
            <w:hideMark/>
          </w:tcPr>
          <w:p w14:paraId="4DEE8880"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0–6 months</w:t>
            </w:r>
          </w:p>
        </w:tc>
        <w:tc>
          <w:tcPr>
            <w:tcW w:w="0" w:type="auto"/>
            <w:hideMark/>
          </w:tcPr>
          <w:p w14:paraId="52F77848"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Readiness, skills taxonomy, screening pilot, attrition dashboard</w:t>
            </w:r>
          </w:p>
        </w:tc>
        <w:tc>
          <w:tcPr>
            <w:tcW w:w="0" w:type="auto"/>
            <w:hideMark/>
          </w:tcPr>
          <w:p w14:paraId="7ACE3D91"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Screening time −30%; bias audit passed; ≥80% HRBP dashboard use</w:t>
            </w:r>
          </w:p>
        </w:tc>
      </w:tr>
      <w:tr w:rsidR="00024E9B" w:rsidRPr="00DA63DD" w14:paraId="3985AEC3"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E149ADE" w14:textId="77777777" w:rsidR="00024E9B" w:rsidRPr="00DA63DD" w:rsidRDefault="00000000">
            <w:pPr>
              <w:rPr>
                <w:b w:val="0"/>
                <w:bCs w:val="0"/>
                <w:color w:val="000000"/>
              </w:rPr>
            </w:pPr>
            <w:r w:rsidRPr="00DA63DD">
              <w:rPr>
                <w:b w:val="0"/>
                <w:bCs w:val="0"/>
                <w:color w:val="000000"/>
                <w:shd w:val="clear" w:color="auto" w:fill="F2F2F2"/>
              </w:rPr>
              <w:t>2 – Core transformation</w:t>
            </w:r>
          </w:p>
        </w:tc>
        <w:tc>
          <w:tcPr>
            <w:tcW w:w="0" w:type="auto"/>
            <w:hideMark/>
          </w:tcPr>
          <w:p w14:paraId="078613B7" w14:textId="77777777" w:rsidR="00024E9B" w:rsidRPr="001B70FB" w:rsidRDefault="00000000">
            <w:pPr>
              <w:cnfStyle w:val="000000000000" w:firstRow="0" w:lastRow="0" w:firstColumn="0" w:lastColumn="0" w:oddVBand="0" w:evenVBand="0" w:oddHBand="0" w:evenHBand="0" w:firstRowFirstColumn="0" w:firstRowLastColumn="0" w:lastRowFirstColumn="0" w:lastRowLastColumn="0"/>
              <w:rPr>
                <w:color w:val="000000"/>
              </w:rPr>
            </w:pPr>
            <w:r w:rsidRPr="001B70FB">
              <w:rPr>
                <w:color w:val="000000"/>
                <w:shd w:val="clear" w:color="auto" w:fill="F2F2F2"/>
              </w:rPr>
              <w:t>6–18 months</w:t>
            </w:r>
          </w:p>
        </w:tc>
        <w:tc>
          <w:tcPr>
            <w:tcW w:w="0" w:type="auto"/>
            <w:hideMark/>
          </w:tcPr>
          <w:p w14:paraId="3DAEF785" w14:textId="77777777" w:rsidR="00024E9B" w:rsidRPr="001B70FB" w:rsidRDefault="00000000">
            <w:pPr>
              <w:cnfStyle w:val="000000000000" w:firstRow="0" w:lastRow="0" w:firstColumn="0" w:lastColumn="0" w:oddVBand="0" w:evenVBand="0" w:oddHBand="0" w:evenHBand="0" w:firstRowFirstColumn="0" w:firstRowLastColumn="0" w:lastRowFirstColumn="0" w:lastRowLastColumn="0"/>
              <w:rPr>
                <w:color w:val="000000"/>
              </w:rPr>
            </w:pPr>
            <w:r w:rsidRPr="001B70FB">
              <w:rPr>
                <w:color w:val="000000"/>
                <w:shd w:val="clear" w:color="auto" w:fill="F2F2F2"/>
              </w:rPr>
              <w:t>Scale hiring, production models, talent marketplace, agentic coordinator</w:t>
            </w:r>
          </w:p>
        </w:tc>
        <w:tc>
          <w:tcPr>
            <w:tcW w:w="0" w:type="auto"/>
            <w:hideMark/>
          </w:tcPr>
          <w:p w14:paraId="7C5A9150"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Attrition reduction in pilot cohorts; internal fill rate; quality-of-hire</w:t>
            </w:r>
          </w:p>
        </w:tc>
      </w:tr>
      <w:tr w:rsidR="00024E9B" w:rsidRPr="00DA63DD" w14:paraId="43F50BB7"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88E3CB0" w14:textId="77777777" w:rsidR="00024E9B" w:rsidRPr="00DA63DD" w:rsidRDefault="00000000">
            <w:pPr>
              <w:rPr>
                <w:b w:val="0"/>
                <w:bCs w:val="0"/>
                <w:color w:val="000000"/>
              </w:rPr>
            </w:pPr>
            <w:r w:rsidRPr="00DA63DD">
              <w:rPr>
                <w:b w:val="0"/>
                <w:bCs w:val="0"/>
                <w:color w:val="000000"/>
              </w:rPr>
              <w:t>3 – Strategic differentiation</w:t>
            </w:r>
          </w:p>
        </w:tc>
        <w:tc>
          <w:tcPr>
            <w:tcW w:w="0" w:type="auto"/>
            <w:hideMark/>
          </w:tcPr>
          <w:p w14:paraId="63BB2193"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18–36 months</w:t>
            </w:r>
          </w:p>
        </w:tc>
        <w:tc>
          <w:tcPr>
            <w:tcW w:w="0" w:type="auto"/>
            <w:hideMark/>
          </w:tcPr>
          <w:p w14:paraId="1D03E4FD"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Proprietary skills graph, workforce simulation, external audit</w:t>
            </w:r>
          </w:p>
        </w:tc>
        <w:tc>
          <w:tcPr>
            <w:tcW w:w="0" w:type="auto"/>
            <w:hideMark/>
          </w:tcPr>
          <w:p w14:paraId="3974768F"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Sustained 2-point attrition cut; lower skill-gap cost; audit readiness</w:t>
            </w:r>
          </w:p>
        </w:tc>
      </w:tr>
    </w:tbl>
    <w:p w14:paraId="2ACF3510" w14:textId="77777777" w:rsidR="00024E9B" w:rsidRPr="00DA63DD" w:rsidRDefault="00024E9B">
      <w:pPr>
        <w:spacing w:before="120" w:after="120"/>
      </w:pPr>
    </w:p>
    <w:p w14:paraId="6A336886" w14:textId="77777777" w:rsidR="00024E9B" w:rsidRPr="00DA63DD" w:rsidRDefault="00000000">
      <w:pPr>
        <w:pStyle w:val="Heading1"/>
        <w:keepNext w:val="0"/>
        <w:keepLines w:val="0"/>
        <w:spacing w:before="360" w:after="200"/>
        <w:rPr>
          <w:sz w:val="24"/>
          <w:szCs w:val="24"/>
        </w:rPr>
      </w:pPr>
      <w:r w:rsidRPr="00DA63DD">
        <w:rPr>
          <w:color w:val="auto"/>
          <w:sz w:val="24"/>
          <w:szCs w:val="24"/>
        </w:rPr>
        <w:lastRenderedPageBreak/>
        <w:t>Appendix D – Readiness Assessment and Stakeholder Map</w:t>
      </w:r>
    </w:p>
    <w:p w14:paraId="513DC1FB" w14:textId="77777777" w:rsidR="00024E9B" w:rsidRPr="00DA63DD" w:rsidRDefault="00000000">
      <w:pPr>
        <w:spacing w:after="120"/>
      </w:pPr>
      <w:r w:rsidRPr="00DA63DD">
        <w:t>Readiness dimensions</w:t>
      </w:r>
    </w:p>
    <w:tbl>
      <w:tblPr>
        <w:tblStyle w:val="PlainTable1"/>
        <w:tblW w:w="0" w:type="auto"/>
        <w:tblLook w:val="04A0" w:firstRow="1" w:lastRow="0" w:firstColumn="1" w:lastColumn="0" w:noHBand="0" w:noVBand="1"/>
      </w:tblPr>
      <w:tblGrid>
        <w:gridCol w:w="1658"/>
        <w:gridCol w:w="3005"/>
        <w:gridCol w:w="2642"/>
        <w:gridCol w:w="2765"/>
      </w:tblGrid>
      <w:tr w:rsidR="00024E9B" w:rsidRPr="00DA63DD" w14:paraId="7E0B96D1" w14:textId="77777777" w:rsidTr="007B1D0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295" w:type="dxa"/>
            <w:hideMark/>
          </w:tcPr>
          <w:p w14:paraId="4947AA33" w14:textId="0C27E8B6" w:rsidR="00024E9B" w:rsidRPr="007B1D00" w:rsidRDefault="00DA63DD">
            <w:pPr>
              <w:rPr>
                <w:b w:val="0"/>
                <w:bCs w:val="0"/>
                <w:color w:val="000000"/>
              </w:rPr>
            </w:pPr>
            <w:r w:rsidRPr="007B1D00">
              <w:rPr>
                <w:b w:val="0"/>
                <w:bCs w:val="0"/>
                <w:color w:val="000000"/>
              </w:rPr>
              <w:t>Dimension</w:t>
            </w:r>
          </w:p>
        </w:tc>
        <w:tc>
          <w:tcPr>
            <w:tcW w:w="2295" w:type="dxa"/>
            <w:hideMark/>
          </w:tcPr>
          <w:p w14:paraId="5D595592" w14:textId="14C7FF46"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Key Questions</w:t>
            </w:r>
          </w:p>
        </w:tc>
        <w:tc>
          <w:tcPr>
            <w:tcW w:w="2295" w:type="dxa"/>
            <w:hideMark/>
          </w:tcPr>
          <w:p w14:paraId="4734A339" w14:textId="7CB940AF"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Likely Status</w:t>
            </w:r>
          </w:p>
        </w:tc>
        <w:tc>
          <w:tcPr>
            <w:tcW w:w="2295" w:type="dxa"/>
            <w:hideMark/>
          </w:tcPr>
          <w:p w14:paraId="49668BBC" w14:textId="4B5FA136"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First Action</w:t>
            </w:r>
          </w:p>
        </w:tc>
      </w:tr>
      <w:tr w:rsidR="00024E9B" w:rsidRPr="00DA63DD" w14:paraId="2979F87A"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DA5C2DE" w14:textId="77777777" w:rsidR="00024E9B" w:rsidRPr="00DA63DD" w:rsidRDefault="00000000">
            <w:pPr>
              <w:rPr>
                <w:b w:val="0"/>
                <w:bCs w:val="0"/>
                <w:color w:val="000000"/>
              </w:rPr>
            </w:pPr>
            <w:r w:rsidRPr="00DA63DD">
              <w:rPr>
                <w:b w:val="0"/>
                <w:bCs w:val="0"/>
                <w:color w:val="000000"/>
              </w:rPr>
              <w:t>Data</w:t>
            </w:r>
          </w:p>
        </w:tc>
        <w:tc>
          <w:tcPr>
            <w:tcW w:w="0" w:type="auto"/>
            <w:hideMark/>
          </w:tcPr>
          <w:p w14:paraId="7B318AB3"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Clean, accessible, linked HR data?</w:t>
            </w:r>
          </w:p>
        </w:tc>
        <w:tc>
          <w:tcPr>
            <w:tcW w:w="0" w:type="auto"/>
            <w:hideMark/>
          </w:tcPr>
          <w:p w14:paraId="36A2DCE1"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Developing: scattered systems, thin exit labels</w:t>
            </w:r>
          </w:p>
        </w:tc>
        <w:tc>
          <w:tcPr>
            <w:tcW w:w="0" w:type="auto"/>
            <w:hideMark/>
          </w:tcPr>
          <w:p w14:paraId="2100744A"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Build data catalogue and common skills taxonomy</w:t>
            </w:r>
          </w:p>
        </w:tc>
      </w:tr>
      <w:tr w:rsidR="00024E9B" w:rsidRPr="00DA63DD" w14:paraId="5ABE78B2"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73E1FA2" w14:textId="77777777" w:rsidR="00024E9B" w:rsidRPr="00DA63DD" w:rsidRDefault="00000000">
            <w:pPr>
              <w:rPr>
                <w:b w:val="0"/>
                <w:bCs w:val="0"/>
                <w:color w:val="000000"/>
              </w:rPr>
            </w:pPr>
            <w:r w:rsidRPr="00DA63DD">
              <w:rPr>
                <w:b w:val="0"/>
                <w:bCs w:val="0"/>
                <w:color w:val="000000"/>
                <w:shd w:val="clear" w:color="auto" w:fill="F2F2F2"/>
              </w:rPr>
              <w:t>Talent</w:t>
            </w:r>
          </w:p>
        </w:tc>
        <w:tc>
          <w:tcPr>
            <w:tcW w:w="0" w:type="auto"/>
            <w:hideMark/>
          </w:tcPr>
          <w:p w14:paraId="35507659"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Can we build, deploy and maintain models?</w:t>
            </w:r>
          </w:p>
        </w:tc>
        <w:tc>
          <w:tcPr>
            <w:tcW w:w="0" w:type="auto"/>
            <w:hideMark/>
          </w:tcPr>
          <w:p w14:paraId="6AD90EC5"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Developing: few people-analytics specialists</w:t>
            </w:r>
          </w:p>
        </w:tc>
        <w:tc>
          <w:tcPr>
            <w:tcW w:w="0" w:type="auto"/>
            <w:hideMark/>
          </w:tcPr>
          <w:p w14:paraId="24187EA0"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Hire and train; partner for audits</w:t>
            </w:r>
          </w:p>
        </w:tc>
      </w:tr>
      <w:tr w:rsidR="00024E9B" w:rsidRPr="00DA63DD" w14:paraId="2467D837"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82923D2" w14:textId="77777777" w:rsidR="00024E9B" w:rsidRPr="00DA63DD" w:rsidRDefault="00000000">
            <w:pPr>
              <w:rPr>
                <w:b w:val="0"/>
                <w:bCs w:val="0"/>
                <w:color w:val="000000"/>
              </w:rPr>
            </w:pPr>
            <w:r w:rsidRPr="00DA63DD">
              <w:rPr>
                <w:b w:val="0"/>
                <w:bCs w:val="0"/>
                <w:color w:val="000000"/>
              </w:rPr>
              <w:t>Process</w:t>
            </w:r>
          </w:p>
        </w:tc>
        <w:tc>
          <w:tcPr>
            <w:tcW w:w="0" w:type="auto"/>
            <w:hideMark/>
          </w:tcPr>
          <w:p w14:paraId="3D50235A"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Are hiring, exit and promotion processes documented?</w:t>
            </w:r>
          </w:p>
        </w:tc>
        <w:tc>
          <w:tcPr>
            <w:tcW w:w="0" w:type="auto"/>
            <w:hideMark/>
          </w:tcPr>
          <w:p w14:paraId="46691B65"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Developing: interviews vary by unit</w:t>
            </w:r>
          </w:p>
        </w:tc>
        <w:tc>
          <w:tcPr>
            <w:tcW w:w="0" w:type="auto"/>
            <w:hideMark/>
          </w:tcPr>
          <w:p w14:paraId="494CDA84" w14:textId="73FF5559"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Standardi</w:t>
            </w:r>
            <w:r w:rsidR="00DA63DD">
              <w:rPr>
                <w:color w:val="000000"/>
              </w:rPr>
              <w:t>z</w:t>
            </w:r>
            <w:r w:rsidRPr="00DA63DD">
              <w:rPr>
                <w:color w:val="000000"/>
              </w:rPr>
              <w:t>e structured interviews and exit capture</w:t>
            </w:r>
          </w:p>
        </w:tc>
      </w:tr>
    </w:tbl>
    <w:p w14:paraId="3EDE7CCA" w14:textId="77777777" w:rsidR="00024E9B" w:rsidRPr="00DA63DD" w:rsidRDefault="00000000">
      <w:pPr>
        <w:spacing w:before="200" w:after="120"/>
      </w:pPr>
      <w:r w:rsidRPr="00DA63DD">
        <w:t>Stakeholder map</w:t>
      </w:r>
    </w:p>
    <w:tbl>
      <w:tblPr>
        <w:tblStyle w:val="PlainTable1"/>
        <w:tblW w:w="0" w:type="auto"/>
        <w:tblLook w:val="04A0" w:firstRow="1" w:lastRow="0" w:firstColumn="1" w:lastColumn="0" w:noHBand="0" w:noVBand="1"/>
      </w:tblPr>
      <w:tblGrid>
        <w:gridCol w:w="2021"/>
        <w:gridCol w:w="2214"/>
        <w:gridCol w:w="2182"/>
        <w:gridCol w:w="3653"/>
      </w:tblGrid>
      <w:tr w:rsidR="00024E9B" w:rsidRPr="00DA63DD" w14:paraId="2E916594" w14:textId="77777777" w:rsidTr="007B1D0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295" w:type="dxa"/>
            <w:hideMark/>
          </w:tcPr>
          <w:p w14:paraId="78661DCE" w14:textId="537C15AB" w:rsidR="00024E9B" w:rsidRPr="007B1D00" w:rsidRDefault="00DA63DD">
            <w:pPr>
              <w:rPr>
                <w:b w:val="0"/>
                <w:bCs w:val="0"/>
                <w:color w:val="000000"/>
              </w:rPr>
            </w:pPr>
            <w:r w:rsidRPr="007B1D00">
              <w:rPr>
                <w:b w:val="0"/>
                <w:bCs w:val="0"/>
                <w:color w:val="000000"/>
              </w:rPr>
              <w:t>Stakeholder</w:t>
            </w:r>
          </w:p>
        </w:tc>
        <w:tc>
          <w:tcPr>
            <w:tcW w:w="2295" w:type="dxa"/>
            <w:hideMark/>
          </w:tcPr>
          <w:p w14:paraId="00927288" w14:textId="444AC590"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Main Concern</w:t>
            </w:r>
          </w:p>
        </w:tc>
        <w:tc>
          <w:tcPr>
            <w:tcW w:w="2295" w:type="dxa"/>
            <w:hideMark/>
          </w:tcPr>
          <w:p w14:paraId="0D408747" w14:textId="71B46CAC"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Influence/Interest</w:t>
            </w:r>
          </w:p>
        </w:tc>
        <w:tc>
          <w:tcPr>
            <w:tcW w:w="2295" w:type="dxa"/>
            <w:hideMark/>
          </w:tcPr>
          <w:p w14:paraId="7F926749" w14:textId="509784B8"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Approach</w:t>
            </w:r>
          </w:p>
        </w:tc>
      </w:tr>
      <w:tr w:rsidR="00024E9B" w:rsidRPr="00DA63DD" w14:paraId="44805C86"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AF298FD" w14:textId="77777777" w:rsidR="00024E9B" w:rsidRPr="00DA63DD" w:rsidRDefault="00000000">
            <w:pPr>
              <w:rPr>
                <w:b w:val="0"/>
                <w:bCs w:val="0"/>
                <w:color w:val="000000"/>
              </w:rPr>
            </w:pPr>
            <w:r w:rsidRPr="00DA63DD">
              <w:rPr>
                <w:b w:val="0"/>
                <w:bCs w:val="0"/>
                <w:color w:val="000000"/>
              </w:rPr>
              <w:t>Board / CEO</w:t>
            </w:r>
          </w:p>
        </w:tc>
        <w:tc>
          <w:tcPr>
            <w:tcW w:w="0" w:type="auto"/>
            <w:hideMark/>
          </w:tcPr>
          <w:p w14:paraId="67E3DA8E"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ROI and risk</w:t>
            </w:r>
          </w:p>
        </w:tc>
        <w:tc>
          <w:tcPr>
            <w:tcW w:w="0" w:type="auto"/>
            <w:hideMark/>
          </w:tcPr>
          <w:p w14:paraId="2B445FB7"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High / high</w:t>
            </w:r>
          </w:p>
        </w:tc>
        <w:tc>
          <w:tcPr>
            <w:tcW w:w="0" w:type="auto"/>
            <w:hideMark/>
          </w:tcPr>
          <w:p w14:paraId="7918B90F"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One hard ROI number, risk dashboard</w:t>
            </w:r>
          </w:p>
        </w:tc>
      </w:tr>
      <w:tr w:rsidR="00024E9B" w:rsidRPr="00DA63DD" w14:paraId="4475471B"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0B6A6610" w14:textId="77777777" w:rsidR="00024E9B" w:rsidRPr="00DA63DD" w:rsidRDefault="00000000">
            <w:pPr>
              <w:rPr>
                <w:b w:val="0"/>
                <w:bCs w:val="0"/>
                <w:color w:val="000000"/>
              </w:rPr>
            </w:pPr>
            <w:r w:rsidRPr="00DA63DD">
              <w:rPr>
                <w:b w:val="0"/>
                <w:bCs w:val="0"/>
                <w:color w:val="000000"/>
                <w:shd w:val="clear" w:color="auto" w:fill="F2F2F2"/>
              </w:rPr>
              <w:t>CFO</w:t>
            </w:r>
          </w:p>
        </w:tc>
        <w:tc>
          <w:tcPr>
            <w:tcW w:w="0" w:type="auto"/>
            <w:hideMark/>
          </w:tcPr>
          <w:p w14:paraId="0BDA1E13"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Payback and budget</w:t>
            </w:r>
          </w:p>
        </w:tc>
        <w:tc>
          <w:tcPr>
            <w:tcW w:w="0" w:type="auto"/>
            <w:hideMark/>
          </w:tcPr>
          <w:p w14:paraId="49C08376"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High / high</w:t>
            </w:r>
          </w:p>
        </w:tc>
        <w:tc>
          <w:tcPr>
            <w:tcW w:w="0" w:type="auto"/>
            <w:hideMark/>
          </w:tcPr>
          <w:p w14:paraId="7980276C"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Stage-gated funding</w:t>
            </w:r>
          </w:p>
        </w:tc>
      </w:tr>
      <w:tr w:rsidR="00024E9B" w:rsidRPr="00DA63DD" w14:paraId="641C5833"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235ADCC" w14:textId="77777777" w:rsidR="00024E9B" w:rsidRPr="00DA63DD" w:rsidRDefault="00000000">
            <w:pPr>
              <w:rPr>
                <w:b w:val="0"/>
                <w:bCs w:val="0"/>
                <w:color w:val="000000"/>
              </w:rPr>
            </w:pPr>
            <w:r w:rsidRPr="00DA63DD">
              <w:rPr>
                <w:b w:val="0"/>
                <w:bCs w:val="0"/>
                <w:color w:val="000000"/>
              </w:rPr>
              <w:t>CTO / IT</w:t>
            </w:r>
          </w:p>
        </w:tc>
        <w:tc>
          <w:tcPr>
            <w:tcW w:w="0" w:type="auto"/>
            <w:hideMark/>
          </w:tcPr>
          <w:p w14:paraId="405966E4"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Integration, security</w:t>
            </w:r>
          </w:p>
        </w:tc>
        <w:tc>
          <w:tcPr>
            <w:tcW w:w="0" w:type="auto"/>
            <w:hideMark/>
          </w:tcPr>
          <w:p w14:paraId="40CD155D"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High / high</w:t>
            </w:r>
          </w:p>
        </w:tc>
        <w:tc>
          <w:tcPr>
            <w:tcW w:w="0" w:type="auto"/>
            <w:hideMark/>
          </w:tcPr>
          <w:p w14:paraId="16B97724"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Shared platform standards</w:t>
            </w:r>
          </w:p>
        </w:tc>
      </w:tr>
      <w:tr w:rsidR="00024E9B" w:rsidRPr="00DA63DD" w14:paraId="3A39CBAA"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E70783E" w14:textId="77777777" w:rsidR="00024E9B" w:rsidRPr="00DA63DD" w:rsidRDefault="00000000">
            <w:pPr>
              <w:rPr>
                <w:b w:val="0"/>
                <w:bCs w:val="0"/>
                <w:color w:val="000000"/>
              </w:rPr>
            </w:pPr>
            <w:r w:rsidRPr="00DA63DD">
              <w:rPr>
                <w:b w:val="0"/>
                <w:bCs w:val="0"/>
                <w:color w:val="000000"/>
                <w:shd w:val="clear" w:color="auto" w:fill="F2F2F2"/>
              </w:rPr>
              <w:t>Middle managers</w:t>
            </w:r>
          </w:p>
        </w:tc>
        <w:tc>
          <w:tcPr>
            <w:tcW w:w="0" w:type="auto"/>
            <w:hideMark/>
          </w:tcPr>
          <w:p w14:paraId="2BC1A297"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Workload and relevance</w:t>
            </w:r>
          </w:p>
        </w:tc>
        <w:tc>
          <w:tcPr>
            <w:tcW w:w="0" w:type="auto"/>
            <w:hideMark/>
          </w:tcPr>
          <w:p w14:paraId="3E8739F2"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High / high</w:t>
            </w:r>
          </w:p>
        </w:tc>
        <w:tc>
          <w:tcPr>
            <w:tcW w:w="0" w:type="auto"/>
            <w:hideMark/>
          </w:tcPr>
          <w:p w14:paraId="64C6D081"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Embed in workflow, train, measure adoption</w:t>
            </w:r>
          </w:p>
        </w:tc>
      </w:tr>
      <w:tr w:rsidR="00024E9B" w:rsidRPr="00DA63DD" w14:paraId="6C50F3FF"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6471AB0" w14:textId="77777777" w:rsidR="00024E9B" w:rsidRPr="00DA63DD" w:rsidRDefault="00000000">
            <w:pPr>
              <w:rPr>
                <w:b w:val="0"/>
                <w:bCs w:val="0"/>
                <w:color w:val="000000"/>
              </w:rPr>
            </w:pPr>
            <w:r w:rsidRPr="00DA63DD">
              <w:rPr>
                <w:b w:val="0"/>
                <w:bCs w:val="0"/>
                <w:color w:val="000000"/>
              </w:rPr>
              <w:t>Legal and DPO</w:t>
            </w:r>
          </w:p>
        </w:tc>
        <w:tc>
          <w:tcPr>
            <w:tcW w:w="0" w:type="auto"/>
            <w:hideMark/>
          </w:tcPr>
          <w:p w14:paraId="00D7BB4A"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Compliance</w:t>
            </w:r>
          </w:p>
        </w:tc>
        <w:tc>
          <w:tcPr>
            <w:tcW w:w="0" w:type="auto"/>
            <w:hideMark/>
          </w:tcPr>
          <w:p w14:paraId="6F38C831"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High / low</w:t>
            </w:r>
          </w:p>
        </w:tc>
        <w:tc>
          <w:tcPr>
            <w:tcW w:w="0" w:type="auto"/>
            <w:hideMark/>
          </w:tcPr>
          <w:p w14:paraId="7064F67C"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Early review</w:t>
            </w:r>
          </w:p>
        </w:tc>
      </w:tr>
      <w:tr w:rsidR="00024E9B" w:rsidRPr="00DA63DD" w14:paraId="78A255C7"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8AD6EB3" w14:textId="77777777" w:rsidR="00024E9B" w:rsidRPr="00DA63DD" w:rsidRDefault="00000000">
            <w:pPr>
              <w:rPr>
                <w:b w:val="0"/>
                <w:bCs w:val="0"/>
                <w:color w:val="000000"/>
              </w:rPr>
            </w:pPr>
            <w:r w:rsidRPr="00DA63DD">
              <w:rPr>
                <w:b w:val="0"/>
                <w:bCs w:val="0"/>
                <w:color w:val="000000"/>
                <w:shd w:val="clear" w:color="auto" w:fill="F2F2F2"/>
              </w:rPr>
              <w:t>Frontline employees</w:t>
            </w:r>
          </w:p>
        </w:tc>
        <w:tc>
          <w:tcPr>
            <w:tcW w:w="0" w:type="auto"/>
            <w:hideMark/>
          </w:tcPr>
          <w:p w14:paraId="307CCCFA"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Job security, privacy</w:t>
            </w:r>
          </w:p>
        </w:tc>
        <w:tc>
          <w:tcPr>
            <w:tcW w:w="0" w:type="auto"/>
            <w:hideMark/>
          </w:tcPr>
          <w:p w14:paraId="3ED067B7"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Low / high</w:t>
            </w:r>
          </w:p>
        </w:tc>
        <w:tc>
          <w:tcPr>
            <w:tcW w:w="0" w:type="auto"/>
            <w:hideMark/>
          </w:tcPr>
          <w:p w14:paraId="5C27A99A"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Transparency, opt-in, champions</w:t>
            </w:r>
          </w:p>
        </w:tc>
      </w:tr>
    </w:tbl>
    <w:p w14:paraId="06C1B586" w14:textId="77777777" w:rsidR="00024E9B" w:rsidRPr="00DA63DD" w:rsidRDefault="00024E9B">
      <w:pPr>
        <w:spacing w:before="120" w:after="120"/>
      </w:pPr>
    </w:p>
    <w:p w14:paraId="505D7D77" w14:textId="77777777" w:rsidR="00024E9B" w:rsidRPr="00DA63DD" w:rsidRDefault="00000000">
      <w:pPr>
        <w:pStyle w:val="Heading1"/>
        <w:keepNext w:val="0"/>
        <w:keepLines w:val="0"/>
        <w:spacing w:before="360" w:after="200"/>
        <w:rPr>
          <w:b w:val="0"/>
          <w:bCs w:val="0"/>
          <w:sz w:val="24"/>
          <w:szCs w:val="24"/>
        </w:rPr>
      </w:pPr>
      <w:r w:rsidRPr="00DA63DD">
        <w:rPr>
          <w:b w:val="0"/>
          <w:bCs w:val="0"/>
          <w:color w:val="auto"/>
          <w:sz w:val="24"/>
          <w:szCs w:val="24"/>
        </w:rPr>
        <w:t>Appendix E – Risk Register and 3-Column Note Template</w:t>
      </w:r>
    </w:p>
    <w:p w14:paraId="2DA32961" w14:textId="77777777" w:rsidR="00024E9B" w:rsidRPr="00DA63DD" w:rsidRDefault="00000000">
      <w:pPr>
        <w:spacing w:after="120"/>
      </w:pPr>
      <w:r w:rsidRPr="00DA63DD">
        <w:t>Risk register</w:t>
      </w:r>
    </w:p>
    <w:tbl>
      <w:tblPr>
        <w:tblStyle w:val="PlainTable1"/>
        <w:tblW w:w="0" w:type="auto"/>
        <w:tblLook w:val="04A0" w:firstRow="1" w:lastRow="0" w:firstColumn="1" w:lastColumn="0" w:noHBand="0" w:noVBand="1"/>
      </w:tblPr>
      <w:tblGrid>
        <w:gridCol w:w="2006"/>
        <w:gridCol w:w="4051"/>
        <w:gridCol w:w="4013"/>
      </w:tblGrid>
      <w:tr w:rsidR="00024E9B" w:rsidRPr="00DA63DD" w14:paraId="378C89A2" w14:textId="77777777" w:rsidTr="007B1D0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295" w:type="dxa"/>
            <w:hideMark/>
          </w:tcPr>
          <w:p w14:paraId="67773E56" w14:textId="45305927" w:rsidR="00024E9B" w:rsidRPr="007B1D00" w:rsidRDefault="00DA63DD">
            <w:pPr>
              <w:rPr>
                <w:b w:val="0"/>
                <w:bCs w:val="0"/>
                <w:color w:val="000000"/>
              </w:rPr>
            </w:pPr>
            <w:r w:rsidRPr="007B1D00">
              <w:rPr>
                <w:b w:val="0"/>
                <w:bCs w:val="0"/>
                <w:color w:val="000000"/>
              </w:rPr>
              <w:t>Risk Category</w:t>
            </w:r>
          </w:p>
        </w:tc>
        <w:tc>
          <w:tcPr>
            <w:tcW w:w="2295" w:type="dxa"/>
            <w:hideMark/>
          </w:tcPr>
          <w:p w14:paraId="649F49BF" w14:textId="1F49D301"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HR-specific Example</w:t>
            </w:r>
          </w:p>
        </w:tc>
        <w:tc>
          <w:tcPr>
            <w:tcW w:w="2295" w:type="dxa"/>
            <w:hideMark/>
          </w:tcPr>
          <w:p w14:paraId="4DDD22CA" w14:textId="771E2B8F" w:rsidR="00024E9B" w:rsidRPr="007B1D00" w:rsidRDefault="00DA63DD">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Mitigation</w:t>
            </w:r>
          </w:p>
        </w:tc>
      </w:tr>
      <w:tr w:rsidR="00024E9B" w:rsidRPr="00DA63DD" w14:paraId="4601730B"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588D50F" w14:textId="77777777" w:rsidR="00024E9B" w:rsidRPr="00DA63DD" w:rsidRDefault="00000000">
            <w:pPr>
              <w:rPr>
                <w:b w:val="0"/>
                <w:bCs w:val="0"/>
                <w:color w:val="000000"/>
              </w:rPr>
            </w:pPr>
            <w:r w:rsidRPr="00DA63DD">
              <w:rPr>
                <w:b w:val="0"/>
                <w:bCs w:val="0"/>
                <w:color w:val="000000"/>
              </w:rPr>
              <w:t>Technical</w:t>
            </w:r>
          </w:p>
        </w:tc>
        <w:tc>
          <w:tcPr>
            <w:tcW w:w="0" w:type="auto"/>
            <w:hideMark/>
          </w:tcPr>
          <w:p w14:paraId="0D6265B0"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Model drift; overfitting on few resignations</w:t>
            </w:r>
          </w:p>
        </w:tc>
        <w:tc>
          <w:tcPr>
            <w:tcW w:w="0" w:type="auto"/>
            <w:hideMark/>
          </w:tcPr>
          <w:p w14:paraId="12E3BE1F"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Quarterly testing, monitoring and retraining</w:t>
            </w:r>
          </w:p>
        </w:tc>
      </w:tr>
      <w:tr w:rsidR="00024E9B" w:rsidRPr="00DA63DD" w14:paraId="46F4AF12"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0A74749" w14:textId="77777777" w:rsidR="00024E9B" w:rsidRPr="00DA63DD" w:rsidRDefault="00000000">
            <w:pPr>
              <w:rPr>
                <w:b w:val="0"/>
                <w:bCs w:val="0"/>
                <w:color w:val="000000"/>
              </w:rPr>
            </w:pPr>
            <w:r w:rsidRPr="00DA63DD">
              <w:rPr>
                <w:b w:val="0"/>
                <w:bCs w:val="0"/>
                <w:color w:val="000000"/>
                <w:shd w:val="clear" w:color="auto" w:fill="F2F2F2"/>
              </w:rPr>
              <w:t>Ethical</w:t>
            </w:r>
          </w:p>
        </w:tc>
        <w:tc>
          <w:tcPr>
            <w:tcW w:w="0" w:type="auto"/>
            <w:hideMark/>
          </w:tcPr>
          <w:p w14:paraId="6C6690A3"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Biased shortlists; unfair attrition flags</w:t>
            </w:r>
          </w:p>
        </w:tc>
        <w:tc>
          <w:tcPr>
            <w:tcW w:w="0" w:type="auto"/>
            <w:hideMark/>
          </w:tcPr>
          <w:p w14:paraId="35C7A43E"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Excluded attributes, bias audits, human review</w:t>
            </w:r>
          </w:p>
        </w:tc>
      </w:tr>
      <w:tr w:rsidR="00024E9B" w:rsidRPr="00DA63DD" w14:paraId="4083EBDE"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3ED297F" w14:textId="77777777" w:rsidR="00024E9B" w:rsidRPr="00DA63DD" w:rsidRDefault="00000000">
            <w:pPr>
              <w:rPr>
                <w:b w:val="0"/>
                <w:bCs w:val="0"/>
                <w:color w:val="000000"/>
              </w:rPr>
            </w:pPr>
            <w:r w:rsidRPr="00DA63DD">
              <w:rPr>
                <w:b w:val="0"/>
                <w:bCs w:val="0"/>
                <w:color w:val="000000"/>
              </w:rPr>
              <w:t>Legal and compliance</w:t>
            </w:r>
          </w:p>
        </w:tc>
        <w:tc>
          <w:tcPr>
            <w:tcW w:w="0" w:type="auto"/>
            <w:hideMark/>
          </w:tcPr>
          <w:p w14:paraId="2C5DAC74"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DPDP Act breaches; EU AI Act high-risk classification</w:t>
            </w:r>
          </w:p>
        </w:tc>
        <w:tc>
          <w:tcPr>
            <w:tcW w:w="0" w:type="auto"/>
            <w:hideMark/>
          </w:tcPr>
          <w:p w14:paraId="20ADA447"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Legal review, consent, purpose limits, documentation</w:t>
            </w:r>
          </w:p>
        </w:tc>
      </w:tr>
      <w:tr w:rsidR="00024E9B" w:rsidRPr="00DA63DD" w14:paraId="17D6DFFC"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FFC86B5" w14:textId="77777777" w:rsidR="00024E9B" w:rsidRPr="00DA63DD" w:rsidRDefault="00000000">
            <w:pPr>
              <w:rPr>
                <w:b w:val="0"/>
                <w:bCs w:val="0"/>
                <w:color w:val="000000"/>
              </w:rPr>
            </w:pPr>
            <w:r w:rsidRPr="00DA63DD">
              <w:rPr>
                <w:b w:val="0"/>
                <w:bCs w:val="0"/>
                <w:color w:val="000000"/>
                <w:shd w:val="clear" w:color="auto" w:fill="F2F2F2"/>
              </w:rPr>
              <w:t>Operational</w:t>
            </w:r>
          </w:p>
        </w:tc>
        <w:tc>
          <w:tcPr>
            <w:tcW w:w="0" w:type="auto"/>
            <w:hideMark/>
          </w:tcPr>
          <w:p w14:paraId="35C8862D"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HR system outage; cyber breach of employee data</w:t>
            </w:r>
          </w:p>
        </w:tc>
        <w:tc>
          <w:tcPr>
            <w:tcW w:w="0" w:type="auto"/>
            <w:hideMark/>
          </w:tcPr>
          <w:p w14:paraId="68D03D91"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Robust testing, access controls, security measures</w:t>
            </w:r>
          </w:p>
        </w:tc>
      </w:tr>
      <w:tr w:rsidR="00024E9B" w:rsidRPr="00DA63DD" w14:paraId="38682134"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95B8723" w14:textId="77777777" w:rsidR="00024E9B" w:rsidRPr="00DA63DD" w:rsidRDefault="00000000">
            <w:pPr>
              <w:rPr>
                <w:b w:val="0"/>
                <w:bCs w:val="0"/>
                <w:color w:val="000000"/>
              </w:rPr>
            </w:pPr>
            <w:r w:rsidRPr="00DA63DD">
              <w:rPr>
                <w:b w:val="0"/>
                <w:bCs w:val="0"/>
                <w:color w:val="000000"/>
              </w:rPr>
              <w:t>Reputational</w:t>
            </w:r>
          </w:p>
        </w:tc>
        <w:tc>
          <w:tcPr>
            <w:tcW w:w="0" w:type="auto"/>
            <w:hideMark/>
          </w:tcPr>
          <w:p w14:paraId="375C1338"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Employee backlash over perceived surveillance</w:t>
            </w:r>
          </w:p>
        </w:tc>
        <w:tc>
          <w:tcPr>
            <w:tcW w:w="0" w:type="auto"/>
            <w:hideMark/>
          </w:tcPr>
          <w:p w14:paraId="625A2C73"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Transparency, opt-in features, clear communication</w:t>
            </w:r>
          </w:p>
        </w:tc>
      </w:tr>
    </w:tbl>
    <w:p w14:paraId="0DCE912D" w14:textId="77777777" w:rsidR="00024E9B" w:rsidRPr="00DA63DD" w:rsidRDefault="00000000">
      <w:pPr>
        <w:spacing w:before="200" w:after="120"/>
      </w:pPr>
      <w:r w:rsidRPr="00DA63DD">
        <w:lastRenderedPageBreak/>
        <w:t>3-Column note template (used for analysis)</w:t>
      </w:r>
    </w:p>
    <w:tbl>
      <w:tblPr>
        <w:tblStyle w:val="PlainTable1"/>
        <w:tblW w:w="0" w:type="auto"/>
        <w:tblLook w:val="04A0" w:firstRow="1" w:lastRow="0" w:firstColumn="1" w:lastColumn="0" w:noHBand="0" w:noVBand="1"/>
      </w:tblPr>
      <w:tblGrid>
        <w:gridCol w:w="3081"/>
        <w:gridCol w:w="3262"/>
        <w:gridCol w:w="3727"/>
      </w:tblGrid>
      <w:tr w:rsidR="00024E9B" w:rsidRPr="00DA63DD" w14:paraId="6D1EA8D1" w14:textId="77777777" w:rsidTr="007B1D00">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295" w:type="dxa"/>
            <w:hideMark/>
          </w:tcPr>
          <w:p w14:paraId="48A41130" w14:textId="4E90B054" w:rsidR="00024E9B" w:rsidRPr="007B1D00" w:rsidRDefault="001B70FB">
            <w:pPr>
              <w:rPr>
                <w:b w:val="0"/>
                <w:bCs w:val="0"/>
                <w:color w:val="000000"/>
              </w:rPr>
            </w:pPr>
            <w:r w:rsidRPr="007B1D00">
              <w:rPr>
                <w:b w:val="0"/>
                <w:bCs w:val="0"/>
                <w:color w:val="000000"/>
              </w:rPr>
              <w:t>Industry Challenge &amp; Context</w:t>
            </w:r>
          </w:p>
        </w:tc>
        <w:tc>
          <w:tcPr>
            <w:tcW w:w="2295" w:type="dxa"/>
            <w:hideMark/>
          </w:tcPr>
          <w:p w14:paraId="59342DDC" w14:textId="3CA33DEC" w:rsidR="00024E9B" w:rsidRPr="007B1D00" w:rsidRDefault="001B70FB">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AI Strategy &amp; Mechanism</w:t>
            </w:r>
          </w:p>
        </w:tc>
        <w:tc>
          <w:tcPr>
            <w:tcW w:w="2295" w:type="dxa"/>
            <w:hideMark/>
          </w:tcPr>
          <w:p w14:paraId="41D03F71" w14:textId="0B34A3E0" w:rsidR="00024E9B" w:rsidRPr="007B1D00" w:rsidRDefault="001B70FB">
            <w:pPr>
              <w:cnfStyle w:val="100000000000" w:firstRow="1" w:lastRow="0" w:firstColumn="0" w:lastColumn="0" w:oddVBand="0" w:evenVBand="0" w:oddHBand="0" w:evenHBand="0" w:firstRowFirstColumn="0" w:firstRowLastColumn="0" w:lastRowFirstColumn="0" w:lastRowLastColumn="0"/>
              <w:rPr>
                <w:b w:val="0"/>
                <w:bCs w:val="0"/>
                <w:color w:val="000000"/>
              </w:rPr>
            </w:pPr>
            <w:r w:rsidRPr="007B1D00">
              <w:rPr>
                <w:b w:val="0"/>
                <w:bCs w:val="0"/>
                <w:color w:val="000000"/>
              </w:rPr>
              <w:t>My Analysis &amp; Recommendations</w:t>
            </w:r>
          </w:p>
        </w:tc>
      </w:tr>
      <w:tr w:rsidR="00024E9B" w:rsidRPr="00DA63DD" w14:paraId="3A8B4B9A"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C3F40CD" w14:textId="77777777" w:rsidR="00024E9B" w:rsidRPr="00DA63DD" w:rsidRDefault="00000000">
            <w:pPr>
              <w:rPr>
                <w:b w:val="0"/>
                <w:bCs w:val="0"/>
                <w:color w:val="000000"/>
              </w:rPr>
            </w:pPr>
            <w:r w:rsidRPr="00DA63DD">
              <w:rPr>
                <w:b w:val="0"/>
                <w:bCs w:val="0"/>
                <w:color w:val="000000"/>
              </w:rPr>
              <w:t>Hiring at scale: 3,000–8,000 resumes per opening; keyword screeners have signal-to-noise problems</w:t>
            </w:r>
          </w:p>
        </w:tc>
        <w:tc>
          <w:tcPr>
            <w:tcW w:w="0" w:type="auto"/>
            <w:hideMark/>
          </w:tcPr>
          <w:p w14:paraId="31A5E173"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Skills-based resume parsing on a skills knowledge graph; ranked shortlist with visible reasons</w:t>
            </w:r>
          </w:p>
        </w:tc>
        <w:tc>
          <w:tcPr>
            <w:tcW w:w="0" w:type="auto"/>
            <w:hideMark/>
          </w:tcPr>
          <w:p w14:paraId="43C6BE9C"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Decision support only; exclude protected attributes; train on outcomes; bias audits; human makes final decision</w:t>
            </w:r>
          </w:p>
        </w:tc>
      </w:tr>
      <w:tr w:rsidR="00024E9B" w:rsidRPr="00DA63DD" w14:paraId="61D53142"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0CE02020" w14:textId="77777777" w:rsidR="00024E9B" w:rsidRPr="00DA63DD" w:rsidRDefault="00000000">
            <w:pPr>
              <w:rPr>
                <w:b w:val="0"/>
                <w:bCs w:val="0"/>
                <w:color w:val="000000"/>
              </w:rPr>
            </w:pPr>
            <w:r w:rsidRPr="00DA63DD">
              <w:rPr>
                <w:b w:val="0"/>
                <w:bCs w:val="0"/>
                <w:color w:val="000000"/>
                <w:shd w:val="clear" w:color="auto" w:fill="F2F2F2"/>
              </w:rPr>
              <w:t>Turnover: India Inc attrition 18% in 2026 (16.2% in 2025)</w:t>
            </w:r>
          </w:p>
        </w:tc>
        <w:tc>
          <w:tcPr>
            <w:tcW w:w="0" w:type="auto"/>
            <w:hideMark/>
          </w:tcPr>
          <w:p w14:paraId="0D3D228D"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Attrition early-warning model with SHAP explanations</w:t>
            </w:r>
          </w:p>
        </w:tc>
        <w:tc>
          <w:tcPr>
            <w:tcW w:w="0" w:type="auto"/>
            <w:hideMark/>
          </w:tcPr>
          <w:p w14:paraId="7D63342A"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Cohort level first; judge by precision/recall in top-risk group; link to retention playbooks; never punitive</w:t>
            </w:r>
          </w:p>
        </w:tc>
      </w:tr>
      <w:tr w:rsidR="00024E9B" w:rsidRPr="00DA63DD" w14:paraId="21990918" w14:textId="77777777" w:rsidTr="007B1D0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ACF9083" w14:textId="77777777" w:rsidR="00024E9B" w:rsidRPr="00DA63DD" w:rsidRDefault="00000000">
            <w:pPr>
              <w:rPr>
                <w:b w:val="0"/>
                <w:bCs w:val="0"/>
                <w:color w:val="000000"/>
              </w:rPr>
            </w:pPr>
            <w:r w:rsidRPr="00DA63DD">
              <w:rPr>
                <w:b w:val="0"/>
                <w:bCs w:val="0"/>
                <w:color w:val="000000"/>
              </w:rPr>
              <w:t>Generic development and late engagement signals</w:t>
            </w:r>
          </w:p>
        </w:tc>
        <w:tc>
          <w:tcPr>
            <w:tcW w:w="0" w:type="auto"/>
            <w:hideMark/>
          </w:tcPr>
          <w:p w14:paraId="17E7BBC6" w14:textId="77777777"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Skills graph, recommendation engine, internal talent marketplace, NLP on pulse comments</w:t>
            </w:r>
          </w:p>
        </w:tc>
        <w:tc>
          <w:tcPr>
            <w:tcW w:w="0" w:type="auto"/>
            <w:hideMark/>
          </w:tcPr>
          <w:p w14:paraId="301B47AA" w14:textId="21123119" w:rsidR="00024E9B" w:rsidRPr="00DA63DD" w:rsidRDefault="00000000">
            <w:pPr>
              <w:cnfStyle w:val="000000100000" w:firstRow="0" w:lastRow="0" w:firstColumn="0" w:lastColumn="0" w:oddVBand="0" w:evenVBand="0" w:oddHBand="1" w:evenHBand="0" w:firstRowFirstColumn="0" w:firstRowLastColumn="0" w:lastRowFirstColumn="0" w:lastRowLastColumn="0"/>
              <w:rPr>
                <w:color w:val="000000"/>
              </w:rPr>
            </w:pPr>
            <w:r w:rsidRPr="00DA63DD">
              <w:rPr>
                <w:color w:val="000000"/>
              </w:rPr>
              <w:t>Opt-in personali</w:t>
            </w:r>
            <w:r w:rsidR="001B70FB">
              <w:rPr>
                <w:color w:val="000000"/>
              </w:rPr>
              <w:t>z</w:t>
            </w:r>
            <w:r w:rsidRPr="00DA63DD">
              <w:rPr>
                <w:color w:val="000000"/>
              </w:rPr>
              <w:t>ation; minimum group size of ten; manager and champion adoption</w:t>
            </w:r>
          </w:p>
        </w:tc>
      </w:tr>
      <w:tr w:rsidR="00024E9B" w:rsidRPr="00DA63DD" w14:paraId="32F465C8" w14:textId="77777777" w:rsidTr="007B1D00">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06FEAA60" w14:textId="77777777" w:rsidR="00024E9B" w:rsidRPr="00DA63DD" w:rsidRDefault="00000000">
            <w:pPr>
              <w:rPr>
                <w:b w:val="0"/>
                <w:bCs w:val="0"/>
                <w:color w:val="000000"/>
              </w:rPr>
            </w:pPr>
            <w:r w:rsidRPr="00DA63DD">
              <w:rPr>
                <w:b w:val="0"/>
                <w:bCs w:val="0"/>
                <w:color w:val="000000"/>
                <w:shd w:val="clear" w:color="auto" w:fill="F2F2F2"/>
              </w:rPr>
              <w:t>Regulatory and trust risk</w:t>
            </w:r>
          </w:p>
        </w:tc>
        <w:tc>
          <w:tcPr>
            <w:tcW w:w="0" w:type="auto"/>
            <w:hideMark/>
          </w:tcPr>
          <w:p w14:paraId="72DAD161"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AI Ethics Committee, risk assessment, audit and monitoring</w:t>
            </w:r>
          </w:p>
        </w:tc>
        <w:tc>
          <w:tcPr>
            <w:tcW w:w="0" w:type="auto"/>
            <w:hideMark/>
          </w:tcPr>
          <w:p w14:paraId="4F9F7265" w14:textId="77777777" w:rsidR="00024E9B" w:rsidRPr="00DA63DD" w:rsidRDefault="00000000">
            <w:pPr>
              <w:cnfStyle w:val="000000000000" w:firstRow="0" w:lastRow="0" w:firstColumn="0" w:lastColumn="0" w:oddVBand="0" w:evenVBand="0" w:oddHBand="0" w:evenHBand="0" w:firstRowFirstColumn="0" w:firstRowLastColumn="0" w:lastRowFirstColumn="0" w:lastRowLastColumn="0"/>
              <w:rPr>
                <w:color w:val="000000"/>
              </w:rPr>
            </w:pPr>
            <w:r w:rsidRPr="00DA63DD">
              <w:rPr>
                <w:color w:val="000000"/>
                <w:shd w:val="clear" w:color="auto" w:fill="F2F2F2"/>
              </w:rPr>
              <w:t>DPDP Act compliance; bias audit before launch; steering group instead of single sponsor</w:t>
            </w:r>
          </w:p>
        </w:tc>
      </w:tr>
    </w:tbl>
    <w:p w14:paraId="64F1825F" w14:textId="77777777" w:rsidR="00024E9B" w:rsidRPr="00DA63DD" w:rsidRDefault="00024E9B">
      <w:pPr>
        <w:spacing w:before="120" w:after="120"/>
      </w:pPr>
    </w:p>
    <w:sectPr w:rsidR="00024E9B" w:rsidRPr="00DA63DD" w:rsidSect="00007B49">
      <w:headerReference w:type="default" r:id="rId20"/>
      <w:footerReference w:type="default" r:id="rId21"/>
      <w:pgSz w:w="12240" w:h="15840"/>
      <w:pgMar w:top="1080" w:right="1080" w:bottom="1080" w:left="1080" w:header="708" w:footer="708" w:gutter="0"/>
      <w:pgBorders w:offsetFrom="page">
        <w:top w:val="triple" w:sz="4" w:space="24" w:color="auto"/>
        <w:left w:val="triple" w:sz="4" w:space="24" w:color="auto"/>
        <w:bottom w:val="triple" w:sz="4" w:space="24" w:color="auto"/>
        <w:right w:val="trip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085DE" w14:textId="77777777" w:rsidR="00895B6D" w:rsidRDefault="00895B6D">
      <w:r>
        <w:separator/>
      </w:r>
    </w:p>
  </w:endnote>
  <w:endnote w:type="continuationSeparator" w:id="0">
    <w:p w14:paraId="585565D4" w14:textId="77777777" w:rsidR="00895B6D" w:rsidRDefault="00895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8FD6" w14:textId="77777777" w:rsidR="00024E9B" w:rsidRDefault="00000000">
    <w:r>
      <w:t>Utkrati Agrawal</w:t>
    </w:r>
  </w:p>
  <w:p w14:paraId="023FCDF4" w14:textId="77777777" w:rsidR="00024E9B" w:rsidRDefault="00000000">
    <w:r>
      <w:t>BDA20261037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11D5F" w14:textId="77777777" w:rsidR="00895B6D" w:rsidRDefault="00895B6D">
      <w:r>
        <w:separator/>
      </w:r>
    </w:p>
  </w:footnote>
  <w:footnote w:type="continuationSeparator" w:id="0">
    <w:p w14:paraId="7C00CBE0" w14:textId="77777777" w:rsidR="00895B6D" w:rsidRDefault="00895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16152015"/>
      <w:docPartObj>
        <w:docPartGallery w:val="Page Numbers (Top of Page)"/>
        <w:docPartUnique/>
      </w:docPartObj>
    </w:sdtPr>
    <w:sdtEndPr>
      <w:rPr>
        <w:b/>
        <w:bCs/>
        <w:noProof/>
        <w:color w:val="auto"/>
        <w:spacing w:val="0"/>
      </w:rPr>
    </w:sdtEndPr>
    <w:sdtContent>
      <w:p w14:paraId="3122881E" w14:textId="0F6388F0" w:rsidR="009A0B97" w:rsidRDefault="009A0B97">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FBB0A70" w14:textId="77777777" w:rsidR="009A0B97" w:rsidRDefault="009A0B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24B6D046">
      <w:start w:val="1"/>
      <w:numFmt w:val="bullet"/>
      <w:lvlText w:val=""/>
      <w:lvlJc w:val="left"/>
      <w:pPr>
        <w:ind w:left="360" w:hanging="360"/>
      </w:pPr>
      <w:rPr>
        <w:rFonts w:ascii="Symbol" w:hAnsi="Symbol"/>
      </w:rPr>
    </w:lvl>
    <w:lvl w:ilvl="1" w:tplc="A896244C">
      <w:start w:val="1"/>
      <w:numFmt w:val="bullet"/>
      <w:lvlText w:val="o"/>
      <w:lvlJc w:val="left"/>
      <w:pPr>
        <w:tabs>
          <w:tab w:val="num" w:pos="1080"/>
        </w:tabs>
        <w:ind w:left="1080" w:hanging="360"/>
      </w:pPr>
      <w:rPr>
        <w:rFonts w:ascii="Courier New" w:hAnsi="Courier New"/>
      </w:rPr>
    </w:lvl>
    <w:lvl w:ilvl="2" w:tplc="D91808BC">
      <w:start w:val="1"/>
      <w:numFmt w:val="bullet"/>
      <w:lvlText w:val=""/>
      <w:lvlJc w:val="left"/>
      <w:pPr>
        <w:tabs>
          <w:tab w:val="num" w:pos="1800"/>
        </w:tabs>
        <w:ind w:left="1800" w:hanging="360"/>
      </w:pPr>
      <w:rPr>
        <w:rFonts w:ascii="Wingdings" w:hAnsi="Wingdings"/>
      </w:rPr>
    </w:lvl>
    <w:lvl w:ilvl="3" w:tplc="85241AFE">
      <w:start w:val="1"/>
      <w:numFmt w:val="bullet"/>
      <w:lvlText w:val=""/>
      <w:lvlJc w:val="left"/>
      <w:pPr>
        <w:tabs>
          <w:tab w:val="num" w:pos="2520"/>
        </w:tabs>
        <w:ind w:left="2520" w:hanging="360"/>
      </w:pPr>
      <w:rPr>
        <w:rFonts w:ascii="Symbol" w:hAnsi="Symbol"/>
      </w:rPr>
    </w:lvl>
    <w:lvl w:ilvl="4" w:tplc="CF7668DE">
      <w:start w:val="1"/>
      <w:numFmt w:val="bullet"/>
      <w:lvlText w:val="o"/>
      <w:lvlJc w:val="left"/>
      <w:pPr>
        <w:tabs>
          <w:tab w:val="num" w:pos="3240"/>
        </w:tabs>
        <w:ind w:left="3240" w:hanging="360"/>
      </w:pPr>
      <w:rPr>
        <w:rFonts w:ascii="Courier New" w:hAnsi="Courier New"/>
      </w:rPr>
    </w:lvl>
    <w:lvl w:ilvl="5" w:tplc="7A822DAE">
      <w:start w:val="1"/>
      <w:numFmt w:val="bullet"/>
      <w:lvlText w:val=""/>
      <w:lvlJc w:val="left"/>
      <w:pPr>
        <w:tabs>
          <w:tab w:val="num" w:pos="3960"/>
        </w:tabs>
        <w:ind w:left="3960" w:hanging="360"/>
      </w:pPr>
      <w:rPr>
        <w:rFonts w:ascii="Wingdings" w:hAnsi="Wingdings"/>
      </w:rPr>
    </w:lvl>
    <w:lvl w:ilvl="6" w:tplc="B412AA0E">
      <w:start w:val="1"/>
      <w:numFmt w:val="bullet"/>
      <w:lvlText w:val=""/>
      <w:lvlJc w:val="left"/>
      <w:pPr>
        <w:tabs>
          <w:tab w:val="num" w:pos="4680"/>
        </w:tabs>
        <w:ind w:left="4680" w:hanging="360"/>
      </w:pPr>
      <w:rPr>
        <w:rFonts w:ascii="Symbol" w:hAnsi="Symbol"/>
      </w:rPr>
    </w:lvl>
    <w:lvl w:ilvl="7" w:tplc="6396C6E8">
      <w:start w:val="1"/>
      <w:numFmt w:val="bullet"/>
      <w:lvlText w:val="o"/>
      <w:lvlJc w:val="left"/>
      <w:pPr>
        <w:tabs>
          <w:tab w:val="num" w:pos="5400"/>
        </w:tabs>
        <w:ind w:left="5400" w:hanging="360"/>
      </w:pPr>
      <w:rPr>
        <w:rFonts w:ascii="Courier New" w:hAnsi="Courier New"/>
      </w:rPr>
    </w:lvl>
    <w:lvl w:ilvl="8" w:tplc="4EDCB560">
      <w:start w:val="1"/>
      <w:numFmt w:val="bullet"/>
      <w:lvlText w:val=""/>
      <w:lvlJc w:val="left"/>
      <w:pPr>
        <w:tabs>
          <w:tab w:val="num" w:pos="6120"/>
        </w:tabs>
        <w:ind w:left="6120" w:hanging="360"/>
      </w:pPr>
      <w:rPr>
        <w:rFonts w:ascii="Wingdings" w:hAnsi="Wingdings"/>
      </w:r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40542877">
    <w:abstractNumId w:val="0"/>
  </w:num>
  <w:num w:numId="2" w16cid:durableId="2068411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E9B"/>
    <w:rsid w:val="00007B49"/>
    <w:rsid w:val="00024E9B"/>
    <w:rsid w:val="001B70FB"/>
    <w:rsid w:val="00294E8E"/>
    <w:rsid w:val="006019A2"/>
    <w:rsid w:val="007155D2"/>
    <w:rsid w:val="007B1D00"/>
    <w:rsid w:val="00895B6D"/>
    <w:rsid w:val="008C7EDE"/>
    <w:rsid w:val="009A0B97"/>
    <w:rsid w:val="00DA63DD"/>
    <w:rsid w:val="00FD1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760C2"/>
  <w15:docId w15:val="{2D02DA78-B705-4702-B28A-5A6DC54CE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styleId="Hyperlink">
    <w:name w:val="Hyperlink"/>
    <w:basedOn w:val="DefaultParagraphFont"/>
    <w:uiPriority w:val="99"/>
    <w:unhideWhenUsed/>
    <w:rsid w:val="00007B49"/>
    <w:rPr>
      <w:color w:val="0000FF" w:themeColor="hyperlink"/>
      <w:u w:val="single"/>
    </w:rPr>
  </w:style>
  <w:style w:type="character" w:styleId="UnresolvedMention">
    <w:name w:val="Unresolved Mention"/>
    <w:basedOn w:val="DefaultParagraphFont"/>
    <w:uiPriority w:val="99"/>
    <w:semiHidden/>
    <w:unhideWhenUsed/>
    <w:rsid w:val="00007B49"/>
    <w:rPr>
      <w:color w:val="605E5C"/>
      <w:shd w:val="clear" w:color="auto" w:fill="E1DFDD"/>
    </w:rPr>
  </w:style>
  <w:style w:type="paragraph" w:styleId="Header">
    <w:name w:val="header"/>
    <w:basedOn w:val="Normal"/>
    <w:link w:val="HeaderChar"/>
    <w:uiPriority w:val="99"/>
    <w:unhideWhenUsed/>
    <w:rsid w:val="009A0B97"/>
    <w:pPr>
      <w:tabs>
        <w:tab w:val="center" w:pos="4513"/>
        <w:tab w:val="right" w:pos="9026"/>
      </w:tabs>
    </w:pPr>
  </w:style>
  <w:style w:type="character" w:customStyle="1" w:styleId="HeaderChar">
    <w:name w:val="Header Char"/>
    <w:basedOn w:val="DefaultParagraphFont"/>
    <w:link w:val="Header"/>
    <w:uiPriority w:val="99"/>
    <w:rsid w:val="009A0B97"/>
    <w:rPr>
      <w:sz w:val="24"/>
      <w:szCs w:val="24"/>
    </w:rPr>
  </w:style>
  <w:style w:type="paragraph" w:styleId="Footer">
    <w:name w:val="footer"/>
    <w:basedOn w:val="Normal"/>
    <w:link w:val="FooterChar"/>
    <w:uiPriority w:val="99"/>
    <w:unhideWhenUsed/>
    <w:rsid w:val="009A0B97"/>
    <w:pPr>
      <w:tabs>
        <w:tab w:val="center" w:pos="4513"/>
        <w:tab w:val="right" w:pos="9026"/>
      </w:tabs>
    </w:pPr>
  </w:style>
  <w:style w:type="character" w:customStyle="1" w:styleId="FooterChar">
    <w:name w:val="Footer Char"/>
    <w:basedOn w:val="DefaultParagraphFont"/>
    <w:link w:val="Footer"/>
    <w:uiPriority w:val="99"/>
    <w:rsid w:val="009A0B97"/>
    <w:rPr>
      <w:sz w:val="24"/>
      <w:szCs w:val="24"/>
    </w:rPr>
  </w:style>
  <w:style w:type="table" w:styleId="PlainTable1">
    <w:name w:val="Plain Table 1"/>
    <w:basedOn w:val="TableNormal"/>
    <w:uiPriority w:val="41"/>
    <w:rsid w:val="007B1D0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 TargetMode="External"/><Relationship Id="rId13" Type="http://schemas.openxmlformats.org/officeDocument/2006/relationships/hyperlink" Target="https://www.infosys.com/newsroom/press-releases/2023/certification-ai-generative-ai-skills.html" TargetMode="External"/><Relationship Id="rId18" Type="http://schemas.openxmlformats.org/officeDocument/2006/relationships/hyperlink" Target="https://grok.x.ai"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newsroom.accenture.com/news/2023/accenture-to-invest-3-billion-in-ai-to-accelerate-clients-reinvention" TargetMode="External"/><Relationship Id="rId12" Type="http://schemas.openxmlformats.org/officeDocument/2006/relationships/hyperlink" Target="https://www.infoedge.in/pdfs/News_Events_pdfs/Naukri-Jobspeak-October-2024.pdf" TargetMode="External"/><Relationship Id="rId17" Type="http://schemas.openxmlformats.org/officeDocument/2006/relationships/hyperlink" Target="https://x.ai" TargetMode="External"/><Relationship Id="rId2" Type="http://schemas.openxmlformats.org/officeDocument/2006/relationships/styles" Target="styles.xml"/><Relationship Id="rId16" Type="http://schemas.openxmlformats.org/officeDocument/2006/relationships/hyperlink" Target="https://www.osc.ny.gov/state-agencies/audits/2025/12/02/enforcement-local-law-144-automated-employment-decision-tool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ur-lex.europa.eu/eli/reg/2024/1689/oj" TargetMode="External"/><Relationship Id="rId5" Type="http://schemas.openxmlformats.org/officeDocument/2006/relationships/footnotes" Target="footnotes.xml"/><Relationship Id="rId15" Type="http://schemas.openxmlformats.org/officeDocument/2006/relationships/hyperlink" Target="https://www.meity.gov.in/data-protection-framework" TargetMode="External"/><Relationship Id="rId23" Type="http://schemas.openxmlformats.org/officeDocument/2006/relationships/theme" Target="theme/theme1.xml"/><Relationship Id="rId10" Type="http://schemas.openxmlformats.org/officeDocument/2006/relationships/hyperlink" Target="https://www.reuters.com/article/us-amazon-com-jobs-automation-insight/amazon-scraps-secret-ai-recruiting-tool-that-showed-bias-against-women-idUSKCN1MK08G" TargetMode="External"/><Relationship Id="rId19" Type="http://schemas.openxmlformats.org/officeDocument/2006/relationships/hyperlink" Target="http://Naukri.com" TargetMode="External"/><Relationship Id="rId4" Type="http://schemas.openxmlformats.org/officeDocument/2006/relationships/webSettings" Target="webSettings.xml"/><Relationship Id="rId9" Type="http://schemas.openxmlformats.org/officeDocument/2006/relationships/hyperlink" Target="https://www.aon.com/apac/in-the-press/asia-newsroom/2026/aon-survey-projects-slight-uptick-in-salaries-in-india-2026" TargetMode="External"/><Relationship Id="rId14" Type="http://schemas.openxmlformats.org/officeDocument/2006/relationships/hyperlink" Target="https://proceedings.neurips.cc/paper/2017/hash/8a20a8621978632d76c43dfd28b67767-Abstract.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11</Pages>
  <Words>4365</Words>
  <Characters>24885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AI_in_HR_Talent_Management_Report_Humanized</vt:lpstr>
    </vt:vector>
  </TitlesOfParts>
  <Company/>
  <LinksUpToDate>false</LinksUpToDate>
  <CharactersWithSpaces>29192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AI_in_HR_Talent_Management_Report_Humanized</dc:title>
  <cp:lastModifiedBy>Utkrati Agrawal</cp:lastModifiedBy>
  <cp:revision>12</cp:revision>
  <dcterms:created xsi:type="dcterms:W3CDTF">2026-10-18T13:39:00Z</dcterms:created>
  <dcterms:modified xsi:type="dcterms:W3CDTF">2026-10-18T14:12:00Z</dcterms:modified>
</cp:coreProperties>
</file>