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F1238" w14:textId="29CADCFB" w:rsidR="00AF413A" w:rsidRPr="003638A8" w:rsidRDefault="00000000">
      <w:pPr>
        <w:jc w:val="center"/>
        <w:rPr>
          <w:color w:val="000000" w:themeColor="text1"/>
        </w:rPr>
      </w:pPr>
      <w:r w:rsidRPr="003638A8">
        <w:rPr>
          <w:b/>
          <w:color w:val="000000" w:themeColor="text1"/>
          <w:sz w:val="28"/>
        </w:rPr>
        <w:t>CS445</w:t>
      </w:r>
      <w:r w:rsidR="00F957D5">
        <w:rPr>
          <w:b/>
          <w:color w:val="000000" w:themeColor="text1"/>
          <w:sz w:val="28"/>
        </w:rPr>
        <w:t>-Project</w:t>
      </w:r>
      <w:r w:rsidRPr="003638A8">
        <w:rPr>
          <w:b/>
          <w:color w:val="000000" w:themeColor="text1"/>
          <w:sz w:val="28"/>
        </w:rPr>
        <w:t xml:space="preserve"> SemEval-2026 Task 5:</w:t>
      </w:r>
      <w:r w:rsidRPr="003638A8">
        <w:rPr>
          <w:b/>
          <w:color w:val="000000" w:themeColor="text1"/>
          <w:sz w:val="28"/>
        </w:rPr>
        <w:br/>
        <w:t>Rating Plausibility of Word Senses in Ambiguous Sentences</w:t>
      </w:r>
      <w:r w:rsidRPr="003638A8">
        <w:rPr>
          <w:b/>
          <w:color w:val="000000" w:themeColor="text1"/>
          <w:sz w:val="28"/>
        </w:rPr>
        <w:br/>
        <w:t>through Narrative Understanding</w:t>
      </w:r>
    </w:p>
    <w:p w14:paraId="240AC3D7" w14:textId="77777777" w:rsidR="00AF413A" w:rsidRPr="003638A8" w:rsidRDefault="00000000">
      <w:pPr>
        <w:jc w:val="center"/>
        <w:rPr>
          <w:color w:val="000000" w:themeColor="text1"/>
        </w:rPr>
      </w:pPr>
      <w:r w:rsidRPr="003638A8">
        <w:rPr>
          <w:b/>
          <w:color w:val="000000" w:themeColor="text1"/>
          <w:sz w:val="24"/>
        </w:rPr>
        <w:t>Group 22 — Milestone Report</w:t>
      </w:r>
    </w:p>
    <w:p w14:paraId="4C07CC3F" w14:textId="77777777" w:rsidR="00AF413A" w:rsidRPr="003638A8" w:rsidRDefault="00AF413A">
      <w:pPr>
        <w:rPr>
          <w:color w:val="000000" w:themeColor="text1"/>
        </w:rPr>
      </w:pPr>
    </w:p>
    <w:p w14:paraId="62336F1E" w14:textId="77777777" w:rsidR="00AF413A" w:rsidRPr="003638A8" w:rsidRDefault="00000000">
      <w:pPr>
        <w:pStyle w:val="Balk2"/>
        <w:rPr>
          <w:color w:val="000000" w:themeColor="text1"/>
        </w:rPr>
      </w:pPr>
      <w:r w:rsidRPr="003638A8">
        <w:rPr>
          <w:color w:val="000000" w:themeColor="text1"/>
        </w:rPr>
        <w:t>1. Introduction</w:t>
      </w:r>
    </w:p>
    <w:p w14:paraId="2D46D947" w14:textId="57EBCD71" w:rsidR="00725E55" w:rsidRPr="003638A8" w:rsidRDefault="009A1B83" w:rsidP="00725E55">
      <w:pPr>
        <w:rPr>
          <w:color w:val="000000" w:themeColor="text1"/>
        </w:rPr>
      </w:pPr>
      <w:r w:rsidRPr="003638A8">
        <w:rPr>
          <w:color w:val="000000" w:themeColor="text1"/>
        </w:rPr>
        <w:t>Word Sense Disambiguation (WSD) is a fundamental NLP problem determining the correct meaning of polysemous words. SemEval-2026 Task 5 extends traditional WSD by acknowledging that multiple senses can be simultaneously plausible. Using the AmbiStory dataset—5-sentence stories containing a target homonym—the task requires predicting human plausibility ratings (1–5) for two senses within the surrounding narrative.</w:t>
      </w:r>
    </w:p>
    <w:p w14:paraId="120A3437" w14:textId="27F80816" w:rsidR="00725E55" w:rsidRPr="003638A8" w:rsidRDefault="009A1B83" w:rsidP="00725E55">
      <w:pPr>
        <w:rPr>
          <w:color w:val="000000" w:themeColor="text1"/>
        </w:rPr>
      </w:pPr>
      <w:r w:rsidRPr="003638A8">
        <w:rPr>
          <w:color w:val="000000" w:themeColor="text1"/>
        </w:rPr>
        <w:t>The system takes a 5-sentence story (precontext, ambiguous sentence, and ending), a target homonym, and a sense definition as input. It must produce a scalar plausibility rating between 1 and 5, indicating how plausible that specific sense is within the given narrative context</w:t>
      </w:r>
      <w:r w:rsidR="00725E55" w:rsidRPr="003638A8">
        <w:rPr>
          <w:color w:val="000000" w:themeColor="text1"/>
        </w:rPr>
        <w:t>.</w:t>
      </w:r>
    </w:p>
    <w:p w14:paraId="760541B5" w14:textId="01336EBF" w:rsidR="00AF413A" w:rsidRPr="003638A8" w:rsidRDefault="009A1B83">
      <w:pPr>
        <w:rPr>
          <w:color w:val="000000" w:themeColor="text1"/>
        </w:rPr>
      </w:pPr>
      <w:r w:rsidRPr="003638A8">
        <w:rPr>
          <w:color w:val="000000" w:themeColor="text1"/>
        </w:rPr>
        <w:t>Unlike binary WSD, this task treats sense plausibility as a graded phenomenon, reflecting that human judgments often fall on a spectrum rather than discrete categories. The system must perform regression instead of classification and understand full narrative context. Since train and validation sets contain non-overlapping homonyms (220 vs. 55), the model must generalize to unseen words, motivating a reliance on sense definitions rather than word-specific patterns</w:t>
      </w:r>
      <w:r w:rsidR="00725E55" w:rsidRPr="003638A8">
        <w:rPr>
          <w:color w:val="000000" w:themeColor="text1"/>
        </w:rPr>
        <w:t>.</w:t>
      </w:r>
    </w:p>
    <w:p w14:paraId="42B6A80D" w14:textId="77777777" w:rsidR="00AF413A" w:rsidRPr="003638A8" w:rsidRDefault="00000000">
      <w:pPr>
        <w:pStyle w:val="Balk2"/>
        <w:rPr>
          <w:color w:val="000000" w:themeColor="text1"/>
        </w:rPr>
      </w:pPr>
      <w:r w:rsidRPr="003638A8">
        <w:rPr>
          <w:color w:val="000000" w:themeColor="text1"/>
        </w:rPr>
        <w:t>2. Dataset Selection</w:t>
      </w:r>
    </w:p>
    <w:p w14:paraId="7459D8C1" w14:textId="77777777" w:rsidR="00AF413A" w:rsidRPr="003638A8" w:rsidRDefault="00000000">
      <w:pPr>
        <w:rPr>
          <w:color w:val="000000" w:themeColor="text1"/>
        </w:rPr>
      </w:pPr>
      <w:r w:rsidRPr="003638A8">
        <w:rPr>
          <w:color w:val="000000" w:themeColor="text1"/>
        </w:rPr>
        <w:t>We use the AmbiStory dataset provided by the task organizers (Gehring &amp; Roth, 2025) [4], available at the official task GitHub repository.</w:t>
      </w:r>
    </w:p>
    <w:p w14:paraId="35DD62BE" w14:textId="77777777" w:rsidR="00AF413A" w:rsidRPr="003638A8" w:rsidRDefault="00000000">
      <w:pPr>
        <w:pStyle w:val="Balk3"/>
        <w:rPr>
          <w:color w:val="000000" w:themeColor="text1"/>
          <w:sz w:val="24"/>
          <w:szCs w:val="24"/>
        </w:rPr>
      </w:pPr>
      <w:r w:rsidRPr="003638A8">
        <w:rPr>
          <w:color w:val="000000" w:themeColor="text1"/>
          <w:sz w:val="24"/>
          <w:szCs w:val="24"/>
        </w:rPr>
        <w:t>2.1 Dataset Overview</w:t>
      </w:r>
    </w:p>
    <w:tbl>
      <w:tblPr>
        <w:tblStyle w:val="AkGlgeleme-Vurgu1"/>
        <w:tblW w:w="0" w:type="auto"/>
        <w:jc w:val="center"/>
        <w:tblLook w:val="04A0" w:firstRow="1" w:lastRow="0" w:firstColumn="1" w:lastColumn="0" w:noHBand="0" w:noVBand="1"/>
      </w:tblPr>
      <w:tblGrid>
        <w:gridCol w:w="2641"/>
        <w:gridCol w:w="2641"/>
        <w:gridCol w:w="2641"/>
      </w:tblGrid>
      <w:tr w:rsidR="003638A8" w:rsidRPr="003638A8" w14:paraId="7376C18E" w14:textId="77777777" w:rsidTr="009A1B83">
        <w:trPr>
          <w:cnfStyle w:val="100000000000" w:firstRow="1" w:lastRow="0" w:firstColumn="0" w:lastColumn="0" w:oddVBand="0" w:evenVBand="0" w:oddHBand="0" w:evenHBand="0" w:firstRowFirstColumn="0" w:firstRowLastColumn="0" w:lastRowFirstColumn="0" w:lastRowLastColumn="0"/>
          <w:trHeight w:val="230"/>
          <w:jc w:val="center"/>
        </w:trPr>
        <w:tc>
          <w:tcPr>
            <w:cnfStyle w:val="001000000000" w:firstRow="0" w:lastRow="0" w:firstColumn="1" w:lastColumn="0" w:oddVBand="0" w:evenVBand="0" w:oddHBand="0" w:evenHBand="0" w:firstRowFirstColumn="0" w:firstRowLastColumn="0" w:lastRowFirstColumn="0" w:lastRowLastColumn="0"/>
            <w:tcW w:w="2641" w:type="dxa"/>
          </w:tcPr>
          <w:p w14:paraId="0921EBF8" w14:textId="77777777" w:rsidR="00AF413A" w:rsidRPr="003638A8" w:rsidRDefault="00000000">
            <w:pPr>
              <w:rPr>
                <w:color w:val="1F497D" w:themeColor="text2"/>
              </w:rPr>
            </w:pPr>
            <w:r w:rsidRPr="003638A8">
              <w:rPr>
                <w:color w:val="1F497D" w:themeColor="text2"/>
              </w:rPr>
              <w:t>Split</w:t>
            </w:r>
          </w:p>
        </w:tc>
        <w:tc>
          <w:tcPr>
            <w:tcW w:w="2641" w:type="dxa"/>
          </w:tcPr>
          <w:p w14:paraId="75662D82" w14:textId="77777777" w:rsidR="00AF413A" w:rsidRPr="003638A8" w:rsidRDefault="00000000">
            <w:pPr>
              <w:cnfStyle w:val="100000000000" w:firstRow="1" w:lastRow="0" w:firstColumn="0" w:lastColumn="0" w:oddVBand="0" w:evenVBand="0" w:oddHBand="0" w:evenHBand="0" w:firstRowFirstColumn="0" w:firstRowLastColumn="0" w:lastRowFirstColumn="0" w:lastRowLastColumn="0"/>
              <w:rPr>
                <w:color w:val="1F497D" w:themeColor="text2"/>
              </w:rPr>
            </w:pPr>
            <w:r w:rsidRPr="003638A8">
              <w:rPr>
                <w:color w:val="1F497D" w:themeColor="text2"/>
              </w:rPr>
              <w:t>Samples</w:t>
            </w:r>
          </w:p>
        </w:tc>
        <w:tc>
          <w:tcPr>
            <w:tcW w:w="2641" w:type="dxa"/>
          </w:tcPr>
          <w:p w14:paraId="6BECB8B4" w14:textId="77777777" w:rsidR="00AF413A" w:rsidRPr="003638A8" w:rsidRDefault="00000000">
            <w:pPr>
              <w:cnfStyle w:val="100000000000" w:firstRow="1" w:lastRow="0" w:firstColumn="0" w:lastColumn="0" w:oddVBand="0" w:evenVBand="0" w:oddHBand="0" w:evenHBand="0" w:firstRowFirstColumn="0" w:firstRowLastColumn="0" w:lastRowFirstColumn="0" w:lastRowLastColumn="0"/>
              <w:rPr>
                <w:color w:val="1F497D" w:themeColor="text2"/>
              </w:rPr>
            </w:pPr>
            <w:r w:rsidRPr="003638A8">
              <w:rPr>
                <w:color w:val="1F497D" w:themeColor="text2"/>
              </w:rPr>
              <w:t>Usage</w:t>
            </w:r>
          </w:p>
        </w:tc>
      </w:tr>
      <w:tr w:rsidR="003638A8" w:rsidRPr="003638A8" w14:paraId="58C844EB" w14:textId="77777777" w:rsidTr="009A1B83">
        <w:trPr>
          <w:cnfStyle w:val="000000100000" w:firstRow="0" w:lastRow="0" w:firstColumn="0" w:lastColumn="0" w:oddVBand="0" w:evenVBand="0" w:oddHBand="1" w:evenHBand="0" w:firstRowFirstColumn="0" w:firstRowLastColumn="0" w:lastRowFirstColumn="0" w:lastRowLastColumn="0"/>
          <w:trHeight w:val="230"/>
          <w:jc w:val="center"/>
        </w:trPr>
        <w:tc>
          <w:tcPr>
            <w:cnfStyle w:val="001000000000" w:firstRow="0" w:lastRow="0" w:firstColumn="1" w:lastColumn="0" w:oddVBand="0" w:evenVBand="0" w:oddHBand="0" w:evenHBand="0" w:firstRowFirstColumn="0" w:firstRowLastColumn="0" w:lastRowFirstColumn="0" w:lastRowLastColumn="0"/>
            <w:tcW w:w="2641" w:type="dxa"/>
          </w:tcPr>
          <w:p w14:paraId="2DEC61A5" w14:textId="77777777" w:rsidR="00AF413A" w:rsidRPr="003638A8" w:rsidRDefault="00000000">
            <w:pPr>
              <w:rPr>
                <w:color w:val="1F497D" w:themeColor="text2"/>
                <w:sz w:val="20"/>
                <w:szCs w:val="20"/>
              </w:rPr>
            </w:pPr>
            <w:r w:rsidRPr="003638A8">
              <w:rPr>
                <w:color w:val="1F497D" w:themeColor="text2"/>
                <w:sz w:val="20"/>
                <w:szCs w:val="20"/>
              </w:rPr>
              <w:t>Train</w:t>
            </w:r>
          </w:p>
        </w:tc>
        <w:tc>
          <w:tcPr>
            <w:tcW w:w="2641" w:type="dxa"/>
          </w:tcPr>
          <w:p w14:paraId="606AB08F" w14:textId="77777777" w:rsidR="00AF413A" w:rsidRPr="003638A8" w:rsidRDefault="00000000">
            <w:pPr>
              <w:cnfStyle w:val="000000100000" w:firstRow="0" w:lastRow="0" w:firstColumn="0" w:lastColumn="0" w:oddVBand="0" w:evenVBand="0" w:oddHBand="1" w:evenHBand="0" w:firstRowFirstColumn="0" w:firstRowLastColumn="0" w:lastRowFirstColumn="0" w:lastRowLastColumn="0"/>
              <w:rPr>
                <w:color w:val="1F497D" w:themeColor="text2"/>
                <w:sz w:val="20"/>
                <w:szCs w:val="20"/>
              </w:rPr>
            </w:pPr>
            <w:r w:rsidRPr="003638A8">
              <w:rPr>
                <w:color w:val="1F497D" w:themeColor="text2"/>
                <w:sz w:val="20"/>
                <w:szCs w:val="20"/>
              </w:rPr>
              <w:t>2,280</w:t>
            </w:r>
          </w:p>
        </w:tc>
        <w:tc>
          <w:tcPr>
            <w:tcW w:w="2641" w:type="dxa"/>
          </w:tcPr>
          <w:p w14:paraId="780451EF" w14:textId="77777777" w:rsidR="00AF413A" w:rsidRPr="003638A8" w:rsidRDefault="00000000">
            <w:pPr>
              <w:cnfStyle w:val="000000100000" w:firstRow="0" w:lastRow="0" w:firstColumn="0" w:lastColumn="0" w:oddVBand="0" w:evenVBand="0" w:oddHBand="1" w:evenHBand="0" w:firstRowFirstColumn="0" w:firstRowLastColumn="0" w:lastRowFirstColumn="0" w:lastRowLastColumn="0"/>
              <w:rPr>
                <w:color w:val="1F497D" w:themeColor="text2"/>
                <w:sz w:val="20"/>
                <w:szCs w:val="20"/>
              </w:rPr>
            </w:pPr>
            <w:r w:rsidRPr="003638A8">
              <w:rPr>
                <w:color w:val="1F497D" w:themeColor="text2"/>
                <w:sz w:val="20"/>
                <w:szCs w:val="20"/>
              </w:rPr>
              <w:t>Model training and EDA</w:t>
            </w:r>
          </w:p>
        </w:tc>
      </w:tr>
      <w:tr w:rsidR="003638A8" w:rsidRPr="003638A8" w14:paraId="7E3D79A2" w14:textId="77777777" w:rsidTr="009A1B83">
        <w:trPr>
          <w:trHeight w:val="416"/>
          <w:jc w:val="center"/>
        </w:trPr>
        <w:tc>
          <w:tcPr>
            <w:cnfStyle w:val="001000000000" w:firstRow="0" w:lastRow="0" w:firstColumn="1" w:lastColumn="0" w:oddVBand="0" w:evenVBand="0" w:oddHBand="0" w:evenHBand="0" w:firstRowFirstColumn="0" w:firstRowLastColumn="0" w:lastRowFirstColumn="0" w:lastRowLastColumn="0"/>
            <w:tcW w:w="2641" w:type="dxa"/>
          </w:tcPr>
          <w:p w14:paraId="1608D865" w14:textId="77777777" w:rsidR="00AF413A" w:rsidRPr="003638A8" w:rsidRDefault="00000000">
            <w:pPr>
              <w:rPr>
                <w:color w:val="1F497D" w:themeColor="text2"/>
                <w:sz w:val="20"/>
                <w:szCs w:val="20"/>
              </w:rPr>
            </w:pPr>
            <w:r w:rsidRPr="003638A8">
              <w:rPr>
                <w:color w:val="1F497D" w:themeColor="text2"/>
                <w:sz w:val="20"/>
                <w:szCs w:val="20"/>
              </w:rPr>
              <w:t>Validation</w:t>
            </w:r>
          </w:p>
        </w:tc>
        <w:tc>
          <w:tcPr>
            <w:tcW w:w="2641" w:type="dxa"/>
          </w:tcPr>
          <w:p w14:paraId="6C62592E" w14:textId="77777777" w:rsidR="00AF413A" w:rsidRPr="003638A8" w:rsidRDefault="00000000">
            <w:pPr>
              <w:cnfStyle w:val="000000000000" w:firstRow="0" w:lastRow="0" w:firstColumn="0" w:lastColumn="0" w:oddVBand="0" w:evenVBand="0" w:oddHBand="0" w:evenHBand="0" w:firstRowFirstColumn="0" w:firstRowLastColumn="0" w:lastRowFirstColumn="0" w:lastRowLastColumn="0"/>
              <w:rPr>
                <w:color w:val="1F497D" w:themeColor="text2"/>
                <w:sz w:val="20"/>
                <w:szCs w:val="20"/>
              </w:rPr>
            </w:pPr>
            <w:r w:rsidRPr="003638A8">
              <w:rPr>
                <w:color w:val="1F497D" w:themeColor="text2"/>
                <w:sz w:val="20"/>
                <w:szCs w:val="20"/>
              </w:rPr>
              <w:t>588</w:t>
            </w:r>
          </w:p>
        </w:tc>
        <w:tc>
          <w:tcPr>
            <w:tcW w:w="2641" w:type="dxa"/>
          </w:tcPr>
          <w:p w14:paraId="14042649" w14:textId="77777777" w:rsidR="00AF413A" w:rsidRPr="003638A8" w:rsidRDefault="00000000">
            <w:pPr>
              <w:cnfStyle w:val="000000000000" w:firstRow="0" w:lastRow="0" w:firstColumn="0" w:lastColumn="0" w:oddVBand="0" w:evenVBand="0" w:oddHBand="0" w:evenHBand="0" w:firstRowFirstColumn="0" w:firstRowLastColumn="0" w:lastRowFirstColumn="0" w:lastRowLastColumn="0"/>
              <w:rPr>
                <w:color w:val="1F497D" w:themeColor="text2"/>
                <w:sz w:val="20"/>
                <w:szCs w:val="20"/>
              </w:rPr>
            </w:pPr>
            <w:r w:rsidRPr="003638A8">
              <w:rPr>
                <w:color w:val="1F497D" w:themeColor="text2"/>
                <w:sz w:val="20"/>
                <w:szCs w:val="20"/>
              </w:rPr>
              <w:t>Hyperparameter tuning and evaluation</w:t>
            </w:r>
          </w:p>
        </w:tc>
      </w:tr>
      <w:tr w:rsidR="003638A8" w:rsidRPr="003638A8" w14:paraId="34D1C885" w14:textId="77777777" w:rsidTr="009A1B83">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2641" w:type="dxa"/>
          </w:tcPr>
          <w:p w14:paraId="1770481F" w14:textId="77777777" w:rsidR="00AF413A" w:rsidRPr="003638A8" w:rsidRDefault="00000000">
            <w:pPr>
              <w:rPr>
                <w:color w:val="1F497D" w:themeColor="text2"/>
                <w:sz w:val="20"/>
                <w:szCs w:val="20"/>
              </w:rPr>
            </w:pPr>
            <w:r w:rsidRPr="003638A8">
              <w:rPr>
                <w:color w:val="1F497D" w:themeColor="text2"/>
                <w:sz w:val="20"/>
                <w:szCs w:val="20"/>
              </w:rPr>
              <w:t>Test</w:t>
            </w:r>
          </w:p>
        </w:tc>
        <w:tc>
          <w:tcPr>
            <w:tcW w:w="2641" w:type="dxa"/>
          </w:tcPr>
          <w:p w14:paraId="498B81F0" w14:textId="77777777" w:rsidR="00AF413A" w:rsidRPr="003638A8" w:rsidRDefault="00000000">
            <w:pPr>
              <w:cnfStyle w:val="000000100000" w:firstRow="0" w:lastRow="0" w:firstColumn="0" w:lastColumn="0" w:oddVBand="0" w:evenVBand="0" w:oddHBand="1" w:evenHBand="0" w:firstRowFirstColumn="0" w:firstRowLastColumn="0" w:lastRowFirstColumn="0" w:lastRowLastColumn="0"/>
              <w:rPr>
                <w:color w:val="1F497D" w:themeColor="text2"/>
                <w:sz w:val="20"/>
                <w:szCs w:val="20"/>
              </w:rPr>
            </w:pPr>
            <w:r w:rsidRPr="003638A8">
              <w:rPr>
                <w:color w:val="1F497D" w:themeColor="text2"/>
                <w:sz w:val="20"/>
                <w:szCs w:val="20"/>
              </w:rPr>
              <w:t>930</w:t>
            </w:r>
          </w:p>
        </w:tc>
        <w:tc>
          <w:tcPr>
            <w:tcW w:w="2641" w:type="dxa"/>
          </w:tcPr>
          <w:p w14:paraId="0804A244" w14:textId="77777777" w:rsidR="00AF413A" w:rsidRPr="003638A8" w:rsidRDefault="00000000">
            <w:pPr>
              <w:cnfStyle w:val="000000100000" w:firstRow="0" w:lastRow="0" w:firstColumn="0" w:lastColumn="0" w:oddVBand="0" w:evenVBand="0" w:oddHBand="1" w:evenHBand="0" w:firstRowFirstColumn="0" w:firstRowLastColumn="0" w:lastRowFirstColumn="0" w:lastRowLastColumn="0"/>
              <w:rPr>
                <w:color w:val="1F497D" w:themeColor="text2"/>
                <w:sz w:val="20"/>
                <w:szCs w:val="20"/>
              </w:rPr>
            </w:pPr>
            <w:r w:rsidRPr="003638A8">
              <w:rPr>
                <w:color w:val="1F497D" w:themeColor="text2"/>
                <w:sz w:val="20"/>
                <w:szCs w:val="20"/>
              </w:rPr>
              <w:t>Final evaluation only (locked)</w:t>
            </w:r>
          </w:p>
        </w:tc>
      </w:tr>
    </w:tbl>
    <w:p w14:paraId="6F066A89" w14:textId="77777777" w:rsidR="00AF413A" w:rsidRPr="003638A8" w:rsidRDefault="00AF413A">
      <w:pPr>
        <w:rPr>
          <w:color w:val="000000" w:themeColor="text1"/>
        </w:rPr>
      </w:pPr>
    </w:p>
    <w:p w14:paraId="0D7A04B3" w14:textId="002512F7" w:rsidR="00725E55" w:rsidRPr="003638A8" w:rsidRDefault="00725E55" w:rsidP="00725E55">
      <w:pPr>
        <w:rPr>
          <w:color w:val="000000" w:themeColor="text1"/>
        </w:rPr>
      </w:pPr>
      <w:r w:rsidRPr="003638A8">
        <w:rPr>
          <w:color w:val="000000" w:themeColor="text1"/>
        </w:rPr>
        <w:t>The dataset is divided into three splits: 2,280 training samples used for model training and EDA, 588 validation samples used for hyperparameter tuning and evaluation, and 930 test samples that remain locked and are reserved solely for final evaluation.</w:t>
      </w:r>
    </w:p>
    <w:p w14:paraId="4ECF1594" w14:textId="47DB729B" w:rsidR="00AF413A" w:rsidRPr="003638A8" w:rsidRDefault="00725E55" w:rsidP="00725E55">
      <w:pPr>
        <w:rPr>
          <w:color w:val="000000" w:themeColor="text1"/>
        </w:rPr>
      </w:pPr>
      <w:r w:rsidRPr="003638A8">
        <w:rPr>
          <w:color w:val="000000" w:themeColor="text1"/>
        </w:rPr>
        <w:t xml:space="preserve">Each entry in the dataset contains several fields. The </w:t>
      </w:r>
      <w:r w:rsidRPr="003638A8">
        <w:rPr>
          <w:b/>
          <w:bCs/>
          <w:color w:val="000000" w:themeColor="text1"/>
        </w:rPr>
        <w:t>homonym</w:t>
      </w:r>
      <w:r w:rsidRPr="003638A8">
        <w:rPr>
          <w:color w:val="000000" w:themeColor="text1"/>
        </w:rPr>
        <w:t xml:space="preserve"> field gives the ambiguous target word (there are 220 unique homonyms in the training set). The </w:t>
      </w:r>
      <w:r w:rsidRPr="003638A8">
        <w:rPr>
          <w:b/>
          <w:bCs/>
          <w:color w:val="000000" w:themeColor="text1"/>
        </w:rPr>
        <w:t>precontext</w:t>
      </w:r>
      <w:r w:rsidRPr="003638A8">
        <w:rPr>
          <w:color w:val="000000" w:themeColor="text1"/>
        </w:rPr>
        <w:t xml:space="preserve"> provides three sentences establishing the narrative context, followed by the </w:t>
      </w:r>
      <w:r w:rsidRPr="003638A8">
        <w:rPr>
          <w:b/>
          <w:bCs/>
          <w:color w:val="000000" w:themeColor="text1"/>
        </w:rPr>
        <w:t>sentence</w:t>
      </w:r>
      <w:r w:rsidRPr="003638A8">
        <w:rPr>
          <w:color w:val="000000" w:themeColor="text1"/>
        </w:rPr>
        <w:t xml:space="preserve"> containing the homonym itself, and an </w:t>
      </w:r>
      <w:r w:rsidRPr="003638A8">
        <w:rPr>
          <w:b/>
          <w:bCs/>
          <w:color w:val="000000" w:themeColor="text1"/>
        </w:rPr>
        <w:t>ending</w:t>
      </w:r>
      <w:r w:rsidRPr="003638A8">
        <w:rPr>
          <w:color w:val="000000" w:themeColor="text1"/>
        </w:rPr>
        <w:t xml:space="preserve"> — a concluding sentence that implies a specific sense. The </w:t>
      </w:r>
      <w:r w:rsidRPr="003638A8">
        <w:rPr>
          <w:b/>
          <w:bCs/>
          <w:color w:val="000000" w:themeColor="text1"/>
        </w:rPr>
        <w:t>judged_meaning</w:t>
      </w:r>
      <w:r w:rsidRPr="003638A8">
        <w:rPr>
          <w:color w:val="000000" w:themeColor="text1"/>
        </w:rPr>
        <w:t xml:space="preserve"> field provides the sense definition being rated. Human ratings are stored in the </w:t>
      </w:r>
      <w:r w:rsidRPr="003638A8">
        <w:rPr>
          <w:b/>
          <w:bCs/>
          <w:color w:val="000000" w:themeColor="text1"/>
        </w:rPr>
        <w:t>choices</w:t>
      </w:r>
      <w:r w:rsidRPr="003638A8">
        <w:rPr>
          <w:color w:val="000000" w:themeColor="text1"/>
        </w:rPr>
        <w:t xml:space="preserve"> field, collected from 5 annotators on a scale of 1–5, with their mean recorded as the </w:t>
      </w:r>
      <w:r w:rsidRPr="003638A8">
        <w:rPr>
          <w:b/>
          <w:bCs/>
          <w:color w:val="000000" w:themeColor="text1"/>
        </w:rPr>
        <w:t>average</w:t>
      </w:r>
      <w:r w:rsidRPr="003638A8">
        <w:rPr>
          <w:color w:val="000000" w:themeColor="text1"/>
        </w:rPr>
        <w:t xml:space="preserve"> (the target variable) and their spread recorded as </w:t>
      </w:r>
      <w:r w:rsidRPr="003638A8">
        <w:rPr>
          <w:color w:val="000000" w:themeColor="text1"/>
        </w:rPr>
        <w:lastRenderedPageBreak/>
        <w:t xml:space="preserve">the </w:t>
      </w:r>
      <w:r w:rsidRPr="003638A8">
        <w:rPr>
          <w:b/>
          <w:bCs/>
          <w:color w:val="000000" w:themeColor="text1"/>
        </w:rPr>
        <w:t>stdev</w:t>
      </w:r>
      <w:r w:rsidRPr="003638A8">
        <w:rPr>
          <w:color w:val="000000" w:themeColor="text1"/>
        </w:rPr>
        <w:t xml:space="preserve">. Finally, an </w:t>
      </w:r>
      <w:r w:rsidRPr="003638A8">
        <w:rPr>
          <w:b/>
          <w:bCs/>
          <w:color w:val="000000" w:themeColor="text1"/>
        </w:rPr>
        <w:t>example_sentence</w:t>
      </w:r>
      <w:r w:rsidRPr="003638A8">
        <w:rPr>
          <w:color w:val="000000" w:themeColor="text1"/>
        </w:rPr>
        <w:t xml:space="preserve"> field provides an illustrative usage example for the given word sense.</w:t>
      </w:r>
    </w:p>
    <w:p w14:paraId="1A112233" w14:textId="77777777" w:rsidR="00AF413A" w:rsidRPr="003638A8" w:rsidRDefault="00AF413A">
      <w:pPr>
        <w:rPr>
          <w:color w:val="000000" w:themeColor="text1"/>
        </w:rPr>
      </w:pPr>
      <w:r w:rsidRPr="003638A8">
        <w:rPr>
          <w:b/>
          <w:bCs/>
          <w:color w:val="000000" w:themeColor="text1"/>
        </w:rPr>
        <w:t>Example entry (homonym: “potential”):</w:t>
      </w:r>
    </w:p>
    <w:p w14:paraId="1A112234" w14:textId="77777777" w:rsidR="00AF413A" w:rsidRPr="003638A8" w:rsidRDefault="00AF413A">
      <w:pPr>
        <w:rPr>
          <w:color w:val="000000" w:themeColor="text1"/>
        </w:rPr>
      </w:pPr>
      <w:r w:rsidRPr="003638A8">
        <w:rPr>
          <w:b/>
          <w:bCs/>
          <w:color w:val="000000" w:themeColor="text1"/>
        </w:rPr>
        <w:t xml:space="preserve">Story: </w:t>
      </w:r>
      <w:r w:rsidRPr="003638A8">
        <w:rPr>
          <w:color w:val="000000" w:themeColor="text1"/>
        </w:rPr>
        <w:t>The old machine hummed in the corner of the workshop. Clara examined its dusty dials with a furrowed brow. She wondered if it could be brought back to life. The potential couldn’t be measured. She collected a battery reader and looked on earnestly, willing some life back into the old machine.</w:t>
      </w:r>
    </w:p>
    <w:p w14:paraId="1A112235" w14:textId="77777777" w:rsidR="00AF413A" w:rsidRPr="003638A8" w:rsidRDefault="00AF413A">
      <w:pPr>
        <w:rPr>
          <w:color w:val="000000" w:themeColor="text1"/>
        </w:rPr>
      </w:pPr>
      <w:r w:rsidRPr="003638A8">
        <w:rPr>
          <w:b/>
          <w:bCs/>
          <w:color w:val="000000" w:themeColor="text1"/>
        </w:rPr>
        <w:t xml:space="preserve">Sense being rated: </w:t>
      </w:r>
      <w:r w:rsidRPr="003638A8">
        <w:rPr>
          <w:color w:val="000000" w:themeColor="text1"/>
        </w:rPr>
        <w:t>“the difference in electrical charge between two points in a circuit expressed in volts”</w:t>
      </w:r>
    </w:p>
    <w:p w14:paraId="1A112236" w14:textId="77777777" w:rsidR="00AF413A" w:rsidRPr="003638A8" w:rsidRDefault="00AF413A">
      <w:pPr>
        <w:rPr>
          <w:color w:val="000000" w:themeColor="text1"/>
        </w:rPr>
      </w:pPr>
      <w:r w:rsidRPr="003638A8">
        <w:rPr>
          <w:b/>
          <w:bCs/>
          <w:color w:val="000000" w:themeColor="text1"/>
        </w:rPr>
        <w:t xml:space="preserve">Human ratings: </w:t>
      </w:r>
      <w:r w:rsidRPr="003638A8">
        <w:rPr>
          <w:color w:val="000000" w:themeColor="text1"/>
        </w:rPr>
        <w:t>[4, 4, 5, 4, 4] → average = 4.20, stdev = 0.45</w:t>
      </w:r>
    </w:p>
    <w:p w14:paraId="7D312494" w14:textId="0702D569" w:rsidR="00AF413A" w:rsidRPr="003638A8" w:rsidRDefault="00000000" w:rsidP="00725E55">
      <w:pPr>
        <w:pStyle w:val="Balk3"/>
        <w:rPr>
          <w:color w:val="000000" w:themeColor="text1"/>
          <w:sz w:val="24"/>
          <w:szCs w:val="24"/>
        </w:rPr>
      </w:pPr>
      <w:r w:rsidRPr="003638A8">
        <w:rPr>
          <w:color w:val="000000" w:themeColor="text1"/>
          <w:sz w:val="24"/>
          <w:szCs w:val="24"/>
        </w:rPr>
        <w:t>2.2 Key EDA Findings</w:t>
      </w:r>
    </w:p>
    <w:p w14:paraId="67D42C1A" w14:textId="77777777" w:rsidR="00725E55" w:rsidRPr="003638A8" w:rsidRDefault="00725E55" w:rsidP="00725E55">
      <w:pPr>
        <w:rPr>
          <w:color w:val="000000" w:themeColor="text1"/>
        </w:rPr>
      </w:pPr>
      <w:r w:rsidRPr="003638A8">
        <w:rPr>
          <w:color w:val="000000" w:themeColor="text1"/>
        </w:rPr>
        <w:t>The mean plausibility rating in the training set is 3.14 (std = 0.95), with ratings spread across the full 1–5 range. The distribution is roughly symmetric with a slight concentration around 3. Annotator agreement is moderate, with a mean standard deviation of 0.95 across annotators — consistent with the task's premise that sense plausibility is inherently subjective.</w:t>
      </w:r>
    </w:p>
    <w:p w14:paraId="2FD7BC29" w14:textId="017850AC" w:rsidR="00725E55" w:rsidRPr="003638A8" w:rsidRDefault="00725E55" w:rsidP="00725E55">
      <w:pPr>
        <w:rPr>
          <w:color w:val="000000" w:themeColor="text1"/>
        </w:rPr>
      </w:pPr>
      <w:r w:rsidRPr="003638A8">
        <w:rPr>
          <w:color w:val="000000" w:themeColor="text1"/>
        </w:rPr>
        <w:t>Each story has exactly two sense entries, yielding 1,140 unique stories in total. The Spearman correlation between paired sense ratings is r = −0.607 (p &lt; 0.001), indicating a moderate negative relationship: when one sense is rated as more plausible, the other tends to be rated as less plausible. Stories average approximately 50 words across 5 sentences, with consistent lengths across samples. Approximately 10% of samples have at least one annotator flagging them as nonsensical, and these samples show noticeably lower average ratings (mean 2.65 vs. 3.20 for non-flagged samples). Finally, KS tests confirm that the training and validation distributions are statistically similar (p = 0.95), supporting reliable evaluation.</w:t>
      </w:r>
    </w:p>
    <w:p w14:paraId="1B223344" w14:textId="77777777" w:rsidR="00AF413A" w:rsidRPr="003638A8" w:rsidRDefault="00AF413A">
      <w:pPr>
        <w:rPr>
          <w:color w:val="000000" w:themeColor="text1"/>
        </w:rPr>
      </w:pPr>
      <w:r w:rsidRPr="003638A8">
        <w:rPr>
          <w:color w:val="000000" w:themeColor="text1"/>
        </w:rPr>
        <w:t>An important structural characteristic of the dataset is that the train and validation sets contain entirely non-overlapping homonyms: 220 unique homonyms appear only in training, and 55 appear only in validation, with zero overlap. This means the model will never have seen the target word during training when evaluated on validation. This strongly motivates using sense definitions as the primary signal — a model that memorizes word-specific patterns will fail — and directly informs our choice of a cross-encoder approach that matches story context against the sense definition text.</w:t>
      </w:r>
    </w:p>
    <w:p w14:paraId="0CC711F3" w14:textId="77777777" w:rsidR="009A1B83" w:rsidRPr="003638A8" w:rsidRDefault="009A1B83">
      <w:pPr>
        <w:rPr>
          <w:color w:val="000000" w:themeColor="text1"/>
        </w:rPr>
      </w:pPr>
    </w:p>
    <w:p w14:paraId="117FC457" w14:textId="3CF9F830" w:rsidR="009A1B83" w:rsidRPr="003638A8" w:rsidRDefault="009A1B83">
      <w:pPr>
        <w:rPr>
          <w:color w:val="000000" w:themeColor="text1"/>
        </w:rPr>
      </w:pPr>
      <w:r w:rsidRPr="003638A8">
        <w:rPr>
          <w:noProof/>
          <w:color w:val="000000" w:themeColor="text1"/>
        </w:rPr>
        <w:drawing>
          <wp:inline distT="0" distB="0" distL="0" distR="0" wp14:anchorId="5CB32AC5" wp14:editId="064FE462">
            <wp:extent cx="5943600" cy="2076450"/>
            <wp:effectExtent l="0" t="0" r="0" b="0"/>
            <wp:docPr id="13645482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48252" name=""/>
                    <pic:cNvPicPr/>
                  </pic:nvPicPr>
                  <pic:blipFill>
                    <a:blip r:embed="rId6"/>
                    <a:stretch>
                      <a:fillRect/>
                    </a:stretch>
                  </pic:blipFill>
                  <pic:spPr>
                    <a:xfrm>
                      <a:off x="0" y="0"/>
                      <a:ext cx="5943600" cy="2076450"/>
                    </a:xfrm>
                    <a:prstGeom prst="rect">
                      <a:avLst/>
                    </a:prstGeom>
                  </pic:spPr>
                </pic:pic>
              </a:graphicData>
            </a:graphic>
          </wp:inline>
        </w:drawing>
      </w:r>
    </w:p>
    <w:p w14:paraId="1124878B" w14:textId="7047C715" w:rsidR="009A1B83" w:rsidRPr="003638A8" w:rsidRDefault="009A1B83" w:rsidP="009A1B83">
      <w:pPr>
        <w:jc w:val="center"/>
        <w:rPr>
          <w:i/>
          <w:iCs/>
          <w:color w:val="000000" w:themeColor="text1"/>
          <w:sz w:val="20"/>
          <w:szCs w:val="20"/>
        </w:rPr>
      </w:pPr>
      <w:r w:rsidRPr="003638A8">
        <w:rPr>
          <w:i/>
          <w:iCs/>
          <w:color w:val="000000" w:themeColor="text1"/>
          <w:sz w:val="20"/>
          <w:szCs w:val="20"/>
        </w:rPr>
        <w:t>Figure 1: Average plausibility rating distribution for train and validation sets</w:t>
      </w:r>
    </w:p>
    <w:p w14:paraId="1D2AFE32" w14:textId="4336CB75" w:rsidR="003125A7" w:rsidRPr="003638A8" w:rsidRDefault="003125A7" w:rsidP="009A1B83">
      <w:pPr>
        <w:jc w:val="center"/>
        <w:rPr>
          <w:i/>
          <w:iCs/>
          <w:color w:val="000000" w:themeColor="text1"/>
          <w:sz w:val="20"/>
          <w:szCs w:val="20"/>
        </w:rPr>
      </w:pPr>
      <w:r w:rsidRPr="003638A8">
        <w:rPr>
          <w:i/>
          <w:iCs/>
          <w:noProof/>
          <w:color w:val="000000" w:themeColor="text1"/>
          <w:sz w:val="20"/>
          <w:szCs w:val="20"/>
        </w:rPr>
        <w:lastRenderedPageBreak/>
        <w:drawing>
          <wp:inline distT="0" distB="0" distL="0" distR="0" wp14:anchorId="28282EC2" wp14:editId="53583C0C">
            <wp:extent cx="3038475" cy="3038475"/>
            <wp:effectExtent l="0" t="0" r="9525" b="9525"/>
            <wp:docPr id="111346335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63354" name=""/>
                    <pic:cNvPicPr/>
                  </pic:nvPicPr>
                  <pic:blipFill>
                    <a:blip r:embed="rId7"/>
                    <a:stretch>
                      <a:fillRect/>
                    </a:stretch>
                  </pic:blipFill>
                  <pic:spPr>
                    <a:xfrm>
                      <a:off x="0" y="0"/>
                      <a:ext cx="3052069" cy="3052069"/>
                    </a:xfrm>
                    <a:prstGeom prst="rect">
                      <a:avLst/>
                    </a:prstGeom>
                  </pic:spPr>
                </pic:pic>
              </a:graphicData>
            </a:graphic>
          </wp:inline>
        </w:drawing>
      </w:r>
    </w:p>
    <w:p w14:paraId="77F0B9EA" w14:textId="7A946ADA" w:rsidR="003125A7" w:rsidRPr="003638A8" w:rsidRDefault="003125A7" w:rsidP="009A1B83">
      <w:pPr>
        <w:jc w:val="center"/>
        <w:rPr>
          <w:i/>
          <w:iCs/>
          <w:color w:val="000000" w:themeColor="text1"/>
          <w:sz w:val="20"/>
          <w:szCs w:val="20"/>
        </w:rPr>
      </w:pPr>
      <w:r w:rsidRPr="003638A8">
        <w:rPr>
          <w:i/>
          <w:iCs/>
          <w:color w:val="000000" w:themeColor="text1"/>
          <w:sz w:val="20"/>
          <w:szCs w:val="20"/>
        </w:rPr>
        <w:t>Figure 2: Sense 1 vs. Sense 2 plausibility ratings (Spearman r = −0.607)</w:t>
      </w:r>
    </w:p>
    <w:p w14:paraId="691C9AF5" w14:textId="77777777" w:rsidR="00AF413A" w:rsidRPr="003638A8" w:rsidRDefault="00000000">
      <w:pPr>
        <w:pStyle w:val="Balk2"/>
        <w:rPr>
          <w:color w:val="000000" w:themeColor="text1"/>
        </w:rPr>
      </w:pPr>
      <w:r w:rsidRPr="003638A8">
        <w:rPr>
          <w:color w:val="000000" w:themeColor="text1"/>
        </w:rPr>
        <w:t>3. Approach Plan</w:t>
      </w:r>
    </w:p>
    <w:p w14:paraId="09719BDF" w14:textId="77777777" w:rsidR="00AF413A" w:rsidRPr="003638A8" w:rsidRDefault="00000000">
      <w:pPr>
        <w:pStyle w:val="Balk3"/>
        <w:rPr>
          <w:color w:val="000000" w:themeColor="text1"/>
          <w:sz w:val="24"/>
          <w:szCs w:val="24"/>
        </w:rPr>
      </w:pPr>
      <w:r w:rsidRPr="003638A8">
        <w:rPr>
          <w:color w:val="000000" w:themeColor="text1"/>
          <w:sz w:val="24"/>
          <w:szCs w:val="24"/>
        </w:rPr>
        <w:t>3.1 Literature Review</w:t>
      </w:r>
    </w:p>
    <w:p w14:paraId="0C6B363B" w14:textId="47F0BAB1" w:rsidR="00725E55" w:rsidRPr="003638A8" w:rsidRDefault="00725E55" w:rsidP="00725E55">
      <w:pPr>
        <w:rPr>
          <w:color w:val="000000" w:themeColor="text1"/>
        </w:rPr>
      </w:pPr>
      <w:r w:rsidRPr="003638A8">
        <w:rPr>
          <w:color w:val="000000" w:themeColor="text1"/>
        </w:rPr>
        <w:t xml:space="preserve">We have identified three papers from approved venues (EMNLP, ACL) that inform </w:t>
      </w:r>
      <w:proofErr w:type="gramStart"/>
      <w:r w:rsidRPr="003638A8">
        <w:rPr>
          <w:color w:val="000000" w:themeColor="text1"/>
        </w:rPr>
        <w:t>our</w:t>
      </w:r>
      <w:proofErr w:type="gramEnd"/>
      <w:r w:rsidRPr="003638A8">
        <w:rPr>
          <w:color w:val="000000" w:themeColor="text1"/>
        </w:rPr>
        <w:t xml:space="preserve"> methodology. We additionally reference the task organizers' own paper [4] as supplementary context (*SEM 2025 — not on the approved venue list, and therefore not counted among the required three). Gehring and Roth (2025) introduce the AmbiStory dataset, collect 19,701 human plausibility ratings, and benchmark several large language models against human judgments. They find that most LLMs correlate poorly with human ratings but that fine-tuning significantly improves performance, which motivates our choice of a fine-tuned transformer approach rather than zero-shot prompting.</w:t>
      </w:r>
    </w:p>
    <w:p w14:paraId="080C3D5E" w14:textId="77777777" w:rsidR="00725E55" w:rsidRPr="003638A8" w:rsidRDefault="00725E55" w:rsidP="00725E55">
      <w:pPr>
        <w:rPr>
          <w:color w:val="000000" w:themeColor="text1"/>
        </w:rPr>
      </w:pPr>
      <w:r w:rsidRPr="003638A8">
        <w:rPr>
          <w:b/>
          <w:bCs/>
          <w:color w:val="000000" w:themeColor="text1"/>
        </w:rPr>
        <w:t>Paper 1:</w:t>
      </w:r>
      <w:r w:rsidRPr="003638A8">
        <w:rPr>
          <w:color w:val="000000" w:themeColor="text1"/>
        </w:rPr>
        <w:t xml:space="preserve"> Huang et al. (2019) propose GlossBERT, which encodes target sentences jointly with sense definitions (glosses) using BERT, achieving state-of-the-art WSD by leveraging the pre-trained model's ability to match context with sense descriptions (</w:t>
      </w:r>
      <w:r w:rsidRPr="003638A8">
        <w:rPr>
          <w:i/>
          <w:iCs/>
          <w:color w:val="000000" w:themeColor="text1"/>
        </w:rPr>
        <w:t>EMNLP 2019</w:t>
      </w:r>
      <w:r w:rsidRPr="003638A8">
        <w:rPr>
          <w:color w:val="000000" w:themeColor="text1"/>
        </w:rPr>
        <w:t>). This is directly relevant to our task and forms the basis of our main implementation: the [CLS] story [SEP] sense_definition encoding strategy applies naturally to AmbiStory’s input format, and we will adapt GlossBERT’s cross-encoding approach for regression rather than classification.</w:t>
      </w:r>
    </w:p>
    <w:p w14:paraId="589B0102" w14:textId="77777777" w:rsidR="00725E55" w:rsidRPr="003638A8" w:rsidRDefault="00725E55" w:rsidP="00725E55">
      <w:pPr>
        <w:rPr>
          <w:color w:val="000000" w:themeColor="text1"/>
        </w:rPr>
      </w:pPr>
      <w:r w:rsidRPr="003638A8">
        <w:rPr>
          <w:b/>
          <w:bCs/>
          <w:color w:val="000000" w:themeColor="text1"/>
        </w:rPr>
        <w:t>Paper 2:</w:t>
      </w:r>
      <w:r w:rsidRPr="003638A8">
        <w:rPr>
          <w:color w:val="000000" w:themeColor="text1"/>
        </w:rPr>
        <w:t xml:space="preserve"> Bevilacqua and Navigli (2020) integrate structured knowledge from WordNet's semantic network into neural WSD models, showing that external knowledge significantly improves disambiguation accuracy (</w:t>
      </w:r>
      <w:r w:rsidRPr="003638A8">
        <w:rPr>
          <w:i/>
          <w:iCs/>
          <w:color w:val="000000" w:themeColor="text1"/>
        </w:rPr>
        <w:t>ACL 2020</w:t>
      </w:r>
      <w:r w:rsidRPr="003638A8">
        <w:rPr>
          <w:color w:val="000000" w:themeColor="text1"/>
        </w:rPr>
        <w:t>). Since AmbiStory's sense definitions come from structured lexical resources, incorporating relational information between senses — such as semantic similarity — could help our model distinguish between closely related meanings.</w:t>
      </w:r>
    </w:p>
    <w:p w14:paraId="02C29C8A" w14:textId="5315DD10" w:rsidR="00AF413A" w:rsidRPr="003638A8" w:rsidRDefault="00725E55" w:rsidP="00725E55">
      <w:pPr>
        <w:rPr>
          <w:color w:val="000000" w:themeColor="text1"/>
        </w:rPr>
      </w:pPr>
      <w:r w:rsidRPr="003638A8">
        <w:rPr>
          <w:b/>
          <w:bCs/>
          <w:color w:val="000000" w:themeColor="text1"/>
        </w:rPr>
        <w:t>Paper 3:</w:t>
      </w:r>
      <w:r w:rsidRPr="003638A8">
        <w:rPr>
          <w:color w:val="000000" w:themeColor="text1"/>
        </w:rPr>
        <w:t xml:space="preserve"> Blevins and Zettlemoyer (2020) propose a bi-encoder architecture that independently encodes contexts and glosses into the same embedding space, enabling efficient and accurate WSD especially for rare senses (</w:t>
      </w:r>
      <w:r w:rsidRPr="003638A8">
        <w:rPr>
          <w:i/>
          <w:iCs/>
          <w:color w:val="000000" w:themeColor="text1"/>
        </w:rPr>
        <w:t>ACL 2020</w:t>
      </w:r>
      <w:r w:rsidRPr="003638A8">
        <w:rPr>
          <w:color w:val="000000" w:themeColor="text1"/>
        </w:rPr>
        <w:t xml:space="preserve">). This approach offers an alternative to cross-encoding: encoding stories and sense </w:t>
      </w:r>
      <w:r w:rsidRPr="003638A8">
        <w:rPr>
          <w:color w:val="000000" w:themeColor="text1"/>
        </w:rPr>
        <w:lastRenderedPageBreak/>
        <w:t>definitions separately could improve computational efficiency while maintaining accuracy, and serves as a useful comparison point for our cross-encoder approach.</w:t>
      </w:r>
    </w:p>
    <w:p w14:paraId="7EFC1ADE" w14:textId="77777777" w:rsidR="00AF413A" w:rsidRPr="003638A8" w:rsidRDefault="00000000">
      <w:pPr>
        <w:pStyle w:val="Balk3"/>
        <w:rPr>
          <w:color w:val="000000" w:themeColor="text1"/>
          <w:sz w:val="24"/>
          <w:szCs w:val="24"/>
        </w:rPr>
      </w:pPr>
      <w:r w:rsidRPr="003638A8">
        <w:rPr>
          <w:color w:val="000000" w:themeColor="text1"/>
          <w:sz w:val="24"/>
          <w:szCs w:val="24"/>
        </w:rPr>
        <w:t>3.2 Proposed Methodology</w:t>
      </w:r>
    </w:p>
    <w:p w14:paraId="0AFF82C5" w14:textId="0E62B2D3" w:rsidR="00725E55" w:rsidRPr="003638A8" w:rsidRDefault="00725E55" w:rsidP="00725E55">
      <w:pPr>
        <w:rPr>
          <w:color w:val="000000" w:themeColor="text1"/>
        </w:rPr>
      </w:pPr>
      <w:r w:rsidRPr="003638A8">
        <w:rPr>
          <w:color w:val="000000" w:themeColor="text1"/>
        </w:rPr>
        <w:t>As a baseline, we will extract TF-IDF features from the full story combined with the sense definition and feed them into a regression model such as Ridge Regression. This provides a simple, non-neural benchmark against which to measure the value of more complex approaches.</w:t>
      </w:r>
    </w:p>
    <w:p w14:paraId="07487C90" w14:textId="77777777" w:rsidR="00725E55" w:rsidRPr="003638A8" w:rsidRDefault="00725E55" w:rsidP="00725E55">
      <w:pPr>
        <w:rPr>
          <w:color w:val="000000" w:themeColor="text1"/>
        </w:rPr>
      </w:pPr>
      <w:r w:rsidRPr="003638A8">
        <w:rPr>
          <w:color w:val="000000" w:themeColor="text1"/>
        </w:rPr>
        <w:t>For the main approach, we will fine-tune a pre-trained transformer — either BERT or RoBERTa — using the encoding [CLS] full_story [SEP] sense_definition [SEP]. The [CLS] representation is then passed through a regression head (a linear layer) to predict the plausibility rating between 1 and 5, with Mean Squared Error (MSE) as the loss function.</w:t>
      </w:r>
    </w:p>
    <w:p w14:paraId="02DF4E3F" w14:textId="77777777" w:rsidR="00725E55" w:rsidRPr="003638A8" w:rsidRDefault="00725E55" w:rsidP="00725E55">
      <w:pPr>
        <w:rPr>
          <w:color w:val="000000" w:themeColor="text1"/>
        </w:rPr>
      </w:pPr>
      <w:r w:rsidRPr="003638A8">
        <w:rPr>
          <w:color w:val="000000" w:themeColor="text1"/>
        </w:rPr>
        <w:t xml:space="preserve">We also propose two novel contributions. The first is </w:t>
      </w:r>
      <w:r w:rsidRPr="003638A8">
        <w:rPr>
          <w:b/>
          <w:bCs/>
          <w:color w:val="000000" w:themeColor="text1"/>
        </w:rPr>
        <w:t>Joint Sense Comparison</w:t>
      </w:r>
      <w:r w:rsidRPr="003638A8">
        <w:rPr>
          <w:color w:val="000000" w:themeColor="text1"/>
        </w:rPr>
        <w:t>: rather than scoring each sense independently, we propose a cross-encoder that processes both senses simultaneously — [CLS] story [SEP] sense1 [SEP] sense2 [SEP] — outputting two scores that capture relative plausibility within the same narrative context.</w:t>
      </w:r>
    </w:p>
    <w:p w14:paraId="22514E02" w14:textId="52D9B8EB" w:rsidR="00AF413A" w:rsidRPr="003638A8" w:rsidRDefault="00725E55" w:rsidP="00725E55">
      <w:pPr>
        <w:rPr>
          <w:color w:val="000000" w:themeColor="text1"/>
        </w:rPr>
      </w:pPr>
      <w:r w:rsidRPr="003638A8">
        <w:rPr>
          <w:color w:val="000000" w:themeColor="text1"/>
        </w:rPr>
        <w:t xml:space="preserve">The second is </w:t>
      </w:r>
      <w:r w:rsidRPr="003638A8">
        <w:rPr>
          <w:b/>
          <w:bCs/>
          <w:color w:val="000000" w:themeColor="text1"/>
        </w:rPr>
        <w:t>Narrative-Aware Encoding</w:t>
      </w:r>
      <w:r w:rsidRPr="003638A8">
        <w:rPr>
          <w:color w:val="000000" w:themeColor="text1"/>
        </w:rPr>
        <w:t>: we propose adding sentence-level segment IDs (1–5) so the model can distinguish which part of the 5-sentence narrative each token belongs to, better capturing narrative flow before comparing with the sense definition.</w:t>
      </w:r>
    </w:p>
    <w:p w14:paraId="242A6198" w14:textId="77777777" w:rsidR="00AF413A" w:rsidRPr="003638A8" w:rsidRDefault="00000000">
      <w:pPr>
        <w:pStyle w:val="Balk3"/>
        <w:rPr>
          <w:color w:val="000000" w:themeColor="text1"/>
          <w:sz w:val="24"/>
          <w:szCs w:val="24"/>
        </w:rPr>
      </w:pPr>
      <w:r w:rsidRPr="003638A8">
        <w:rPr>
          <w:color w:val="000000" w:themeColor="text1"/>
          <w:sz w:val="24"/>
          <w:szCs w:val="24"/>
        </w:rPr>
        <w:t>3.3 Training and Evaluation Strategy</w:t>
      </w:r>
    </w:p>
    <w:p w14:paraId="08EEC6E9" w14:textId="32CCF802" w:rsidR="00AF413A" w:rsidRPr="003638A8" w:rsidRDefault="00725E55">
      <w:pPr>
        <w:rPr>
          <w:color w:val="000000" w:themeColor="text1"/>
        </w:rPr>
      </w:pPr>
      <w:r w:rsidRPr="003638A8">
        <w:rPr>
          <w:color w:val="000000" w:themeColor="text1"/>
        </w:rPr>
        <w:t>The test set remains locked throughout development. All model selection and hyperparameter tuning will be conducted on the validation set, with 5-fold cross-validation on the training set (seed = 42) to detect overfitting. The primary evaluation metrics are Accuracy@std and Spearman correlation, targeting scores of at least 0.8 and 0.7 respectively.</w:t>
      </w:r>
      <w:r w:rsidR="004F2C73">
        <w:rPr>
          <w:color w:val="000000" w:themeColor="text1"/>
        </w:rPr>
        <w:t xml:space="preserve"> </w:t>
      </w:r>
      <w:r w:rsidR="004F2C73" w:rsidRPr="004F2C73">
        <w:rPr>
          <w:color w:val="000000" w:themeColor="text1"/>
        </w:rPr>
        <w:t xml:space="preserve">Our core approach is finalized; the two novel contributions will be evaluated </w:t>
      </w:r>
      <w:proofErr w:type="gramStart"/>
      <w:r w:rsidR="004F2C73" w:rsidRPr="004F2C73">
        <w:rPr>
          <w:color w:val="000000" w:themeColor="text1"/>
        </w:rPr>
        <w:t>iteratively</w:t>
      </w:r>
      <w:proofErr w:type="gramEnd"/>
      <w:r w:rsidR="004F2C73" w:rsidRPr="004F2C73">
        <w:rPr>
          <w:color w:val="000000" w:themeColor="text1"/>
        </w:rPr>
        <w:t xml:space="preserve"> and the better-performing variant will be selected for the final submission</w:t>
      </w:r>
      <w:r w:rsidR="00F15217">
        <w:rPr>
          <w:color w:val="000000" w:themeColor="text1"/>
        </w:rPr>
        <w:t>.</w:t>
      </w:r>
    </w:p>
    <w:p w14:paraId="6755CACD" w14:textId="77777777" w:rsidR="00AF413A" w:rsidRPr="003638A8" w:rsidRDefault="00000000">
      <w:pPr>
        <w:pStyle w:val="Balk2"/>
        <w:rPr>
          <w:color w:val="000000" w:themeColor="text1"/>
        </w:rPr>
      </w:pPr>
      <w:r w:rsidRPr="003638A8">
        <w:rPr>
          <w:color w:val="000000" w:themeColor="text1"/>
        </w:rPr>
        <w:t>4. Next Steps</w:t>
      </w:r>
    </w:p>
    <w:p w14:paraId="6151F7FB" w14:textId="77777777" w:rsidR="00AF413A" w:rsidRPr="003638A8" w:rsidRDefault="00000000">
      <w:pPr>
        <w:pStyle w:val="Balk3"/>
        <w:rPr>
          <w:color w:val="000000" w:themeColor="text1"/>
          <w:sz w:val="24"/>
          <w:szCs w:val="24"/>
        </w:rPr>
      </w:pPr>
      <w:r w:rsidRPr="003638A8">
        <w:rPr>
          <w:color w:val="000000" w:themeColor="text1"/>
          <w:sz w:val="24"/>
          <w:szCs w:val="24"/>
        </w:rPr>
        <w:t>4.1 Workload Division</w:t>
      </w:r>
    </w:p>
    <w:p w14:paraId="037EA9BA" w14:textId="41C36960" w:rsidR="00761790" w:rsidRPr="003638A8" w:rsidRDefault="00693C92" w:rsidP="00761790">
      <w:pPr>
        <w:spacing w:line="240" w:lineRule="atLeast"/>
        <w:rPr>
          <w:color w:val="000000" w:themeColor="text1"/>
        </w:rPr>
      </w:pPr>
      <w:r w:rsidRPr="003638A8">
        <w:rPr>
          <w:color w:val="000000" w:themeColor="text1"/>
        </w:rPr>
        <w:t>Utku Çağlar</w:t>
      </w:r>
      <w:r w:rsidR="008B2ED9">
        <w:rPr>
          <w:color w:val="000000" w:themeColor="text1"/>
        </w:rPr>
        <w:t>:</w:t>
      </w:r>
      <w:r w:rsidRPr="003638A8">
        <w:rPr>
          <w:color w:val="000000" w:themeColor="text1"/>
        </w:rPr>
        <w:t xml:space="preserve"> </w:t>
      </w:r>
      <w:r w:rsidR="008B2ED9" w:rsidRPr="008B2ED9">
        <w:rPr>
          <w:color w:val="000000" w:themeColor="text1"/>
        </w:rPr>
        <w:t>EDA notebook (completed), data pipeline, augmentation</w:t>
      </w:r>
      <w:r w:rsidR="008B2ED9">
        <w:rPr>
          <w:color w:val="000000" w:themeColor="text1"/>
        </w:rPr>
        <w:t>,</w:t>
      </w:r>
    </w:p>
    <w:p w14:paraId="596DB828" w14:textId="00AE6FBB" w:rsidR="00761790" w:rsidRPr="003638A8" w:rsidRDefault="00693C92" w:rsidP="00761790">
      <w:pPr>
        <w:spacing w:line="240" w:lineRule="atLeast"/>
        <w:rPr>
          <w:color w:val="000000" w:themeColor="text1"/>
        </w:rPr>
      </w:pPr>
      <w:r w:rsidRPr="003638A8">
        <w:rPr>
          <w:color w:val="000000" w:themeColor="text1"/>
        </w:rPr>
        <w:t>Person 2</w:t>
      </w:r>
      <w:r w:rsidR="008B2ED9">
        <w:rPr>
          <w:color w:val="000000" w:themeColor="text1"/>
        </w:rPr>
        <w:t>:</w:t>
      </w:r>
      <w:r w:rsidRPr="003638A8">
        <w:rPr>
          <w:color w:val="000000" w:themeColor="text1"/>
        </w:rPr>
        <w:t xml:space="preserve"> </w:t>
      </w:r>
      <w:r w:rsidR="008B2ED9" w:rsidRPr="008B2ED9">
        <w:rPr>
          <w:color w:val="000000" w:themeColor="text1"/>
        </w:rPr>
        <w:t>Literature (Papers 1-2): Paper summaries, GlossBERT-style encoding</w:t>
      </w:r>
      <w:r w:rsidR="008B2ED9">
        <w:rPr>
          <w:color w:val="000000" w:themeColor="text1"/>
        </w:rPr>
        <w:t>,</w:t>
      </w:r>
    </w:p>
    <w:p w14:paraId="3E00D2AD" w14:textId="6188376E" w:rsidR="00761790" w:rsidRPr="003638A8" w:rsidRDefault="00761790" w:rsidP="00761790">
      <w:pPr>
        <w:spacing w:line="240" w:lineRule="atLeast"/>
        <w:rPr>
          <w:color w:val="000000" w:themeColor="text1"/>
        </w:rPr>
      </w:pPr>
      <w:r w:rsidRPr="003638A8">
        <w:rPr>
          <w:color w:val="000000" w:themeColor="text1"/>
        </w:rPr>
        <w:t>Person</w:t>
      </w:r>
      <w:r w:rsidR="00693C92" w:rsidRPr="003638A8">
        <w:rPr>
          <w:color w:val="000000" w:themeColor="text1"/>
        </w:rPr>
        <w:t xml:space="preserve"> 3 </w:t>
      </w:r>
      <w:r w:rsidR="008B2ED9" w:rsidRPr="008B2ED9">
        <w:rPr>
          <w:color w:val="000000" w:themeColor="text1"/>
        </w:rPr>
        <w:t>Literature (Paper 3+): Additional paper search, bi-encoder comparison</w:t>
      </w:r>
      <w:r w:rsidR="008B2ED9">
        <w:rPr>
          <w:color w:val="000000" w:themeColor="text1"/>
        </w:rPr>
        <w:t>,</w:t>
      </w:r>
    </w:p>
    <w:p w14:paraId="2E05C781" w14:textId="05346939" w:rsidR="00761790" w:rsidRPr="003638A8" w:rsidRDefault="00761790" w:rsidP="00761790">
      <w:pPr>
        <w:spacing w:line="240" w:lineRule="atLeast"/>
        <w:rPr>
          <w:color w:val="000000" w:themeColor="text1"/>
        </w:rPr>
      </w:pPr>
      <w:r w:rsidRPr="003638A8">
        <w:rPr>
          <w:color w:val="000000" w:themeColor="text1"/>
        </w:rPr>
        <w:t>Person</w:t>
      </w:r>
      <w:r w:rsidR="00693C92" w:rsidRPr="003638A8">
        <w:rPr>
          <w:color w:val="000000" w:themeColor="text1"/>
        </w:rPr>
        <w:t xml:space="preserve"> 4 </w:t>
      </w:r>
      <w:r w:rsidR="008B2ED9" w:rsidRPr="008B2ED9">
        <w:rPr>
          <w:color w:val="000000" w:themeColor="text1"/>
        </w:rPr>
        <w:t>Methodology Design: Baseline + main approach, novel contributions</w:t>
      </w:r>
      <w:r w:rsidR="008B2ED9">
        <w:rPr>
          <w:color w:val="000000" w:themeColor="text1"/>
        </w:rPr>
        <w:t>,</w:t>
      </w:r>
    </w:p>
    <w:p w14:paraId="7731E71F" w14:textId="03B5FBE2" w:rsidR="00AF413A" w:rsidRPr="003638A8" w:rsidRDefault="00761790" w:rsidP="00761790">
      <w:pPr>
        <w:spacing w:line="240" w:lineRule="atLeast"/>
        <w:rPr>
          <w:color w:val="000000" w:themeColor="text1"/>
        </w:rPr>
      </w:pPr>
      <w:r w:rsidRPr="003638A8">
        <w:rPr>
          <w:color w:val="000000" w:themeColor="text1"/>
        </w:rPr>
        <w:t>Person</w:t>
      </w:r>
      <w:r w:rsidR="00693C92" w:rsidRPr="003638A8">
        <w:rPr>
          <w:color w:val="000000" w:themeColor="text1"/>
        </w:rPr>
        <w:t xml:space="preserve"> 5 </w:t>
      </w:r>
      <w:r w:rsidR="008B2ED9" w:rsidRPr="008B2ED9">
        <w:rPr>
          <w:color w:val="000000" w:themeColor="text1"/>
        </w:rPr>
        <w:t>Presentation &amp; Report: Report sections, slides, coordination</w:t>
      </w:r>
      <w:r w:rsidR="008B2ED9">
        <w:rPr>
          <w:color w:val="000000" w:themeColor="text1"/>
        </w:rPr>
        <w:t>.</w:t>
      </w:r>
    </w:p>
    <w:p w14:paraId="507C8D77" w14:textId="77777777" w:rsidR="00AF413A" w:rsidRPr="003638A8" w:rsidRDefault="00000000">
      <w:pPr>
        <w:pStyle w:val="Balk3"/>
        <w:rPr>
          <w:color w:val="000000" w:themeColor="text1"/>
          <w:sz w:val="24"/>
          <w:szCs w:val="24"/>
        </w:rPr>
      </w:pPr>
      <w:r w:rsidRPr="003638A8">
        <w:rPr>
          <w:color w:val="000000" w:themeColor="text1"/>
          <w:sz w:val="24"/>
          <w:szCs w:val="24"/>
        </w:rPr>
        <w:t>4.2 Timeline</w:t>
      </w:r>
    </w:p>
    <w:p w14:paraId="089F873A" w14:textId="77777777" w:rsidR="00761790" w:rsidRPr="003638A8" w:rsidRDefault="00693C92" w:rsidP="00761790">
      <w:pPr>
        <w:spacing w:line="240" w:lineRule="atLeast"/>
        <w:rPr>
          <w:color w:val="000000" w:themeColor="text1"/>
        </w:rPr>
      </w:pPr>
      <w:r w:rsidRPr="003638A8">
        <w:rPr>
          <w:color w:val="000000" w:themeColor="text1"/>
        </w:rPr>
        <w:t xml:space="preserve">Apr 13: Milestone presentation. </w:t>
      </w:r>
    </w:p>
    <w:p w14:paraId="641E1A5B" w14:textId="77777777" w:rsidR="00761790" w:rsidRPr="003638A8" w:rsidRDefault="00693C92" w:rsidP="00761790">
      <w:pPr>
        <w:spacing w:line="240" w:lineRule="atLeast"/>
        <w:rPr>
          <w:color w:val="000000" w:themeColor="text1"/>
        </w:rPr>
      </w:pPr>
      <w:r w:rsidRPr="003638A8">
        <w:rPr>
          <w:color w:val="000000" w:themeColor="text1"/>
        </w:rPr>
        <w:t xml:space="preserve">Apr 14–20: TF-IDF baseline + BERT pipeline. </w:t>
      </w:r>
    </w:p>
    <w:p w14:paraId="210A1130" w14:textId="77777777" w:rsidR="00761790" w:rsidRPr="003638A8" w:rsidRDefault="00693C92" w:rsidP="00761790">
      <w:pPr>
        <w:spacing w:line="240" w:lineRule="atLeast"/>
        <w:rPr>
          <w:color w:val="000000" w:themeColor="text1"/>
        </w:rPr>
      </w:pPr>
      <w:r w:rsidRPr="003638A8">
        <w:rPr>
          <w:color w:val="000000" w:themeColor="text1"/>
        </w:rPr>
        <w:t xml:space="preserve">Apr 21–27: Main model + joint sense comparison. </w:t>
      </w:r>
    </w:p>
    <w:p w14:paraId="7805DE04" w14:textId="77777777" w:rsidR="00761790" w:rsidRPr="003638A8" w:rsidRDefault="00693C92" w:rsidP="00761790">
      <w:pPr>
        <w:spacing w:line="240" w:lineRule="atLeast"/>
        <w:rPr>
          <w:color w:val="000000" w:themeColor="text1"/>
        </w:rPr>
      </w:pPr>
      <w:r w:rsidRPr="003638A8">
        <w:rPr>
          <w:color w:val="000000" w:themeColor="text1"/>
        </w:rPr>
        <w:t xml:space="preserve">Apr 28–May 4: Narrative-aware encoding + ablations. </w:t>
      </w:r>
    </w:p>
    <w:p w14:paraId="25CCB31C" w14:textId="77777777" w:rsidR="00761790" w:rsidRPr="003638A8" w:rsidRDefault="00693C92" w:rsidP="00761790">
      <w:pPr>
        <w:spacing w:line="240" w:lineRule="atLeast"/>
        <w:rPr>
          <w:color w:val="000000" w:themeColor="text1"/>
        </w:rPr>
      </w:pPr>
      <w:r w:rsidRPr="003638A8">
        <w:rPr>
          <w:color w:val="000000" w:themeColor="text1"/>
        </w:rPr>
        <w:t xml:space="preserve">May 5–11: Evaluation + plots. </w:t>
      </w:r>
    </w:p>
    <w:p w14:paraId="095FB50A" w14:textId="1423359E" w:rsidR="00693C92" w:rsidRPr="003638A8" w:rsidRDefault="00693C92" w:rsidP="00761790">
      <w:pPr>
        <w:spacing w:line="240" w:lineRule="atLeast"/>
        <w:rPr>
          <w:color w:val="000000" w:themeColor="text1"/>
        </w:rPr>
      </w:pPr>
      <w:r w:rsidRPr="003638A8">
        <w:rPr>
          <w:color w:val="000000" w:themeColor="text1"/>
        </w:rPr>
        <w:t>May 12–18: Final report + presentation.</w:t>
      </w:r>
    </w:p>
    <w:p w14:paraId="388792A7" w14:textId="77777777" w:rsidR="00AF413A" w:rsidRPr="003638A8" w:rsidRDefault="00000000">
      <w:pPr>
        <w:pStyle w:val="Balk2"/>
        <w:rPr>
          <w:color w:val="000000" w:themeColor="text1"/>
        </w:rPr>
      </w:pPr>
      <w:r w:rsidRPr="003638A8">
        <w:rPr>
          <w:color w:val="000000" w:themeColor="text1"/>
        </w:rPr>
        <w:lastRenderedPageBreak/>
        <w:t>References</w:t>
      </w:r>
    </w:p>
    <w:p w14:paraId="4411DFCB" w14:textId="77777777" w:rsidR="00AF413A" w:rsidRPr="003638A8" w:rsidRDefault="00000000">
      <w:pPr>
        <w:rPr>
          <w:color w:val="000000" w:themeColor="text1"/>
        </w:rPr>
      </w:pPr>
      <w:r w:rsidRPr="003638A8">
        <w:rPr>
          <w:color w:val="000000" w:themeColor="text1"/>
        </w:rPr>
        <w:t>[1] Huang, L., Sun, C., Qiu, X., &amp; Huang, X. (2019). GlossBERT: BERT for Word Sense Disambiguation with Gloss Knowledge. In Proceedings of the 2019 Conference on Empirical Methods in Natural Language Processing (EMNLP), pp. 3509–3514.</w:t>
      </w:r>
    </w:p>
    <w:p w14:paraId="7CC34163" w14:textId="77777777" w:rsidR="00AF413A" w:rsidRPr="003638A8" w:rsidRDefault="00000000">
      <w:pPr>
        <w:rPr>
          <w:color w:val="000000" w:themeColor="text1"/>
        </w:rPr>
      </w:pPr>
      <w:r w:rsidRPr="003638A8">
        <w:rPr>
          <w:color w:val="000000" w:themeColor="text1"/>
        </w:rPr>
        <w:t>[2] Bevilacqua, M., &amp; Navigli, R. (2020). Breaking Through the 80% Glass Ceiling: Raising the State of the Art in Word Sense Disambiguation by Incorporating Knowledge Graph Information. In Proceedings of the 58th Annual Meeting of the Association for Computational Linguistics (ACL), pp. 943–953.</w:t>
      </w:r>
    </w:p>
    <w:p w14:paraId="69B08094" w14:textId="77777777" w:rsidR="00AF413A" w:rsidRPr="003638A8" w:rsidRDefault="00000000">
      <w:pPr>
        <w:rPr>
          <w:color w:val="000000" w:themeColor="text1"/>
        </w:rPr>
      </w:pPr>
      <w:r w:rsidRPr="003638A8">
        <w:rPr>
          <w:color w:val="000000" w:themeColor="text1"/>
        </w:rPr>
        <w:t>[3] Blevins, T., &amp; Zettlemoyer, L. (2020). Moving Down the Long Tail of Word Sense Disambiguation with Gloss-Informed Bi-Encoders. In Proceedings of the 58th Annual Meeting of the Association for Computational Linguistics (ACL), pp. 1006–1017.</w:t>
      </w:r>
    </w:p>
    <w:p w14:paraId="3341934B" w14:textId="77777777" w:rsidR="00AF413A" w:rsidRPr="003638A8" w:rsidRDefault="00000000">
      <w:pPr>
        <w:rPr>
          <w:color w:val="000000" w:themeColor="text1"/>
        </w:rPr>
      </w:pPr>
      <w:r w:rsidRPr="003638A8">
        <w:rPr>
          <w:color w:val="000000" w:themeColor="text1"/>
        </w:rPr>
        <w:t>[4] Gehring, J., &amp; Roth, M. (2025). AmbiStory: A Challenging Dataset of Lexically Ambiguous Short Stories. In Proceedings of the 14th Joint Conference on Lexical and Computational Semantics (*SEM 2025), pp. 152–171. Association for Computational Linguistics.</w:t>
      </w:r>
    </w:p>
    <w:sectPr w:rsidR="00AF413A" w:rsidRPr="003638A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206383851">
    <w:abstractNumId w:val="8"/>
  </w:num>
  <w:num w:numId="2" w16cid:durableId="1814523523">
    <w:abstractNumId w:val="6"/>
  </w:num>
  <w:num w:numId="3" w16cid:durableId="502596565">
    <w:abstractNumId w:val="5"/>
  </w:num>
  <w:num w:numId="4" w16cid:durableId="221604474">
    <w:abstractNumId w:val="4"/>
  </w:num>
  <w:num w:numId="5" w16cid:durableId="1542207845">
    <w:abstractNumId w:val="7"/>
  </w:num>
  <w:num w:numId="6" w16cid:durableId="111561326">
    <w:abstractNumId w:val="3"/>
  </w:num>
  <w:num w:numId="7" w16cid:durableId="1344431385">
    <w:abstractNumId w:val="2"/>
  </w:num>
  <w:num w:numId="8" w16cid:durableId="1516337322">
    <w:abstractNumId w:val="1"/>
  </w:num>
  <w:num w:numId="9" w16cid:durableId="1127429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7D2"/>
    <w:rsid w:val="0015074B"/>
    <w:rsid w:val="0029639D"/>
    <w:rsid w:val="003125A7"/>
    <w:rsid w:val="00326F90"/>
    <w:rsid w:val="003638A8"/>
    <w:rsid w:val="004F2C73"/>
    <w:rsid w:val="00532D59"/>
    <w:rsid w:val="0060575F"/>
    <w:rsid w:val="00693C92"/>
    <w:rsid w:val="00725E55"/>
    <w:rsid w:val="00761790"/>
    <w:rsid w:val="007A2DAF"/>
    <w:rsid w:val="00831CDD"/>
    <w:rsid w:val="008619EB"/>
    <w:rsid w:val="008B2ED9"/>
    <w:rsid w:val="009A1B83"/>
    <w:rsid w:val="00AA1D8D"/>
    <w:rsid w:val="00AF413A"/>
    <w:rsid w:val="00B47730"/>
    <w:rsid w:val="00BC2602"/>
    <w:rsid w:val="00CB0664"/>
    <w:rsid w:val="00E46121"/>
    <w:rsid w:val="00F15217"/>
    <w:rsid w:val="00F957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497EAD"/>
  <w14:defaultImageDpi w14:val="300"/>
  <w15:docId w15:val="{6635F965-3966-4BF1-AEB9-8BD7EFCF6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Pages>
  <Words>1596</Words>
  <Characters>9103</Characters>
  <Application>Microsoft Office Word</Application>
  <DocSecurity>0</DocSecurity>
  <Lines>75</Lines>
  <Paragraphs>21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Utku Çağlar</cp:lastModifiedBy>
  <cp:revision>12</cp:revision>
  <dcterms:created xsi:type="dcterms:W3CDTF">2013-12-23T23:15:00Z</dcterms:created>
  <dcterms:modified xsi:type="dcterms:W3CDTF">2026-03-27T19:52:00Z</dcterms:modified>
  <cp:category/>
</cp:coreProperties>
</file>