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CS445 — SemEval-2026 Task 5:</w:t>
        <w:br/>
        <w:t>Rating Plausibility of Word Senses in Ambiguous Sentences</w:t>
        <w:br/>
        <w:t>through Narrative Understanding</w:t>
      </w:r>
    </w:p>
    <w:p>
      <w:pPr>
        <w:jc w:val="center"/>
      </w:pPr>
      <w:r>
        <w:rPr>
          <w:b/>
          <w:sz w:val="24"/>
        </w:rPr>
        <w:t>Group 22 — Milestone Report</w:t>
      </w:r>
    </w:p>
    <w:p/>
    <w:p>
      <w:pPr>
        <w:pStyle w:val="Heading2"/>
      </w:pPr>
      <w:r>
        <w:t>1. Introduction</w:t>
      </w:r>
    </w:p>
    <w:p>
      <w:r>
        <w:t>Word Sense Disambiguation (WSD) is a fundamental problem in Natural Language Processing that aims to determine the correct meaning of a polysemous word in a given context. SemEval-2026 Task 5 extends traditional WSD by acknowledging that multiple senses of an ambiguous word can be simultaneously plausible in context. Using the AmbiStory dataset — a collection of short 5-sentence stories containing a target homonym — the task requires predicting human plausibility ratings (1–5) for two possible word senses given the surrounding narrative.</w:t>
      </w:r>
    </w:p>
    <w:p>
      <w:r>
        <w:rPr>
          <w:b/>
        </w:rPr>
        <w:t>System Input/Output:</w:t>
      </w:r>
    </w:p>
    <w:p>
      <w:pPr>
        <w:pStyle w:val="ListBullet"/>
      </w:pPr>
      <w:r>
        <w:rPr>
          <w:b/>
        </w:rPr>
        <w:t xml:space="preserve">Input: </w:t>
      </w:r>
      <w:r>
        <w:t>A 5-sentence story (precontext + ambiguous sentence + ending), a target homonym, and a sense definition.</w:t>
      </w:r>
    </w:p>
    <w:p>
      <w:pPr>
        <w:pStyle w:val="ListBullet"/>
      </w:pPr>
      <w:r>
        <w:rPr>
          <w:b/>
        </w:rPr>
        <w:t xml:space="preserve">Output: </w:t>
      </w:r>
      <w:r>
        <w:t>A scalar plausibility rating (1–5) indicating how plausible the given sense is within the narrative context.</w:t>
      </w:r>
    </w:p>
    <w:p>
      <w:r>
        <w:t>Unlike binary WSD, this task treats sense plausibility as a graded phenomenon, reflecting the fact that human judgments of word meaning in context often fall on a spectrum rather than into discrete categories. The system must therefore perform regression rather than classification, and must understand narrative context — not just the sentence containing the homonym.</w:t>
      </w:r>
    </w:p>
    <w:p>
      <w:r>
        <w:t>In this milestone, we present our dataset analysis, literature review, proposed methodology, and workload division.</w:t>
      </w:r>
    </w:p>
    <w:p>
      <w:pPr>
        <w:pStyle w:val="Heading2"/>
      </w:pPr>
      <w:r>
        <w:t>2. Dataset Selection</w:t>
      </w:r>
    </w:p>
    <w:p>
      <w:r>
        <w:t>We use the AmbiStory dataset provided by the task organizers (Gehring &amp; Roth, 2025) [4], available at the official task GitHub repository.</w:t>
      </w:r>
    </w:p>
    <w:p>
      <w:pPr>
        <w:pStyle w:val="Heading3"/>
      </w:pPr>
      <w:r>
        <w:t>2.1 Dataset Overview</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Split</w:t>
            </w:r>
          </w:p>
        </w:tc>
        <w:tc>
          <w:tcPr>
            <w:tcW w:type="dxa" w:w="2880"/>
          </w:tcPr>
          <w:p>
            <w:r>
              <w:rPr>
                <w:b/>
              </w:rPr>
              <w:t>Samples</w:t>
            </w:r>
          </w:p>
        </w:tc>
        <w:tc>
          <w:tcPr>
            <w:tcW w:type="dxa" w:w="2880"/>
          </w:tcPr>
          <w:p>
            <w:r>
              <w:rPr>
                <w:b/>
              </w:rPr>
              <w:t>Usage</w:t>
            </w:r>
          </w:p>
        </w:tc>
      </w:tr>
      <w:tr>
        <w:tc>
          <w:tcPr>
            <w:tcW w:type="dxa" w:w="2880"/>
          </w:tcPr>
          <w:p>
            <w:r>
              <w:t>Train</w:t>
            </w:r>
          </w:p>
        </w:tc>
        <w:tc>
          <w:tcPr>
            <w:tcW w:type="dxa" w:w="2880"/>
          </w:tcPr>
          <w:p>
            <w:r>
              <w:t>2,280</w:t>
            </w:r>
          </w:p>
        </w:tc>
        <w:tc>
          <w:tcPr>
            <w:tcW w:type="dxa" w:w="2880"/>
          </w:tcPr>
          <w:p>
            <w:r>
              <w:t>Model training and EDA</w:t>
            </w:r>
          </w:p>
        </w:tc>
      </w:tr>
      <w:tr>
        <w:tc>
          <w:tcPr>
            <w:tcW w:type="dxa" w:w="2880"/>
          </w:tcPr>
          <w:p>
            <w:r>
              <w:t>Validation</w:t>
            </w:r>
          </w:p>
        </w:tc>
        <w:tc>
          <w:tcPr>
            <w:tcW w:type="dxa" w:w="2880"/>
          </w:tcPr>
          <w:p>
            <w:r>
              <w:t>588</w:t>
            </w:r>
          </w:p>
        </w:tc>
        <w:tc>
          <w:tcPr>
            <w:tcW w:type="dxa" w:w="2880"/>
          </w:tcPr>
          <w:p>
            <w:r>
              <w:t>Hyperparameter tuning and evaluation</w:t>
            </w:r>
          </w:p>
        </w:tc>
      </w:tr>
      <w:tr>
        <w:tc>
          <w:tcPr>
            <w:tcW w:type="dxa" w:w="2880"/>
          </w:tcPr>
          <w:p>
            <w:r>
              <w:t>Test</w:t>
            </w:r>
          </w:p>
        </w:tc>
        <w:tc>
          <w:tcPr>
            <w:tcW w:type="dxa" w:w="2880"/>
          </w:tcPr>
          <w:p>
            <w:r>
              <w:t>930</w:t>
            </w:r>
          </w:p>
        </w:tc>
        <w:tc>
          <w:tcPr>
            <w:tcW w:type="dxa" w:w="2880"/>
          </w:tcPr>
          <w:p>
            <w:r>
              <w:t>Final evaluation only (locked)</w:t>
            </w:r>
          </w:p>
        </w:tc>
      </w:tr>
    </w:tbl>
    <w:p/>
    <w:p>
      <w:r>
        <w:t>Each entry contains:</w:t>
      </w:r>
    </w:p>
    <w:p>
      <w:pPr>
        <w:pStyle w:val="ListBullet"/>
      </w:pPr>
      <w:r>
        <w:rPr>
          <w:b/>
        </w:rPr>
        <w:t xml:space="preserve">homonym: </w:t>
      </w:r>
      <w:r>
        <w:t>The ambiguous target word (220 unique homonyms in train)</w:t>
      </w:r>
    </w:p>
    <w:p>
      <w:pPr>
        <w:pStyle w:val="ListBullet"/>
      </w:pPr>
      <w:r>
        <w:rPr>
          <w:b/>
        </w:rPr>
        <w:t xml:space="preserve">precontext: </w:t>
      </w:r>
      <w:r>
        <w:t>Three sentences establishing the narrative context</w:t>
      </w:r>
    </w:p>
    <w:p>
      <w:pPr>
        <w:pStyle w:val="ListBullet"/>
      </w:pPr>
      <w:r>
        <w:rPr>
          <w:b/>
        </w:rPr>
        <w:t xml:space="preserve">sentence: </w:t>
      </w:r>
      <w:r>
        <w:t>The sentence containing the homonym</w:t>
      </w:r>
    </w:p>
    <w:p>
      <w:pPr>
        <w:pStyle w:val="ListBullet"/>
      </w:pPr>
      <w:r>
        <w:rPr>
          <w:b/>
        </w:rPr>
        <w:t xml:space="preserve">ending: </w:t>
      </w:r>
      <w:r>
        <w:t>A concluding sentence implying a specific sense</w:t>
      </w:r>
    </w:p>
    <w:p>
      <w:pPr>
        <w:pStyle w:val="ListBullet"/>
      </w:pPr>
      <w:r>
        <w:rPr>
          <w:b/>
        </w:rPr>
        <w:t xml:space="preserve">judged_meaning: </w:t>
      </w:r>
      <w:r>
        <w:t>The sense definition being rated</w:t>
      </w:r>
    </w:p>
    <w:p>
      <w:pPr>
        <w:pStyle w:val="ListBullet"/>
      </w:pPr>
      <w:r>
        <w:rPr>
          <w:b/>
        </w:rPr>
        <w:t xml:space="preserve">choices: </w:t>
      </w:r>
      <w:r>
        <w:t>Individual human ratings (5 annotators, scale 1–5)</w:t>
      </w:r>
    </w:p>
    <w:p>
      <w:pPr>
        <w:pStyle w:val="ListBullet"/>
      </w:pPr>
      <w:r>
        <w:rPr>
          <w:b/>
        </w:rPr>
        <w:t xml:space="preserve">average: </w:t>
      </w:r>
      <w:r>
        <w:t>Mean of human ratings (target variable)</w:t>
      </w:r>
    </w:p>
    <w:p>
      <w:pPr>
        <w:pStyle w:val="ListBullet"/>
      </w:pPr>
      <w:r>
        <w:rPr>
          <w:b/>
        </w:rPr>
        <w:t xml:space="preserve">stdev: </w:t>
      </w:r>
      <w:r>
        <w:t>Standard deviation of human ratings</w:t>
      </w:r>
    </w:p>
    <w:p>
      <w:pPr>
        <w:pStyle w:val="ListBullet"/>
      </w:pPr>
      <w:r>
        <w:rPr>
          <w:b/>
        </w:rPr>
        <w:t xml:space="preserve">example_sentence: </w:t>
      </w:r>
      <w:r>
        <w:t>An example usage sentence for the given word sense</w:t>
      </w:r>
    </w:p>
    <w:p>
      <w:pPr>
        <w:pStyle w:val="Heading3"/>
      </w:pPr>
      <w:r>
        <w:t>2.2 Key EDA Findings</w:t>
      </w:r>
    </w:p>
    <w:p>
      <w:pPr>
        <w:pStyle w:val="ListBullet"/>
      </w:pPr>
      <w:r>
        <w:rPr>
          <w:b/>
        </w:rPr>
        <w:t>Rating distribution:</w:t>
      </w:r>
      <w:r>
        <w:t xml:space="preserve"> The mean plausibility rating is 3.14 (std = 0.95), with ratings spread across the full 1–5 range. The distribution is roughly symmetric with a slight concentration around 3.</w:t>
      </w:r>
    </w:p>
    <w:p>
      <w:pPr>
        <w:pStyle w:val="ListBullet"/>
      </w:pPr>
      <w:r>
        <w:rPr>
          <w:b/>
        </w:rPr>
        <w:t>Annotator agreement:</w:t>
      </w:r>
      <w:r>
        <w:t xml:space="preserve"> The mean standard deviation across annotators is 0.95, indicating moderate disagreement — consistent with the task's premise that sense plausibility is subjective.</w:t>
      </w:r>
    </w:p>
    <w:p>
      <w:pPr>
        <w:pStyle w:val="ListBullet"/>
      </w:pPr>
      <w:r>
        <w:rPr>
          <w:b/>
        </w:rPr>
        <w:t>Paired senses:</w:t>
      </w:r>
      <w:r>
        <w:t xml:space="preserve"> Each story has exactly 2 sense entries (1,140 unique stories). The Spearman correlation between paired sense ratings is r = −0.607 (p &lt; 0.001), indicating a moderate negative relationship — when one sense is rated as more plausible, the other tends to be rated as less plausible.</w:t>
      </w:r>
    </w:p>
    <w:p>
      <w:pPr>
        <w:pStyle w:val="ListBullet"/>
      </w:pPr>
      <w:r>
        <w:rPr>
          <w:b/>
        </w:rPr>
        <w:t>Story length:</w:t>
      </w:r>
      <w:r>
        <w:t xml:space="preserve"> Stories average approximately 50 words across 5 sentences, with consistent lengths across samples.</w:t>
      </w:r>
    </w:p>
    <w:p>
      <w:pPr>
        <w:pStyle w:val="ListBullet"/>
      </w:pPr>
      <w:r>
        <w:rPr>
          <w:b/>
        </w:rPr>
        <w:t>Nonsensical flags:</w:t>
      </w:r>
      <w:r>
        <w:t xml:space="preserve"> Approximately 10% of samples have at least one annotator flagging them as nonsensical, and these samples have noticeably lower average ratings.</w:t>
      </w:r>
    </w:p>
    <w:p>
      <w:pPr>
        <w:pStyle w:val="ListBullet"/>
      </w:pPr>
      <w:r>
        <w:rPr>
          <w:b/>
        </w:rPr>
        <w:t>Train/Validation consistency:</w:t>
      </w:r>
      <w:r>
        <w:t xml:space="preserve"> KS tests confirm that the train and validation distributions are statistically similar, supporting reliable evaluation.</w:t>
      </w:r>
    </w:p>
    <w:p>
      <w:pPr>
        <w:pStyle w:val="Heading3"/>
      </w:pPr>
      <w:r>
        <w:t>2.3 Why AmbiStory?</w:t>
      </w:r>
    </w:p>
    <w:p>
      <w:r>
        <w:t>AmbiStory is the official task dataset and is uniquely designed for graded sense plausibility rather than binary disambiguation. The narrative structure (5-sentence stories) provides rich context that goes beyond single-sentence WSD, making it ideal for exploring narrative understanding approaches.</w:t>
      </w:r>
    </w:p>
    <w:p>
      <w:pPr>
        <w:pStyle w:val="Heading2"/>
      </w:pPr>
      <w:r>
        <w:t>3. Approach Plan</w:t>
      </w:r>
    </w:p>
    <w:p>
      <w:pPr>
        <w:pStyle w:val="Heading3"/>
      </w:pPr>
      <w:r>
        <w:t>3.1 Literature Review</w:t>
      </w:r>
    </w:p>
    <w:p>
      <w:r>
        <w:t>We have identified three papers from approved venues (EMNLP, ACL) that inform our methodology. Additionally, we reference the task organizers’ own paper [4] as supplementary context (*SEM 2025 — not on the approved venue list, therefore not counted among the required three). Gehring and Roth (2025) introduce the AmbiStory dataset, collect 19,701 human plausibility ratings, and benchmark several large language models against human judgments, finding that most LLMs correlate poorly with human ratings but fine-tuning significantly improves performance. This motivates our choice of a fine-tuned transformer approach rather than zero-shot prompting.</w:t>
      </w:r>
    </w:p>
    <w:p>
      <w:r>
        <w:rPr>
          <w:b/>
        </w:rPr>
        <w:t xml:space="preserve">Paper 1: </w:t>
      </w:r>
      <w:r>
        <w:t xml:space="preserve">Huang, L., Sun, C., Qiu, X., &amp; Huang, X. (2019). "GlossBERT: BERT for Word Sense Disambiguation with Gloss Knowledge." </w:t>
      </w:r>
      <w:r>
        <w:rPr>
          <w:i/>
        </w:rPr>
        <w:t>EMNLP 2019.</w:t>
      </w:r>
    </w:p>
    <w:p>
      <w:pPr>
        <w:pStyle w:val="ListBullet"/>
      </w:pPr>
      <w:r>
        <w:rPr>
          <w:i/>
        </w:rPr>
        <w:t xml:space="preserve">Summary: </w:t>
      </w:r>
      <w:r>
        <w:t>GlossBERT encodes target sentences jointly with sense definitions (glosses) using BERT, achieving state-of-the-art WSD by leveraging the pre-trained model's ability to match context with sense descriptions.</w:t>
      </w:r>
    </w:p>
    <w:p>
      <w:pPr>
        <w:pStyle w:val="ListBullet"/>
      </w:pPr>
      <w:r>
        <w:rPr>
          <w:i/>
        </w:rPr>
        <w:t xml:space="preserve">Relevance: </w:t>
      </w:r>
      <w:r>
        <w:t>Our task similarly requires matching a story context with a sense definition. The [CLS] story [SEP] sense_definition encoding strategy directly applies to AmbiStory's input format.</w:t>
      </w:r>
    </w:p>
    <w:p>
      <w:r>
        <w:rPr>
          <w:b/>
        </w:rPr>
        <w:t xml:space="preserve">Paper 2: </w:t>
      </w:r>
      <w:r>
        <w:t xml:space="preserve">Bevilacqua, M., &amp; Navigli, R. (2020). "Breaking Through the 80% Glass Ceiling: Raising the State of the Art in Word Sense Disambiguation by Incorporating Knowledge Graph Information." </w:t>
      </w:r>
      <w:r>
        <w:rPr>
          <w:i/>
        </w:rPr>
        <w:t>ACL 2020.</w:t>
      </w:r>
    </w:p>
    <w:p>
      <w:pPr>
        <w:pStyle w:val="ListBullet"/>
      </w:pPr>
      <w:r>
        <w:rPr>
          <w:i/>
        </w:rPr>
        <w:t xml:space="preserve">Summary: </w:t>
      </w:r>
      <w:r>
        <w:t>This work integrates structured knowledge from WordNet's semantic network into neural WSD models, showing that external knowledge significantly improves disambiguation accuracy.</w:t>
      </w:r>
    </w:p>
    <w:p>
      <w:pPr>
        <w:pStyle w:val="ListBullet"/>
      </w:pPr>
      <w:r>
        <w:rPr>
          <w:i/>
        </w:rPr>
        <w:t xml:space="preserve">Relevance: </w:t>
      </w:r>
      <w:r>
        <w:t>AmbiStory's sense definitions come from structured lexical resources. Incorporating relational information between senses (e.g., semantic similarity) could help our model distinguish between closely related meanings.</w:t>
      </w:r>
    </w:p>
    <w:p>
      <w:r>
        <w:rPr>
          <w:b/>
        </w:rPr>
        <w:t xml:space="preserve">Paper 3: </w:t>
      </w:r>
      <w:r>
        <w:t xml:space="preserve">Blevins, T., &amp; Zettlemoyer, L. (2020). "Moving Down the Long Tail of Word Sense Disambiguation with Gloss-Informed Bi-Encoders." </w:t>
      </w:r>
      <w:r>
        <w:rPr>
          <w:i/>
        </w:rPr>
        <w:t>ACL 2020.</w:t>
      </w:r>
    </w:p>
    <w:p>
      <w:pPr>
        <w:pStyle w:val="ListBullet"/>
      </w:pPr>
      <w:r>
        <w:rPr>
          <w:i/>
        </w:rPr>
        <w:t xml:space="preserve">Summary: </w:t>
      </w:r>
      <w:r>
        <w:t>This paper proposes a bi-encoder architecture that independently encodes contexts and glosses into the same embedding space, enabling efficient and accurate WSD, especially for rare senses.</w:t>
      </w:r>
    </w:p>
    <w:p>
      <w:pPr>
        <w:pStyle w:val="ListBullet"/>
      </w:pPr>
      <w:r>
        <w:rPr>
          <w:i/>
        </w:rPr>
        <w:t xml:space="preserve">Relevance: </w:t>
      </w:r>
      <w:r>
        <w:t>The bi-encoder approach offers an alternative to cross-encoding for our task: encoding stories and sense definitions separately could improve computational efficiency while maintaining accuracy, and provides a useful comparison point for our cross-encoder approach.</w:t>
      </w:r>
    </w:p>
    <w:p>
      <w:pPr>
        <w:pStyle w:val="Heading3"/>
      </w:pPr>
      <w:r>
        <w:t>3.2 Proposed Methodology</w:t>
      </w:r>
    </w:p>
    <w:p>
      <w:r>
        <w:rPr>
          <w:b/>
        </w:rPr>
        <w:t xml:space="preserve">Baseline: </w:t>
      </w:r>
      <w:r>
        <w:t>TF-IDF features from the full story + sense definition, followed by a regression model (e.g., Ridge Regression). This provides a simple, non-neural benchmark.</w:t>
      </w:r>
    </w:p>
    <w:p>
      <w:r>
        <w:rPr>
          <w:b/>
        </w:rPr>
        <w:t xml:space="preserve">Main Approach: </w:t>
      </w:r>
      <w:r>
        <w:t>Fine-tune a pre-trained transformer (BERT or RoBERTa) with the following encoding strategy:</w:t>
      </w:r>
    </w:p>
    <w:p>
      <w:pPr>
        <w:pStyle w:val="ListBullet"/>
      </w:pPr>
      <w:r>
        <w:t>Input: [CLS] full_story [SEP] sense_definition [SEP]</w:t>
      </w:r>
    </w:p>
    <w:p>
      <w:pPr>
        <w:pStyle w:val="ListBullet"/>
      </w:pPr>
      <w:r>
        <w:t>The [CLS] representation is passed through a regression head (linear layer) to predict the plausibility rating (1–5).</w:t>
      </w:r>
    </w:p>
    <w:p>
      <w:pPr>
        <w:pStyle w:val="ListBullet"/>
      </w:pPr>
      <w:r>
        <w:t>Loss function: Mean Squared Error (MSE).</w:t>
      </w:r>
    </w:p>
    <w:p>
      <w:r>
        <w:rPr>
          <w:b/>
        </w:rPr>
        <w:t xml:space="preserve">Novel Contribution 1 — Joint Sense Comparison: </w:t>
      </w:r>
      <w:r>
        <w:t>Instead of scoring each sense independently, we propose a cross-encoder that processes both senses simultaneously:</w:t>
      </w:r>
    </w:p>
    <w:p>
      <w:pPr>
        <w:pStyle w:val="ListBullet"/>
      </w:pPr>
      <w:r>
        <w:t>Input: [CLS] story [SEP] sense1_definition [SEP] sense2_definition [SEP]</w:t>
      </w:r>
    </w:p>
    <w:p>
      <w:pPr>
        <w:pStyle w:val="ListBullet"/>
      </w:pPr>
      <w:r>
        <w:t>The model outputs two scores, capturing the relative plausibility of each sense within the same narrative context. This leverages the paired nature of the dataset.</w:t>
      </w:r>
    </w:p>
    <w:p>
      <w:r>
        <w:rPr>
          <w:b/>
        </w:rPr>
        <w:t xml:space="preserve">Novel Contribution 2 — Narrative-Aware Encoding: </w:t>
      </w:r>
      <w:r>
        <w:t>The task name emphasizes "Narrative Understanding." We propose enhancing the model's ability to process the sequential structure of the 5-sentence story by:</w:t>
      </w:r>
    </w:p>
    <w:p>
      <w:pPr>
        <w:pStyle w:val="ListBullet"/>
      </w:pPr>
      <w:r>
        <w:t>Adding sentence-level segment IDs (1–5) so the model can distinguish which part of the narrative each token belongs to.</w:t>
      </w:r>
    </w:p>
    <w:p>
      <w:pPr>
        <w:pStyle w:val="ListBullet"/>
      </w:pPr>
      <w:r>
        <w:t>Alternatively, a hierarchical encoder that first encodes each sentence independently, then aggregates sentence representations using attention to model narrative flow before comparing with the sense definition.</w:t>
      </w:r>
    </w:p>
    <w:p>
      <w:pPr>
        <w:pStyle w:val="Heading3"/>
      </w:pPr>
      <w:r>
        <w:t>3.3 Training and Evaluation Strategy</w:t>
      </w:r>
    </w:p>
    <w:p>
      <w:r>
        <w:t>During development, the test set remains locked and unused. All model selection, hyperparameter tuning, and performance comparison will be conducted exclusively on the validation set. We will also employ 5-fold cross-validation on the training set (with a fixed seed of 42) to obtain more robust performance estimates and to detect overfitting early. The final model will be selected based on validation set performance, and the locked test set will only be used once for the final evaluation.</w:t>
      </w:r>
    </w:p>
    <w:p>
      <w:pPr>
        <w:pStyle w:val="Heading3"/>
      </w:pPr>
      <w:r>
        <w:t>3.4 Evaluation Metrics</w:t>
      </w:r>
    </w:p>
    <w:p>
      <w:pPr>
        <w:pStyle w:val="ListBullet"/>
      </w:pPr>
      <w:r>
        <w:t>Primary: Accuracy@std (accuracy within one standard deviation of the gold mean), Spearman correlation</w:t>
      </w:r>
    </w:p>
    <w:p>
      <w:pPr>
        <w:pStyle w:val="ListBullet"/>
      </w:pPr>
      <w:r>
        <w:t>Additional (for final report): Confusion matrix, F1-score, Macro Precision, Macro Recall (after rounding regression output to nearest integer 1–5)</w:t>
      </w:r>
    </w:p>
    <w:p>
      <w:pPr>
        <w:pStyle w:val="ListBullet"/>
      </w:pPr>
      <w:r>
        <w:rPr>
          <w:b/>
        </w:rPr>
        <w:t xml:space="preserve">Target: </w:t>
      </w:r>
      <w:r>
        <w:t>accuracy@std &gt;= 0.8, Spearman &gt;= 0.7</w:t>
      </w:r>
    </w:p>
    <w:p>
      <w:pPr>
        <w:pStyle w:val="Heading2"/>
      </w:pPr>
      <w:r>
        <w:t>4. Next Steps</w:t>
      </w:r>
    </w:p>
    <w:p>
      <w:pPr>
        <w:pStyle w:val="Heading3"/>
      </w:pPr>
      <w:r>
        <w:t>4.1 Workload Division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Person</w:t>
            </w:r>
          </w:p>
        </w:tc>
        <w:tc>
          <w:tcPr>
            <w:tcW w:type="dxa" w:w="2880"/>
          </w:tcPr>
          <w:p>
            <w:r>
              <w:rPr>
                <w:b/>
              </w:rPr>
              <w:t>Module</w:t>
            </w:r>
          </w:p>
        </w:tc>
        <w:tc>
          <w:tcPr>
            <w:tcW w:type="dxa" w:w="2880"/>
          </w:tcPr>
          <w:p>
            <w:r>
              <w:rPr>
                <w:b/>
              </w:rPr>
              <w:t>Responsibility</w:t>
            </w:r>
          </w:p>
        </w:tc>
      </w:tr>
      <w:tr>
        <w:tc>
          <w:tcPr>
            <w:tcW w:type="dxa" w:w="2880"/>
          </w:tcPr>
          <w:p>
            <w:r>
              <w:t>Person 1</w:t>
            </w:r>
          </w:p>
        </w:tc>
        <w:tc>
          <w:tcPr>
            <w:tcW w:type="dxa" w:w="2880"/>
          </w:tcPr>
          <w:p>
            <w:r>
              <w:t>Data &amp; EDA</w:t>
            </w:r>
          </w:p>
        </w:tc>
        <w:tc>
          <w:tcPr>
            <w:tcW w:type="dxa" w:w="2880"/>
          </w:tcPr>
          <w:p>
            <w:r>
              <w:t>EDA notebook (completed), data pipeline, augmentation</w:t>
            </w:r>
          </w:p>
        </w:tc>
      </w:tr>
      <w:tr>
        <w:tc>
          <w:tcPr>
            <w:tcW w:type="dxa" w:w="2880"/>
          </w:tcPr>
          <w:p>
            <w:r>
              <w:t>Person 2</w:t>
            </w:r>
          </w:p>
        </w:tc>
        <w:tc>
          <w:tcPr>
            <w:tcW w:type="dxa" w:w="2880"/>
          </w:tcPr>
          <w:p>
            <w:r>
              <w:t>Literature (Papers 1-2)</w:t>
            </w:r>
          </w:p>
        </w:tc>
        <w:tc>
          <w:tcPr>
            <w:tcW w:type="dxa" w:w="2880"/>
          </w:tcPr>
          <w:p>
            <w:r>
              <w:t>Paper summaries, GlossBERT-style encoding</w:t>
            </w:r>
          </w:p>
        </w:tc>
      </w:tr>
      <w:tr>
        <w:tc>
          <w:tcPr>
            <w:tcW w:type="dxa" w:w="2880"/>
          </w:tcPr>
          <w:p>
            <w:r>
              <w:t>Person 3</w:t>
            </w:r>
          </w:p>
        </w:tc>
        <w:tc>
          <w:tcPr>
            <w:tcW w:type="dxa" w:w="2880"/>
          </w:tcPr>
          <w:p>
            <w:r>
              <w:t>Literature (Paper 3+)</w:t>
            </w:r>
          </w:p>
        </w:tc>
        <w:tc>
          <w:tcPr>
            <w:tcW w:type="dxa" w:w="2880"/>
          </w:tcPr>
          <w:p>
            <w:r>
              <w:t>Additional paper search, bi-encoder comparison</w:t>
            </w:r>
          </w:p>
        </w:tc>
      </w:tr>
      <w:tr>
        <w:tc>
          <w:tcPr>
            <w:tcW w:type="dxa" w:w="2880"/>
          </w:tcPr>
          <w:p>
            <w:r>
              <w:t>Person 4</w:t>
            </w:r>
          </w:p>
        </w:tc>
        <w:tc>
          <w:tcPr>
            <w:tcW w:type="dxa" w:w="2880"/>
          </w:tcPr>
          <w:p>
            <w:r>
              <w:t>Methodology Design</w:t>
            </w:r>
          </w:p>
        </w:tc>
        <w:tc>
          <w:tcPr>
            <w:tcW w:type="dxa" w:w="2880"/>
          </w:tcPr>
          <w:p>
            <w:r>
              <w:t>Baseline + main approach, novel contributions</w:t>
            </w:r>
          </w:p>
        </w:tc>
      </w:tr>
      <w:tr>
        <w:tc>
          <w:tcPr>
            <w:tcW w:type="dxa" w:w="2880"/>
          </w:tcPr>
          <w:p>
            <w:r>
              <w:t>Person 5</w:t>
            </w:r>
          </w:p>
        </w:tc>
        <w:tc>
          <w:tcPr>
            <w:tcW w:type="dxa" w:w="2880"/>
          </w:tcPr>
          <w:p>
            <w:r>
              <w:t>Presentation &amp; Report</w:t>
            </w:r>
          </w:p>
        </w:tc>
        <w:tc>
          <w:tcPr>
            <w:tcW w:type="dxa" w:w="2880"/>
          </w:tcPr>
          <w:p>
            <w:r>
              <w:t>Report sections, slides, coordination</w:t>
            </w:r>
          </w:p>
        </w:tc>
      </w:tr>
    </w:tbl>
    <w:p/>
    <w:p>
      <w:pPr>
        <w:pStyle w:val="Heading3"/>
      </w:pPr>
      <w:r>
        <w:t>4.2 Timeline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Week</w:t>
            </w:r>
          </w:p>
        </w:tc>
        <w:tc>
          <w:tcPr>
            <w:tcW w:type="dxa" w:w="4320"/>
          </w:tcPr>
          <w:p>
            <w:r>
              <w:rPr>
                <w:b/>
              </w:rPr>
              <w:t>Task</w:t>
            </w:r>
          </w:p>
        </w:tc>
      </w:tr>
      <w:tr>
        <w:tc>
          <w:tcPr>
            <w:tcW w:type="dxa" w:w="4320"/>
          </w:tcPr>
          <w:p>
            <w:r>
              <w:t>Apr 14–20</w:t>
            </w:r>
          </w:p>
        </w:tc>
        <w:tc>
          <w:tcPr>
            <w:tcW w:type="dxa" w:w="4320"/>
          </w:tcPr>
          <w:p>
            <w:r>
              <w:t>Implement TF-IDF baseline; set up BERT fine-tuning pipeline</w:t>
            </w:r>
          </w:p>
        </w:tc>
      </w:tr>
      <w:tr>
        <w:tc>
          <w:tcPr>
            <w:tcW w:type="dxa" w:w="4320"/>
          </w:tcPr>
          <w:p>
            <w:r>
              <w:t>Apr 21–27</w:t>
            </w:r>
          </w:p>
        </w:tc>
        <w:tc>
          <w:tcPr>
            <w:tcW w:type="dxa" w:w="4320"/>
          </w:tcPr>
          <w:p>
            <w:r>
              <w:t>Train main model; implement joint sense comparison</w:t>
            </w:r>
          </w:p>
        </w:tc>
      </w:tr>
      <w:tr>
        <w:tc>
          <w:tcPr>
            <w:tcW w:type="dxa" w:w="4320"/>
          </w:tcPr>
          <w:p>
            <w:r>
              <w:t>Apr 28–May 4</w:t>
            </w:r>
          </w:p>
        </w:tc>
        <w:tc>
          <w:tcPr>
            <w:tcW w:type="dxa" w:w="4320"/>
          </w:tcPr>
          <w:p>
            <w:r>
              <w:t>Implement narrative-aware encoding; run ablation studies</w:t>
            </w:r>
          </w:p>
        </w:tc>
      </w:tr>
      <w:tr>
        <w:tc>
          <w:tcPr>
            <w:tcW w:type="dxa" w:w="4320"/>
          </w:tcPr>
          <w:p>
            <w:r>
              <w:t>May 5–11</w:t>
            </w:r>
          </w:p>
        </w:tc>
        <w:tc>
          <w:tcPr>
            <w:tcW w:type="dxa" w:w="4320"/>
          </w:tcPr>
          <w:p>
            <w:r>
              <w:t>Evaluate all approaches; generate plots and metrics</w:t>
            </w:r>
          </w:p>
        </w:tc>
      </w:tr>
      <w:tr>
        <w:tc>
          <w:tcPr>
            <w:tcW w:type="dxa" w:w="4320"/>
          </w:tcPr>
          <w:p>
            <w:r>
              <w:t>May 12–18</w:t>
            </w:r>
          </w:p>
        </w:tc>
        <w:tc>
          <w:tcPr>
            <w:tcW w:type="dxa" w:w="4320"/>
          </w:tcPr>
          <w:p>
            <w:r>
              <w:t>Write final report; prepare and rehearse presentation</w:t>
            </w:r>
          </w:p>
        </w:tc>
      </w:tr>
    </w:tbl>
    <w:p>
      <w:pPr>
        <w:pStyle w:val="Heading2"/>
      </w:pPr>
      <w:r>
        <w:t>References</w:t>
      </w:r>
    </w:p>
    <w:p>
      <w:r>
        <w:t>[1] Huang, L., Sun, C., Qiu, X., &amp; Huang, X. (2019). GlossBERT: BERT for Word Sense Disambiguation with Gloss Knowledge. In Proceedings of the 2019 Conference on Empirical Methods in Natural Language Processing (EMNLP), pp. 3509–3514.</w:t>
      </w:r>
    </w:p>
    <w:p>
      <w:r>
        <w:t>[2] Bevilacqua, M., &amp; Navigli, R. (2020). Breaking Through the 80% Glass Ceiling: Raising the State of the Art in Word Sense Disambiguation by Incorporating Knowledge Graph Information. In Proceedings of the 58th Annual Meeting of the Association for Computational Linguistics (ACL), pp. 943–953.</w:t>
      </w:r>
    </w:p>
    <w:p>
      <w:r>
        <w:t>[3] Blevins, T., &amp; Zettlemoyer, L. (2020). Moving Down the Long Tail of Word Sense Disambiguation with Gloss-Informed Bi-Encoders. In Proceedings of the 58th Annual Meeting of the Association for Computational Linguistics (ACL), pp. 1006–1017.</w:t>
      </w:r>
    </w:p>
    <w:p>
      <w:r>
        <w:t>[4] Gehring, J., &amp; Roth, M. (2025). AmbiStory: A Challenging Dataset of Lexically Ambiguous Short Stories. In Proceedings of the 14th Joint Conference on Lexical and Computational Semantics (*SEM 2025), pp. 152–171. Association for Computational Linguistics.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