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Trends and Practice Variation in Posterior Malleolus Fracture Management: An International Survey of Orthopaedic Surgeons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Survey Questionnaire</w:t>
      </w:r>
    </w:p>
    <w:p>
      <w:pPr>
        <w:pBdr>
          <w:bottom w:val="single" w:color="CCCCCC" w:sz="8" w:space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Target journal: Injury — International Journal of the Care of the Injured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BF3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Dear Colleague,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invited to participate in an international survey on current surgical decision-making and practice variation in posterior malleolus (PM) fracture management. Despite a growing body of literature on fixation techniques and classification systems, practice patterns remain poorly characterised — the last dedicated survey on this topic was published in 2011.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Completion takes approximately 8–10 minutes. Participation is anonymous and voluntary. Results will be submitted for publication in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Injury — International Journal of the Care of the Injured.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All respondents will be offered co-authorship acknowledgement on request.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submitting your responses, you consent to participation in this study. No patient-identifiable data are collected.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A — Demographic and Professional Background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your current professional title?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Resident / Orthopaedic Trainee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Specialist / Attending Surgeon (non-academic)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Academic Faculty (Assistant / Associate Professor)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Professor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Fellow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How many years have you been practising as a fully qualified orthopaedic surgeon?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5 years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5–10 years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11–20 years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20 years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your primary institutional setting?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University / Academic Medical Centre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Government / State Training Hospital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Community / District General Hospital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Private / Independent Hospital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 you have a subspecialty focus in foot &amp; ankle surgery?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foot &amp; ankle is my primary subspecialty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foot &amp; ankle is one of several subspecialties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I practise general orthopaedic trauma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how many ankle fractures (all types) do you treat operatively per year?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10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10–30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31–60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60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B — Exposure to Posterior Malleolus Fractures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how many posterior malleolus (PM) fractures do you encounter per month (including non-operative cases)?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2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2–5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6–10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Of those PM fractures, approximately what proportion do you fix operatively?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25%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25–50%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51–75%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75%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C — Classification and Preoperative Assessment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classification system(s) do you routinely use for posterior malleolus fractures?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all that apply.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Haraguchi classification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Bartoníček classification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AO/OTA classification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Descriptive (fragment size as % of articular surface only)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do not use a formal classification system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Other: ______________________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 you routinely obtain a preoperative CT scan for posterior malleolus fractures?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for all ankle fractures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when the PM fragment is visible on plain X-ray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selectively, based on clinical judgement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plain radiography is sufficient in my practice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imaging parameter most influences your fixation decision?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Fragment size (% of articular surface)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Fracture morphology / fragment type (CT-based)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Degree of posterior tibial articular step-off (mm)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Syndesmotic instability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Combination of the above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D — Fixation Indications and Decision-Making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your primary threshold for operative fixation of a PM fragment based on articular surface involvement?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10% of the articular surface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15% of the articular surface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25% of the articular surface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33% of the articular surface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do not use a percentage threshold — I base the decision on morphology / CT findings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fix all PM fractures regardless of size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Beyond fragment size, which factors independently influence your decision to fix the PM?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all that apply.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Syndesmotic instability (positive hook test / stress view)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 fragment morphology on CT (Haraguchi/Bartoníček type)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Degree of articular step-off (&gt; 1–2 mm)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Posterior tibial cortex involvement / fibular notch disruption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age and activity level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bone quality (osteoporosis)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Associated deltoid ligament injury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Surgeon preference / institutional protocol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Has your personal threshold for PM fixation changed over the past 5 years?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 now fix more (lower threshold)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 now fix fewer (higher threshold)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my threshold has remained the same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am early in my career and have not developed a clear trend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E — Fixation Technique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fixation technique(s) do you use for PM fractures?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all that apply.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Percutaneous anteroposterior (AP) lag screw(s) — indirect reduction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Percutaneous posteroanterior (PA) lag screw(s) — indirect reduction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Arthroscopically assisted reduction with internal fixation (ARIF) —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Arthroscopically assisted reduction with internal fixation (ARIF) —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reduction via posterolateral approach — lag screw(s)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reduction via posterolateral approach — buttress / locking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reduction via posteromedial approach — lag screw(s)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reduction via posteromedial approach — buttress / locking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do not routinely fix PM fractures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your preferred technique for the majority of PM fixations you perform?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Percutaneous AP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Percutaneous PA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ARIF —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ARIF —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posterolateral —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posterolateral —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posteromedial —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posteromedial —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Varies by fracture type / morphology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approach do you use for open reduction of PM fractures?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all that apply.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Posterolateral (between peroneal tendons and flexor hallucis longus)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Posteromedial (medial to FHL)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Combined posterolateral + posteromedial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do not perform open reduction of PM fractures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F — Trimalleolar Fractures and Syndesmosis Management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trimalleolar ankle fractures, what is your preferred fixation sequence?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Fibula first → PM → Medial malleolus → Syndesmosis (if unstable)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 first → Fibula → Medial malleolus → Syndesmosis (if unstable)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Fibula first → Syndesmosis → PM → Medial malleolus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 sequence is individualised — no standard protocol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After PM fixation in a trimalleolar fracture, how do you assess the syndesmosis?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all that apply.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Intraoperative stress test (external rotation / hook test)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Intraoperative fluoroscopy — tibiofibular clear space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Intraoperative arthroscopy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assess the syndesmosis only if clinical suspicion is high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routinely fix the syndesmosis regardless of intraoperative stability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your experience, does PM fixation reduce the need for syndesmotic screw placement?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consistently; PM fixation restores syndesmotic stability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in some cases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I find syndesmotic instability often persists despite PM fixation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have not specifically assessed this in my practice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G — Clinical Case Vignettes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respond to the following three clinical scenarios. Each represents a trimalleolar fracture with a posterior malleolus fragment identified on CT scan.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0"/>
              <w:left w:val="single" w:color="E6A817" w:sz="10"/>
              <w:bottom w:val="single" w:color="E6A817" w:sz="10"/>
              <w:right w:val="single" w:color="E6A817" w:sz="1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|  56-year-old active individual, isolated trimalleolar fracture. CT: Haraguchi Type I PM fragment, 18% of articular surface, &lt; 1 mm step-off. Fibula fracture Weber B. No syndesmotic instability on stress test.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Case 1 — Would you fix the posterior malleolus?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 would fix the PM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I would not fix the PM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Uncertain — I would discuss in a multidisciplinary or team setting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Case 1 — If yes, which fixation technique would you use?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Percutaneous AP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Percutaneous PA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ARIF —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ARIF —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posterolateral approach — plate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posterolateral approach — screw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N/A — I would not fix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10"/>
              <w:left w:val="single" w:color="3A7D44" w:sz="10"/>
              <w:bottom w:val="single" w:color="3A7D44" w:sz="10"/>
              <w:right w:val="single" w:color="3A7D44" w:sz="10"/>
            </w:tcBorders>
            <w:shd w:fill="F0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|  48-year-old, trimalleolar fracture with dislocation. CT: Bartoníček Type 3 PM fragment (posterolateral, involving fibular notch), 28% of articular surface, 2 mm articular step-off. Positive syndesmotic instability on hook test.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Case 2 — Would you fix the posterior malleolus?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 would fix the PM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I would not fix the PM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Uncertain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Case 2 — What is your fixation sequence?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Fibula → PM (open posterolateral) → Medial malleolus; reassess syndesmosis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 (open posterolateral) → Fibula → Medial malleolus; reassess syndesmosis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Fibula → Syndesmosis → PM → Medial malleolus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Fibula → PM → Medial malleolus → Syndesmotic screw regardless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Other / individualised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D9A" w:sz="10"/>
              <w:left w:val="single" w:color="6A3D9A" w:sz="10"/>
              <w:bottom w:val="single" w:color="6A3D9A" w:sz="10"/>
              <w:right w:val="single" w:color="6A3D9A" w:sz="10"/>
            </w:tcBorders>
            <w:shd w:fill="F3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|  70-year-old, low-demand, osteoporotic female. CT: Haraguchi Type II PM fragment, 22% of articular surface, 1.5 mm step-off. Stable syndesmosis.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Case 3 — Would you fix the posterior malleolus?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one.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I would fix the PM (same threshold regardless of patient profile)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 — but I would choose a less invasive technique than in a younger patient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— I would not fix given the patient profile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Uncertain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H — Attitudes and Knowledge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Rate your agreement with each statement (1 = Strongly Disagree, 5 = Strongly Agree).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0"/>
        <w:gridCol w:w="1072"/>
        <w:gridCol w:w="1072"/>
        <w:gridCol w:w="1072"/>
        <w:gridCol w:w="1072"/>
        <w:gridCol w:w="1072"/>
      </w:tblGrid>
      <w:tr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10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Strongly
Disagree</w:t>
            </w:r>
          </w:p>
        </w:tc>
        <w:tc>
          <w:tcPr>
            <w:tcW w:type="dxa" w:w="10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Disagree</w:t>
            </w:r>
          </w:p>
        </w:tc>
        <w:tc>
          <w:tcPr>
            <w:tcW w:type="dxa" w:w="10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Neutral</w:t>
            </w:r>
          </w:p>
        </w:tc>
        <w:tc>
          <w:tcPr>
            <w:tcW w:type="dxa" w:w="10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Agree</w:t>
            </w:r>
          </w:p>
        </w:tc>
        <w:tc>
          <w:tcPr>
            <w:tcW w:type="dxa" w:w="107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Strongly
Agree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Fragment morphology (CT-based) is more important than fragment size when deciding to fix the PM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Posterior plating provides superior reduction compared to percutaneous screw fixation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ARIF is a valuable technique that I would adopt if I had access to the necessary equipment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PM fixation frequently abolishes the need for syndesmotic screw placement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evidence is sufficient to guide my clinical decision-making for PM fractures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randomised controlled trial comparing AP screw vs. posterior plate fixation is needed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three factors do you consider most important for achieving optimal outcomes after PM fixation?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Select up to 3.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Anatomical reduction of the articular surface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implant selection (screw vs. plate)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Syndesmotic stability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Timing of surgery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selection / appropriate indication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Postoperative rehabilitation protocol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Surgical approach (posterolateral vs. posteromedial)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I — Additional Comments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18"/>
              <w:bottom w:val="none" w:color="auto" w:sz="0"/>
              <w:right w:val="none" w:color="auto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 there any aspect of posterior malleolus fracture management that you feel is insufficiently addressed by current literature or guidelines?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br/>
              <w:t xml:space="preserve">
Open text — optional.</w:t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Thank you for your participation.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Your responses will contribute to the first large-scale international survey on posterior malleolus fracture management practice since 2011.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Corresponding author: Yrd. Doç. Dr. Utku GÜRHAN — Orthopaedic and Traumatology Surgery, Girne University Dr. Suat Günsel Hospital, Cyprus | utkugrhn@gmail.com</w:t>
            </w:r>
          </w:p>
        </w:tc>
      </w:tr>
    </w:tbl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2026-04-01T19:45:03.597Z</dcterms:created>
  <dcterms:modified xsi:type="dcterms:W3CDTF">2026-04-01T19:45:03.598Z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