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color w:val="16213C"/>
          <w:sz w:val="36"/>
          <w:szCs w:val="36"/>
        </w:rPr>
        <w:t xml:space="preserve">Artificial Intelligence Based Clinical Decision Support Systems</w:t>
      </w:r>
    </w:p>
    <w:p>
      <w:pPr>
        <w:spacing w:after="220"/>
        <w:jc w:val="left"/>
      </w:pPr>
      <w:r>
        <w:rPr>
          <w:rFonts w:ascii="Times New Roman" w:cs="Times New Roman" w:eastAsia="Times New Roman" w:hAnsi="Times New Roman"/>
          <w:b w:val="false"/>
          <w:bCs w:val="false"/>
          <w:color w:val="6B7590"/>
          <w:sz w:val="26"/>
          <w:szCs w:val="26"/>
        </w:rPr>
        <w:t xml:space="preserve">Lecture Notes and Presentation Source Text</w:t>
      </w:r>
    </w:p>
    <w:p>
      <w:pPr>
        <w:pBdr>
          <w:bottom w:val="single" w:color="AAAAAA" w:sz="6" w:space="6"/>
        </w:pBdr>
        <w:spacing w:after="200"/>
      </w:pPr>
    </w:p>
    <w:p>
      <w:pPr>
        <w:spacing w:after="80"/>
        <w:jc w:val="left"/>
      </w:pPr>
      <w:r>
        <w:rPr>
          <w:rFonts w:ascii="Times New Roman" w:cs="Times New Roman" w:eastAsia="Times New Roman" w:hAnsi="Times New Roman"/>
          <w:b/>
          <w:bCs/>
          <w:sz w:val="24"/>
          <w:szCs w:val="24"/>
        </w:rPr>
        <w:t xml:space="preserve">Prof. Dr. Utku Köse</w:t>
      </w:r>
    </w:p>
    <w:p>
      <w:pPr>
        <w:spacing w:after="80"/>
        <w:jc w:val="left"/>
      </w:pPr>
      <w:r>
        <w:rPr>
          <w:rFonts w:ascii="Times New Roman" w:cs="Times New Roman" w:eastAsia="Times New Roman" w:hAnsi="Times New Roman"/>
          <w:b w:val="false"/>
          <w:bCs w:val="false"/>
          <w:sz w:val="21"/>
          <w:szCs w:val="21"/>
        </w:rPr>
        <w:t xml:space="preserve">Süleyman Demirel University, Faculty of Engineering and Natural Sciences, Department of Computer Engineering</w:t>
      </w:r>
    </w:p>
    <w:p>
      <w:pPr>
        <w:spacing w:after="80"/>
        <w:jc w:val="left"/>
      </w:pPr>
      <w:r>
        <w:rPr>
          <w:rFonts w:ascii="Times New Roman" w:cs="Times New Roman" w:eastAsia="Times New Roman" w:hAnsi="Times New Roman"/>
          <w:b w:val="false"/>
          <w:bCs w:val="false"/>
          <w:sz w:val="21"/>
          <w:szCs w:val="21"/>
        </w:rPr>
        <w:t xml:space="preserve">Director, Artificial Intelligence Application and Research Center (YAZEM), Isparta, Türkiye</w:t>
      </w:r>
    </w:p>
    <w:p>
      <w:pPr>
        <w:spacing w:after="80"/>
        <w:jc w:val="left"/>
      </w:pPr>
      <w:r>
        <w:rPr>
          <w:rFonts w:ascii="Times New Roman" w:cs="Times New Roman" w:eastAsia="Times New Roman" w:hAnsi="Times New Roman"/>
          <w:b w:val="false"/>
          <w:bCs w:val="false"/>
          <w:sz w:val="21"/>
          <w:szCs w:val="21"/>
        </w:rPr>
        <w:t xml:space="preserve">University of North Dakota, Universidad Panamericana, Vel Tech University</w:t>
      </w:r>
    </w:p>
    <w:p>
      <w:pPr>
        <w:spacing w:after="80"/>
        <w:jc w:val="left"/>
      </w:pPr>
      <w:r>
        <w:rPr>
          <w:rFonts w:ascii="Times New Roman" w:cs="Times New Roman" w:eastAsia="Times New Roman" w:hAnsi="Times New Roman"/>
          <w:b w:val="false"/>
          <w:bCs w:val="false"/>
          <w:sz w:val="21"/>
          <w:szCs w:val="21"/>
        </w:rPr>
        <w:t xml:space="preserve">IEEE Senior Member, ACM Professional Member</w:t>
      </w:r>
    </w:p>
    <w:p>
      <w:pPr>
        <w:spacing w:after="180"/>
        <w:jc w:val="left"/>
      </w:pPr>
      <w:r>
        <w:rPr>
          <w:rFonts w:ascii="Times New Roman" w:cs="Times New Roman" w:eastAsia="Times New Roman" w:hAnsi="Times New Roman"/>
          <w:b w:val="false"/>
          <w:bCs w:val="false"/>
          <w:sz w:val="21"/>
          <w:szCs w:val="21"/>
        </w:rPr>
        <w:t xml:space="preserve">utkukose@sdu.edu.tr</w:t>
      </w:r>
    </w:p>
    <w:p>
      <w:pPr>
        <w:spacing w:after="260"/>
        <w:jc w:val="left"/>
      </w:pPr>
      <w:r>
        <w:rPr>
          <w:rFonts w:ascii="Times New Roman" w:cs="Times New Roman" w:eastAsia="Times New Roman" w:hAnsi="Times New Roman"/>
          <w:b w:val="false"/>
          <w:bCs w:val="false"/>
          <w:color w:val="6B7590"/>
          <w:sz w:val="21"/>
          <w:szCs w:val="21"/>
        </w:rPr>
        <w:t xml:space="preserve">Technology and Artificial Intelligence Literacy Training, Akdeniz University, 16 September 2026, 16.00 to 16.45</w:t>
      </w:r>
    </w:p>
    <w:p>
      <w:pPr>
        <w:pStyle w:val="Heading1"/>
        <w:spacing w:after="160" w:before="360"/>
      </w:pPr>
      <w:r>
        <w:t xml:space="preserve">Abstract</w:t>
      </w:r>
    </w:p>
    <w:p>
      <w:pPr>
        <w:spacing w:after="160" w:line="300"/>
        <w:jc w:val="both"/>
      </w:pPr>
      <w:r>
        <w:rPr>
          <w:rFonts w:ascii="Times New Roman" w:cs="Times New Roman" w:eastAsia="Times New Roman" w:hAnsi="Times New Roman"/>
          <w:i w:val="false"/>
          <w:iCs w:val="false"/>
          <w:sz w:val="24"/>
          <w:szCs w:val="24"/>
        </w:rPr>
        <w:t xml:space="preserve">This text is the source material for a forty five minute session delivered within the Technology and Artificial Intelligence Literacy Training programme. It begins with the definition of clinical decision support systems, examines why such systems fail in practice through independent external validation findings, discusses the criteria that determine trustworthiness, and summarises the regulatory frameworks in the European Union, the United States and Türkiye. The final section bridges to the workshop held on 18 September 2026 and presents a seven question assessment card that participants complete for their own clinical problem.</w:t>
      </w:r>
    </w:p>
    <w:p>
      <w:pPr>
        <w:spacing w:after="160" w:line="300"/>
        <w:jc w:val="both"/>
      </w:pPr>
      <w:r>
        <w:rPr>
          <w:rFonts w:ascii="Times New Roman" w:cs="Times New Roman" w:eastAsia="Times New Roman" w:hAnsi="Times New Roman"/>
          <w:i w:val="false"/>
          <w:iCs w:val="false"/>
          <w:sz w:val="24"/>
          <w:szCs w:val="24"/>
        </w:rPr>
        <w:t xml:space="preserve">Key concepts: Clinical decision support system, external validation, calibration, positive predictive value, alert fatigue, explainable artificial intelligence, medical device software, artificial intelligence literacy.</w:t>
      </w:r>
    </w:p>
    <w:p>
      <w:pPr>
        <w:pStyle w:val="Heading1"/>
        <w:spacing w:after="160" w:before="360"/>
      </w:pPr>
      <w:r>
        <w:t xml:space="preserve">Session structure and timing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5800"/>
      </w:tblGrid>
      <w:tr>
        <w:trPr>
          <w:tblHeader/>
        </w:trPr>
        <w:tc>
          <w:tcPr>
            <w:tcW w:type="dxa" w:w="24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Section</w:t>
            </w:r>
          </w:p>
        </w:tc>
        <w:tc>
          <w:tcPr>
            <w:tcW w:type="dxa" w:w="8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Time</w:t>
            </w:r>
          </w:p>
        </w:tc>
        <w:tc>
          <w:tcPr>
            <w:tcW w:type="dxa" w:w="58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Key message</w:t>
            </w:r>
          </w:p>
        </w:tc>
      </w:tr>
      <w:tr>
        <w:trPr>
          <w:tblHeader w:val="false"/>
        </w:trPr>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Introduction and policy context</w:t>
            </w:r>
          </w:p>
        </w:tc>
        <w:tc>
          <w:tcPr>
            <w:tcW w:type="dxa" w:w="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4 min</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Artificial intelligence literacy in health is a national objective and a question of responsibility before it is a technical skill</w:t>
            </w:r>
          </w:p>
        </w:tc>
      </w:tr>
      <w:tr>
        <w:trPr>
          <w:tblHeader w:val="false"/>
        </w:trPr>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What a clinical decision support system is</w:t>
            </w:r>
          </w:p>
        </w:tc>
        <w:tc>
          <w:tcPr>
            <w:tcW w:type="dxa" w:w="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10 min</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The system does not make a diagnosis, it allocates clinical attention</w:t>
            </w:r>
          </w:p>
        </w:tc>
      </w:tr>
      <w:tr>
        <w:trPr>
          <w:tblHeader w:val="false"/>
        </w:trPr>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Why these systems fail</w:t>
            </w:r>
          </w:p>
        </w:tc>
        <w:tc>
          <w:tcPr>
            <w:tcW w:type="dxa" w:w="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13 min</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A performance claim without external validation remains only a claim</w:t>
            </w:r>
          </w:p>
        </w:tc>
      </w:tr>
      <w:tr>
        <w:trPr>
          <w:tblHeader w:val="false"/>
        </w:trPr>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What makes a system trustworthy</w:t>
            </w:r>
          </w:p>
        </w:tc>
        <w:tc>
          <w:tcPr>
            <w:tcW w:type="dxa" w:w="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9 min</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Calibration, explainability and reporting standards are assessed together</w:t>
            </w:r>
          </w:p>
        </w:tc>
      </w:tr>
      <w:tr>
        <w:trPr>
          <w:tblHeader w:val="false"/>
        </w:trPr>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Regulatory framework</w:t>
            </w:r>
          </w:p>
        </w:tc>
        <w:tc>
          <w:tcPr>
            <w:tcW w:type="dxa" w:w="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6 min</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Türkiye has no dedicated artificial intelligence statute, yet no gap in liability</w:t>
            </w:r>
          </w:p>
        </w:tc>
      </w:tr>
      <w:tr>
        <w:trPr>
          <w:tblHeader w:val="false"/>
        </w:trPr>
        <w:tc>
          <w:tcPr>
            <w:tcW w:type="dxa" w:w="24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Bridge to the workshop and closing</w:t>
            </w:r>
          </w:p>
        </w:tc>
        <w:tc>
          <w:tcPr>
            <w:tcW w:type="dxa" w:w="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3 min</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Generative artificial intelligence writes the code, the responsibility for assessment remains with the user</w:t>
            </w:r>
          </w:p>
        </w:tc>
      </w:tr>
    </w:tbl>
    <w:p>
      <w:pPr>
        <w:spacing w:after="160"/>
      </w:pPr>
    </w:p>
    <w:p>
      <w:pPr>
        <w:pStyle w:val="Heading1"/>
        <w:spacing w:after="160" w:before="360"/>
      </w:pPr>
      <w:r>
        <w:t xml:space="preserve">1. Introduction: policy context and purpose</w:t>
      </w:r>
    </w:p>
    <w:p>
      <w:pPr>
        <w:spacing w:after="160" w:line="300"/>
        <w:jc w:val="both"/>
      </w:pPr>
      <w:r>
        <w:rPr>
          <w:rFonts w:ascii="Times New Roman" w:cs="Times New Roman" w:eastAsia="Times New Roman" w:hAnsi="Times New Roman"/>
          <w:i w:val="false"/>
          <w:iCs w:val="false"/>
          <w:sz w:val="24"/>
          <w:szCs w:val="24"/>
        </w:rPr>
        <w:t xml:space="preserve">The Türkiye Artificial Intelligence Action Plan for 2026 to 2030 entered into force through Presidential Circular No. 2026/9, published in the Official Gazette dated 18 August 2026, issue 33344 [1]. The plan rests on the principles of human centricity, trustworthiness, ethical responsibility, digital sovereignty and sustainable development, and replaces the National Artificial Intelligence Strategy that covered the period from 2021 to 2025 [1]. Under its human capital objectives, the plan foresees a national artificial intelligence literacy programme spanning all eighty one provinces [2].</w:t>
      </w:r>
    </w:p>
    <w:p>
      <w:pPr>
        <w:spacing w:after="160" w:line="300"/>
        <w:jc w:val="both"/>
      </w:pPr>
      <w:r>
        <w:rPr>
          <w:rFonts w:ascii="Times New Roman" w:cs="Times New Roman" w:eastAsia="Times New Roman" w:hAnsi="Times New Roman"/>
          <w:i w:val="false"/>
          <w:iCs w:val="false"/>
          <w:sz w:val="24"/>
          <w:szCs w:val="24"/>
        </w:rPr>
        <w:t xml:space="preserve">Artificial intelligence literacy in health has a dimension that precedes technical skill. The party that bears the cost of an error is not the party that builds the system. For this reason the session is organised around how a decision support system should be assessed rather than how it is built. The coding work is largely delegated to generative artificial intelligence tools in the workshop of 18 September, whereas the assessment work cannot be delegated.</w:t>
      </w:r>
    </w:p>
    <w:p>
      <w:pPr>
        <w:pStyle w:val="Heading1"/>
        <w:spacing w:after="160" w:before="360"/>
      </w:pPr>
      <w:r>
        <w:t xml:space="preserve">2. What a clinical decision support system is</w:t>
      </w:r>
    </w:p>
    <w:p>
      <w:pPr>
        <w:pStyle w:val="Heading2"/>
        <w:spacing w:after="120" w:before="280"/>
      </w:pPr>
      <w:r>
        <w:t xml:space="preserve">2.1. Definition and the five rights</w:t>
      </w:r>
    </w:p>
    <w:p>
      <w:pPr>
        <w:spacing w:after="160" w:line="300"/>
        <w:jc w:val="both"/>
      </w:pPr>
      <w:r>
        <w:rPr>
          <w:rFonts w:ascii="Times New Roman" w:cs="Times New Roman" w:eastAsia="Times New Roman" w:hAnsi="Times New Roman"/>
          <w:i w:val="false"/>
          <w:iCs w:val="false"/>
          <w:sz w:val="24"/>
          <w:szCs w:val="24"/>
        </w:rPr>
        <w:t xml:space="preserve">A clinical decision support system is defined as a system that delivers the right information to the right person in the right format through the right channel at the right time, with the aim of improving a clinical decision. These five components are known in the literature as the five rights of clinical decision support [3, 4].</w:t>
      </w:r>
    </w:p>
    <w:p>
      <w:pPr>
        <w:spacing w:after="160" w:line="300"/>
        <w:jc w:val="both"/>
      </w:pPr>
      <w:r>
        <w:rPr>
          <w:rFonts w:ascii="Times New Roman" w:cs="Times New Roman" w:eastAsia="Times New Roman" w:hAnsi="Times New Roman"/>
          <w:i w:val="false"/>
          <w:iCs w:val="false"/>
          <w:sz w:val="24"/>
          <w:szCs w:val="24"/>
        </w:rPr>
        <w:t xml:space="preserve">When the five components do not hold simultaneously, the system remains clinically ineffective even if it functions correctly in technical terms. Correct information delivered to the wrong user becomes noise, and correct information delivered to the right user after the decision point becomes only a record. Assessment therefore depends as much on how a system is embedded in the clinical workflow as on model performance.</w:t>
      </w:r>
    </w:p>
    <w:p>
      <w:pPr>
        <w:pStyle w:val="Heading2"/>
        <w:spacing w:after="120" w:before="280"/>
      </w:pPr>
      <w:r>
        <w:t xml:space="preserve">2.2. Two families: knowledge based and data driven systems</w:t>
      </w:r>
    </w:p>
    <w:p>
      <w:pPr>
        <w:spacing w:after="160" w:line="300"/>
        <w:jc w:val="both"/>
      </w:pPr>
      <w:r>
        <w:rPr>
          <w:rFonts w:ascii="Times New Roman" w:cs="Times New Roman" w:eastAsia="Times New Roman" w:hAnsi="Times New Roman"/>
          <w:i w:val="false"/>
          <w:iCs w:val="false"/>
          <w:sz w:val="24"/>
          <w:szCs w:val="24"/>
        </w:rPr>
        <w:t xml:space="preserve">Knowledge based systems rest on explicit rules derived from clinical guidelines. Drug interaction alerts, dose limit checks and allergy controls belong to this family. Their principal strength is that the justification for an alert is always readable, which makes them auditable and straightforward to version. Their weakness is that maintenance becomes difficult as the number of rules grows, and clinical nuance is not captured.</w:t>
      </w:r>
    </w:p>
    <w:p>
      <w:pPr>
        <w:spacing w:after="160" w:line="300"/>
        <w:jc w:val="both"/>
      </w:pPr>
      <w:r>
        <w:rPr>
          <w:rFonts w:ascii="Times New Roman" w:cs="Times New Roman" w:eastAsia="Times New Roman" w:hAnsi="Times New Roman"/>
          <w:i w:val="false"/>
          <w:iCs w:val="false"/>
          <w:sz w:val="24"/>
          <w:szCs w:val="24"/>
        </w:rPr>
        <w:t xml:space="preserve">Data driven systems rely on models that learn patterns from historical patient data. Sepsis risk scores, readmission prediction and lesion marking in medical images belong to this group. Such systems can capture patterns that no one has been able to formulate explicitly. In return, what they learn may be the recording habits or device infrastructure of the institution where they were trained, and performance degrades when the system is transferred elsewhere.</w:t>
      </w:r>
    </w:p>
    <w:p>
      <w:pPr>
        <w:spacing w:after="160" w:line="300"/>
        <w:jc w:val="both"/>
      </w:pPr>
      <w:r>
        <w:rPr>
          <w:rFonts w:ascii="Times New Roman" w:cs="Times New Roman" w:eastAsia="Times New Roman" w:hAnsi="Times New Roman"/>
          <w:i w:val="false"/>
          <w:iCs w:val="false"/>
          <w:sz w:val="24"/>
          <w:szCs w:val="24"/>
        </w:rPr>
        <w:t xml:space="preserve">Most systems in the field are hybrid. A learned score is placed behind a rule based threshold. The way responsibility is established differs between the two families, and this distinction reappears in regulatory assessment.</w:t>
      </w:r>
    </w:p>
    <w:p>
      <w:pPr>
        <w:pStyle w:val="Heading2"/>
        <w:spacing w:after="120" w:before="280"/>
      </w:pPr>
      <w:r>
        <w:t xml:space="preserve">2.3. System anatomy</w:t>
      </w:r>
    </w:p>
    <w:p>
      <w:pPr>
        <w:spacing w:after="160" w:line="300"/>
        <w:jc w:val="both"/>
      </w:pPr>
      <w:r>
        <w:rPr>
          <w:rFonts w:ascii="Times New Roman" w:cs="Times New Roman" w:eastAsia="Times New Roman" w:hAnsi="Times New Roman"/>
          <w:i w:val="false"/>
          <w:iCs w:val="false"/>
          <w:sz w:val="24"/>
          <w:szCs w:val="24"/>
        </w:rPr>
        <w:t xml:space="preserve">A clinical decision support system can be viewed as a chain of eight links. The chain begins with the data source, which may be a hospital information system, an image archive, a bedside monitor or a laboratory system. It continues with feature construction, the model, the threshold and decision logic, the interface, the clinician decision, the clinical action, and finally monitoring and feedback.</w:t>
      </w:r>
    </w:p>
    <w:p>
      <w:pPr>
        <w:spacing w:after="160" w:line="300"/>
        <w:jc w:val="both"/>
      </w:pPr>
      <w:r>
        <w:rPr>
          <w:rFonts w:ascii="Times New Roman" w:cs="Times New Roman" w:eastAsia="Times New Roman" w:hAnsi="Times New Roman"/>
          <w:i w:val="false"/>
          <w:iCs w:val="false"/>
          <w:sz w:val="24"/>
          <w:szCs w:val="24"/>
        </w:rPr>
        <w:t xml:space="preserve">Performance reported in publications usually belongs to the third link alone, that is, to the model itself. Clinical benefit, by contrast, is determined from the fourth link onward. This distinction forms the basic framework for the remainder of the session: model performance and clinical benefit are not interchangeable.</w:t>
      </w:r>
    </w:p>
    <w:p>
      <w:pPr>
        <w:pStyle w:val="Heading2"/>
        <w:spacing w:after="120" w:before="280"/>
      </w:pPr>
      <w:r>
        <w:t xml:space="preserve">2.4. The position of the clinician</w:t>
      </w:r>
    </w:p>
    <w:p>
      <w:pPr>
        <w:spacing w:after="160" w:line="300"/>
        <w:jc w:val="both"/>
      </w:pPr>
      <w:r>
        <w:rPr>
          <w:rFonts w:ascii="Times New Roman" w:cs="Times New Roman" w:eastAsia="Times New Roman" w:hAnsi="Times New Roman"/>
          <w:i w:val="false"/>
          <w:iCs w:val="false"/>
          <w:sz w:val="24"/>
          <w:szCs w:val="24"/>
        </w:rPr>
        <w:t xml:space="preserve">The output of a decision support system is not a diagnosis but an allocation of attention. The system does not declare that a particular condition is present in a patient; it proposes that the patient be prioritised. The difference matters both clinically and legally.</w:t>
      </w:r>
    </w:p>
    <w:p>
      <w:pPr>
        <w:spacing w:after="160" w:line="300"/>
        <w:jc w:val="both"/>
      </w:pPr>
      <w:r>
        <w:rPr>
          <w:rFonts w:ascii="Times New Roman" w:cs="Times New Roman" w:eastAsia="Times New Roman" w:hAnsi="Times New Roman"/>
          <w:i w:val="false"/>
          <w:iCs w:val="false"/>
          <w:sz w:val="24"/>
          <w:szCs w:val="24"/>
        </w:rPr>
        <w:t xml:space="preserve">In the United States, Section 520(o)(1)(E) of the Federal Food, Drug, and Cosmetic Act, added by the 21st Century Cures Act, sets out four criteria under which a decision support software function falls outside the device definition. One of these criteria is that the health care professional is able to independently review the basis for the recommendation [5, 6]. Within this framework, explainability is therefore not merely an ethical preference but the threshold that determines whether the software is regulated as a device.</w:t>
      </w:r>
    </w:p>
    <w:p>
      <w:pPr>
        <w:pStyle w:val="Heading1"/>
        <w:spacing w:after="160" w:before="360"/>
      </w:pPr>
      <w:r>
        <w:t xml:space="preserve">3. Why these systems fail</w:t>
      </w:r>
    </w:p>
    <w:p>
      <w:pPr>
        <w:pStyle w:val="Heading2"/>
        <w:spacing w:after="120" w:before="280"/>
      </w:pPr>
      <w:r>
        <w:t xml:space="preserve">3.1. The Epic Sepsis Model case</w:t>
      </w:r>
    </w:p>
    <w:p>
      <w:pPr>
        <w:spacing w:after="160" w:line="300"/>
        <w:jc w:val="both"/>
      </w:pPr>
      <w:r>
        <w:rPr>
          <w:rFonts w:ascii="Times New Roman" w:cs="Times New Roman" w:eastAsia="Times New Roman" w:hAnsi="Times New Roman"/>
          <w:i w:val="false"/>
          <w:iCs w:val="false"/>
          <w:sz w:val="24"/>
          <w:szCs w:val="24"/>
        </w:rPr>
        <w:t xml:space="preserve">The Epic Sepsis Model is a proprietary sepsis early warning model embedded in an electronic health record system used in hundreds of hospitals in the United States, and it generates automated alerts for clinicians. A team at Michigan Medicine externally validated the model on 38,455 hospitalisations belonging to 27,697 patients between 6 December 2018 and 20 October 2019 [7].</w:t>
      </w:r>
    </w:p>
    <w:p>
      <w:pPr>
        <w:spacing w:after="160" w:line="300"/>
        <w:jc w:val="both"/>
      </w:pPr>
      <w:r>
        <w:rPr>
          <w:rFonts w:ascii="Times New Roman" w:cs="Times New Roman" w:eastAsia="Times New Roman" w:hAnsi="Times New Roman"/>
          <w:i w:val="false"/>
          <w:iCs w:val="false"/>
          <w:sz w:val="24"/>
          <w:szCs w:val="24"/>
        </w:rPr>
        <w:t xml:space="preserve">The findings were as follows. The area under the curve was 0.63 with a 95 percent confidence interval of 0.62 to 0.64, sensitivity was 33 percent, specificity 83 percent, positive predictive value 12 percent and negative predictive value 95 percent. The range cited in the vendor documentation was 0.76 to 0.83 [7, 8].</w:t>
      </w:r>
    </w:p>
    <w:p>
      <w:pPr>
        <w:spacing w:after="160" w:line="300"/>
        <w:jc w:val="both"/>
      </w:pPr>
      <w:r>
        <w:rPr>
          <w:rFonts w:ascii="Times New Roman" w:cs="Times New Roman" w:eastAsia="Times New Roman" w:hAnsi="Times New Roman"/>
          <w:i w:val="false"/>
          <w:iCs w:val="false"/>
          <w:sz w:val="24"/>
          <w:szCs w:val="24"/>
        </w:rPr>
        <w:t xml:space="preserve">A positive predictive value of 12 percent carries a concrete meaning in clinical practice. Of every hundred alerts the system produces, eighty eight result in a patient being reviewed without cause. A specificity of 83 percent appears acceptable in a model report, and the figure above is its equivalent on a shift roster.</w:t>
      </w:r>
    </w:p>
    <w:p>
      <w:pPr>
        <w:pStyle w:val="Heading2"/>
        <w:spacing w:after="120" w:before="280"/>
      </w:pPr>
      <w:r>
        <w:t xml:space="preserve">3.2. Three years later, in a different setting</w:t>
      </w:r>
    </w:p>
    <w:p>
      <w:pPr>
        <w:spacing w:after="160" w:line="300"/>
        <w:jc w:val="both"/>
      </w:pPr>
      <w:r>
        <w:rPr>
          <w:rFonts w:ascii="Times New Roman" w:cs="Times New Roman" w:eastAsia="Times New Roman" w:hAnsi="Times New Roman"/>
          <w:i w:val="false"/>
          <w:iCs w:val="false"/>
          <w:sz w:val="24"/>
          <w:szCs w:val="24"/>
        </w:rPr>
        <w:t xml:space="preserve">The same product was reassessed across 145,885 encounters in two county emergency departments during 2023. The Sepsis-3 definition was applied and the alert was triggered at the threshold recommended by the vendor. In that study sensitivity was 14.7 percent, specificity 95.3 percent, positive predictive value 7.6 percent and negative predictive value 97.7 percent [9].</w:t>
      </w:r>
    </w:p>
    <w:p>
      <w:pPr>
        <w:spacing w:after="160" w:line="300"/>
        <w:jc w:val="both"/>
      </w:pPr>
      <w:r>
        <w:rPr>
          <w:rFonts w:ascii="Times New Roman" w:cs="Times New Roman" w:eastAsia="Times New Roman" w:hAnsi="Times New Roman"/>
          <w:i w:val="false"/>
          <w:iCs w:val="false"/>
          <w:sz w:val="24"/>
          <w:szCs w:val="24"/>
        </w:rPr>
        <w:t xml:space="preserve">The lesson here does not concern a particular product. No model carries its performance with it to the setting into which it is transferred. A different patient population, a different coding practice and a different workflow can each invalidate published performance.</w:t>
      </w:r>
    </w:p>
    <w:p>
      <w:pPr>
        <w:pStyle w:val="Heading2"/>
        <w:spacing w:after="120" w:before="280"/>
      </w:pPr>
      <w:r>
        <w:t xml:space="preserve">3.3. The prevalence effect</w:t>
      </w:r>
    </w:p>
    <w:p>
      <w:pPr>
        <w:spacing w:after="160" w:line="300"/>
        <w:jc w:val="both"/>
      </w:pPr>
      <w:r>
        <w:rPr>
          <w:rFonts w:ascii="Times New Roman" w:cs="Times New Roman" w:eastAsia="Times New Roman" w:hAnsi="Times New Roman"/>
          <w:i w:val="false"/>
          <w:iCs w:val="false"/>
          <w:sz w:val="24"/>
          <w:szCs w:val="24"/>
        </w:rPr>
        <w:t xml:space="preserve">Even when sensitivity and specificity are held constant, positive predictive value changes with the frequency of the condition in the clinic concerned. Under Bayes theorem, positive predictive value equals the product of sensitivity and prevalence divided by the sum of that product and the product of the false positive rate with the probability that the condition is absent.</w:t>
      </w:r>
    </w:p>
    <w:p>
      <w:pPr>
        <w:spacing w:after="160" w:line="300"/>
        <w:jc w:val="both"/>
      </w:pPr>
      <w:r>
        <w:rPr>
          <w:rFonts w:ascii="Times New Roman" w:cs="Times New Roman" w:eastAsia="Times New Roman" w:hAnsi="Times New Roman"/>
          <w:i w:val="false"/>
          <w:iCs w:val="false"/>
          <w:sz w:val="24"/>
          <w:szCs w:val="24"/>
        </w:rPr>
        <w:t xml:space="preserve">Computed with a sensitivity of 0.33 and a specificity of 0.83, positive predictive value is approximately 2 percent at a prevalence of 1 percent, approximately 9 percent at 5 percent, approximately 13 percent at 7 percent and approximately 33 percent at 20 percent. In a system that screens for a rare condition, even near perfect specificity does not prevent a flood of false alarms.</w:t>
      </w:r>
    </w:p>
    <w:p>
      <w:pPr>
        <w:spacing w:after="160" w:line="300"/>
        <w:jc w:val="both"/>
      </w:pPr>
      <w:r>
        <w:rPr>
          <w:rFonts w:ascii="Times New Roman" w:cs="Times New Roman" w:eastAsia="Times New Roman" w:hAnsi="Times New Roman"/>
          <w:i w:val="false"/>
          <w:iCs w:val="false"/>
          <w:sz w:val="24"/>
          <w:szCs w:val="24"/>
        </w:rPr>
        <w:t xml:space="preserve">The practical rule that follows is straightforward. When a decision support system is proposed, the first question a clinician should ask is not the area under the curve but the prevalence within the local patient population.</w:t>
      </w:r>
    </w:p>
    <w:p>
      <w:pPr>
        <w:pStyle w:val="Heading2"/>
        <w:spacing w:after="120" w:before="280"/>
      </w:pPr>
      <w:r>
        <w:t xml:space="preserve">3.4. Alert fatigue and automation bias</w:t>
      </w:r>
    </w:p>
    <w:p>
      <w:pPr>
        <w:spacing w:after="160" w:line="300"/>
        <w:jc w:val="both"/>
      </w:pPr>
      <w:r>
        <w:rPr>
          <w:rFonts w:ascii="Times New Roman" w:cs="Times New Roman" w:eastAsia="Times New Roman" w:hAnsi="Times New Roman"/>
          <w:i w:val="false"/>
          <w:iCs w:val="false"/>
          <w:sz w:val="24"/>
          <w:szCs w:val="24"/>
        </w:rPr>
        <w:t xml:space="preserve">The clinical cost of false alarms is cumulative. When most alerts prove unfounded, clinicians learn to dismiss alerts without reading them. This behaviour extends to correct alerts as well, so the system appears to be active while its protective effect approaches zero. The literature refers to this condition as alert fatigue.</w:t>
      </w:r>
    </w:p>
    <w:p>
      <w:pPr>
        <w:spacing w:after="160" w:line="300"/>
        <w:jc w:val="both"/>
      </w:pPr>
      <w:r>
        <w:rPr>
          <w:rFonts w:ascii="Times New Roman" w:cs="Times New Roman" w:eastAsia="Times New Roman" w:hAnsi="Times New Roman"/>
          <w:i w:val="false"/>
          <w:iCs w:val="false"/>
          <w:sz w:val="24"/>
          <w:szCs w:val="24"/>
        </w:rPr>
        <w:t xml:space="preserve">The error that operates in the opposite direction is automation bias. A clinician may interpret the silence of the system as reassurance despite contrary examination findings, and accountability for a missed case becomes unclear. These two errors are not antidotes to one another and may be observed simultaneously in the same system. An experienced clinician dismisses the alert while a less experienced clinician trusts its absence.</w:t>
      </w:r>
    </w:p>
    <w:p>
      <w:pPr>
        <w:spacing w:after="160" w:line="300"/>
        <w:jc w:val="both"/>
      </w:pPr>
      <w:r>
        <w:rPr>
          <w:rFonts w:ascii="Times New Roman" w:cs="Times New Roman" w:eastAsia="Times New Roman" w:hAnsi="Times New Roman"/>
          <w:i w:val="false"/>
          <w:iCs w:val="false"/>
          <w:sz w:val="24"/>
          <w:szCs w:val="24"/>
        </w:rPr>
        <w:t xml:space="preserve">It follows that deploying a decision support system without accepting that it may cause harm constitutes a gap in clinical risk management.</w:t>
      </w:r>
    </w:p>
    <w:p>
      <w:pPr>
        <w:pStyle w:val="Heading2"/>
        <w:spacing w:after="120" w:before="280"/>
      </w:pPr>
      <w:r>
        <w:t xml:space="preserve">3.5. What the model learns may not be the disease</w:t>
      </w:r>
    </w:p>
    <w:p>
      <w:pPr>
        <w:spacing w:after="160" w:line="300"/>
        <w:jc w:val="both"/>
      </w:pPr>
      <w:r>
        <w:rPr>
          <w:rFonts w:ascii="Times New Roman" w:cs="Times New Roman" w:eastAsia="Times New Roman" w:hAnsi="Times New Roman"/>
          <w:i w:val="false"/>
          <w:iCs w:val="false"/>
          <w:sz w:val="24"/>
          <w:szCs w:val="24"/>
        </w:rPr>
        <w:t xml:space="preserve">The technical reasons for lower than expected performance fall into four categories. The first is shortcut learning. A model may learn the marker that a particular device prints onto a chest radiograph rather than the pathology itself, and performance falls when a new device is introduced. The second is target leakage, in which a consequence of the outcome being predicted enters the model as a feature. The presence of an antibiotic order in a sepsis model is a typical example.</w:t>
      </w:r>
    </w:p>
    <w:p>
      <w:pPr>
        <w:spacing w:after="160" w:line="300"/>
        <w:jc w:val="both"/>
      </w:pPr>
      <w:r>
        <w:rPr>
          <w:rFonts w:ascii="Times New Roman" w:cs="Times New Roman" w:eastAsia="Times New Roman" w:hAnsi="Times New Roman"/>
          <w:i w:val="false"/>
          <w:iCs w:val="false"/>
          <w:sz w:val="24"/>
          <w:szCs w:val="24"/>
        </w:rPr>
        <w:t xml:space="preserve">The third is distribution shift. Protocols, coding habits or patient profiles change over time while the model remains fixed, and performance erodes silently. The fourth is subgroup blindness, where overall performance appears acceptable while performance within a particular age, sex or comorbidity group is markedly lower.</w:t>
      </w:r>
    </w:p>
    <w:p>
      <w:pPr>
        <w:spacing w:after="160" w:line="300"/>
        <w:jc w:val="both"/>
      </w:pPr>
      <w:r>
        <w:rPr>
          <w:rFonts w:ascii="Times New Roman" w:cs="Times New Roman" w:eastAsia="Times New Roman" w:hAnsi="Times New Roman"/>
          <w:i w:val="false"/>
          <w:iCs w:val="false"/>
          <w:sz w:val="24"/>
          <w:szCs w:val="24"/>
        </w:rPr>
        <w:t xml:space="preserve">None of these four conditions can be detected by inspecting an overall accuracy figure. Each becomes visible only when the data and the model are explicitly interrogated, and this interrogation is the central exercise of the workshop of 18 September.</w:t>
      </w:r>
    </w:p>
    <w:p>
      <w:pPr>
        <w:pStyle w:val="Heading1"/>
        <w:spacing w:after="160" w:before="360"/>
      </w:pPr>
      <w:r>
        <w:t xml:space="preserve">4. What makes a system trustworthy</w:t>
      </w:r>
    </w:p>
    <w:p>
      <w:pPr>
        <w:pStyle w:val="Heading2"/>
        <w:spacing w:after="120" w:before="280"/>
      </w:pPr>
      <w:r>
        <w:t xml:space="preserve">4.1. Discrimination and calibration are not the same</w:t>
      </w:r>
    </w:p>
    <w:p>
      <w:pPr>
        <w:spacing w:after="160" w:line="300"/>
        <w:jc w:val="both"/>
      </w:pPr>
      <w:r>
        <w:rPr>
          <w:rFonts w:ascii="Times New Roman" w:cs="Times New Roman" w:eastAsia="Times New Roman" w:hAnsi="Times New Roman"/>
          <w:i w:val="false"/>
          <w:iCs w:val="false"/>
          <w:sz w:val="24"/>
          <w:szCs w:val="24"/>
        </w:rPr>
        <w:t xml:space="preserve">Discrimination measures the ability of a model to separate an affected individual from an unaffected one, and it is a question of ranking. The area under the curve summarises this dimension. Calibration asks whether the probability the model reports corresponds to reality. Among one hundred patients assigned a risk of 20 percent, does the event occur in twenty of them?</w:t>
      </w:r>
    </w:p>
    <w:p>
      <w:pPr>
        <w:spacing w:after="160" w:line="300"/>
        <w:jc w:val="both"/>
      </w:pPr>
      <w:r>
        <w:rPr>
          <w:rFonts w:ascii="Times New Roman" w:cs="Times New Roman" w:eastAsia="Times New Roman" w:hAnsi="Times New Roman"/>
          <w:i w:val="false"/>
          <w:iCs w:val="false"/>
          <w:sz w:val="24"/>
          <w:szCs w:val="24"/>
        </w:rPr>
        <w:t xml:space="preserve">Two models may share the same area under the curve while one allows the clinician to set a meaningful threshold and the other assigns nearly every patient to the high risk group. Where a threshold is set for a clinical decision, calibration takes precedence over discrimination.</w:t>
      </w:r>
    </w:p>
    <w:p>
      <w:pPr>
        <w:pStyle w:val="Heading2"/>
        <w:spacing w:after="120" w:before="280"/>
      </w:pPr>
      <w:r>
        <w:t xml:space="preserve">4.2. What explainability provides and what it does not</w:t>
      </w:r>
    </w:p>
    <w:p>
      <w:pPr>
        <w:spacing w:after="160" w:line="300"/>
        <w:jc w:val="both"/>
      </w:pPr>
      <w:r>
        <w:rPr>
          <w:rFonts w:ascii="Times New Roman" w:cs="Times New Roman" w:eastAsia="Times New Roman" w:hAnsi="Times New Roman"/>
          <w:i w:val="false"/>
          <w:iCs w:val="false"/>
          <w:sz w:val="24"/>
          <w:szCs w:val="24"/>
        </w:rPr>
        <w:t xml:space="preserve">The strongest contribution of explainability methods to clinical assessment is error detection. If an inspection of SHAP contributions shows that the decision of the model is driven by the time at which the patient was registered, this constitutes evidence of leakage. Marked differences in contributions across subgroups provide the first indication of a fairness problem. Grad-CAM maps produce a concrete object that a radiologist can discuss with the model.</w:t>
      </w:r>
    </w:p>
    <w:p>
      <w:pPr>
        <w:spacing w:after="160" w:line="300"/>
        <w:jc w:val="both"/>
      </w:pPr>
      <w:r>
        <w:rPr>
          <w:rFonts w:ascii="Times New Roman" w:cs="Times New Roman" w:eastAsia="Times New Roman" w:hAnsi="Times New Roman"/>
          <w:i w:val="false"/>
          <w:iCs w:val="false"/>
          <w:sz w:val="24"/>
          <w:szCs w:val="24"/>
        </w:rPr>
        <w:t xml:space="preserve">Explainability does not, however, carry a causal claim. A high contribution does not mean that the variable concerned causes the condition. Nor does it provide assurance of correctness, since an incorrect prediction can also produce a convincing explanation, and the explanation may then legitimise the error. Post hoc methods describe an approximation of model behaviour rather than the internal mechanism of the model.</w:t>
      </w:r>
    </w:p>
    <w:p>
      <w:pPr>
        <w:spacing w:after="160" w:line="300"/>
        <w:jc w:val="both"/>
      </w:pPr>
      <w:r>
        <w:rPr>
          <w:rFonts w:ascii="Times New Roman" w:cs="Times New Roman" w:eastAsia="Times New Roman" w:hAnsi="Times New Roman"/>
          <w:i w:val="false"/>
          <w:iCs w:val="false"/>
          <w:sz w:val="24"/>
          <w:szCs w:val="24"/>
        </w:rPr>
        <w:t xml:space="preserve">Rudin argues that for high stakes decisions, interpretable models should be used from the outset instead of attempting to explain black box models [10]. In the clinical context this debate is not closed and deserves serious consideration.</w:t>
      </w:r>
    </w:p>
    <w:p>
      <w:pPr>
        <w:pStyle w:val="Heading2"/>
        <w:spacing w:after="120" w:before="280"/>
      </w:pPr>
      <w:r>
        <w:t xml:space="preserve">4.3. Reporting standards</w:t>
      </w:r>
    </w:p>
    <w:p>
      <w:pPr>
        <w:spacing w:after="160" w:line="300"/>
        <w:jc w:val="both"/>
      </w:pPr>
      <w:r>
        <w:rPr>
          <w:rFonts w:ascii="Times New Roman" w:cs="Times New Roman" w:eastAsia="Times New Roman" w:hAnsi="Times New Roman"/>
          <w:i w:val="false"/>
          <w:iCs w:val="false"/>
          <w:sz w:val="24"/>
          <w:szCs w:val="24"/>
        </w:rPr>
        <w:t xml:space="preserve">The auditability of a claim concerning a decision support system depends on compliance with the relevant reporting standard. The table below summarises the standards most frequently applied in health related artificial intelligence research.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2900"/>
      </w:tblGrid>
      <w:tr>
        <w:trPr>
          <w:tblHeader/>
        </w:trPr>
        <w:tc>
          <w:tcPr>
            <w:tcW w:type="dxa" w:w="15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Standard</w:t>
            </w:r>
          </w:p>
        </w:tc>
        <w:tc>
          <w:tcPr>
            <w:tcW w:type="dxa" w:w="46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Scope of use</w:t>
            </w:r>
          </w:p>
        </w:tc>
        <w:tc>
          <w:tcPr>
            <w:tcW w:type="dxa" w:w="29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Reference</w:t>
            </w:r>
          </w:p>
        </w:tc>
      </w:tr>
      <w:tr>
        <w:trPr>
          <w:tblHeader w:val="false"/>
        </w:trPr>
        <w:tc>
          <w:tcPr>
            <w:tcW w:type="dxa" w:w="15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TRIPOD+AI</w:t>
            </w:r>
          </w:p>
        </w:tc>
        <w:tc>
          <w:tcPr>
            <w:tcW w:type="dxa" w:w="4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Reporting of clinical prediction model development and validation studies</w:t>
            </w:r>
          </w:p>
        </w:tc>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BMJ 2024;385:e078378</w:t>
            </w:r>
          </w:p>
        </w:tc>
      </w:tr>
      <w:tr>
        <w:trPr>
          <w:tblHeader w:val="false"/>
        </w:trPr>
        <w:tc>
          <w:tcPr>
            <w:tcW w:type="dxa" w:w="15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PROBAST+AI</w:t>
            </w:r>
          </w:p>
        </w:tc>
        <w:tc>
          <w:tcPr>
            <w:tcW w:type="dxa" w:w="4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Assessment of risk of bias in prediction model studies</w:t>
            </w:r>
          </w:p>
        </w:tc>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BMJ 2025;388:e082505</w:t>
            </w:r>
          </w:p>
        </w:tc>
      </w:tr>
      <w:tr>
        <w:trPr>
          <w:tblHeader w:val="false"/>
        </w:trPr>
        <w:tc>
          <w:tcPr>
            <w:tcW w:type="dxa" w:w="15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DECIDE-AI</w:t>
            </w:r>
          </w:p>
        </w:tc>
        <w:tc>
          <w:tcPr>
            <w:tcW w:type="dxa" w:w="4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Early stage clinical evaluation of decision support systems</w:t>
            </w:r>
          </w:p>
        </w:tc>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Nat Med 2022;28:924-933</w:t>
            </w:r>
          </w:p>
        </w:tc>
      </w:tr>
      <w:tr>
        <w:trPr>
          <w:tblHeader w:val="false"/>
        </w:trPr>
        <w:tc>
          <w:tcPr>
            <w:tcW w:type="dxa" w:w="15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CONSORT-AI</w:t>
            </w:r>
          </w:p>
        </w:tc>
        <w:tc>
          <w:tcPr>
            <w:tcW w:type="dxa" w:w="4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Randomised controlled trials testing an artificial intelligence intervention</w:t>
            </w:r>
          </w:p>
        </w:tc>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BMJ 2020;370:m3164</w:t>
            </w:r>
          </w:p>
        </w:tc>
      </w:tr>
      <w:tr>
        <w:trPr>
          <w:tblHeader w:val="false"/>
        </w:trPr>
        <w:tc>
          <w:tcPr>
            <w:tcW w:type="dxa" w:w="15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SPIRIT-AI</w:t>
            </w:r>
          </w:p>
        </w:tc>
        <w:tc>
          <w:tcPr>
            <w:tcW w:type="dxa" w:w="46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Protocol stage of the same trials</w:t>
            </w:r>
          </w:p>
        </w:tc>
        <w:tc>
          <w:tcPr>
            <w:tcW w:type="dxa" w:w="29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BMJ 2020;370:m3210</w:t>
            </w:r>
          </w:p>
        </w:tc>
      </w:tr>
    </w:tbl>
    <w:p>
      <w:pPr>
        <w:spacing w:after="160"/>
      </w:pPr>
    </w:p>
    <w:p>
      <w:pPr>
        <w:spacing w:after="160" w:line="300"/>
        <w:jc w:val="both"/>
      </w:pPr>
      <w:r>
        <w:rPr>
          <w:rFonts w:ascii="Times New Roman" w:cs="Times New Roman" w:eastAsia="Times New Roman" w:hAnsi="Times New Roman"/>
          <w:i w:val="false"/>
          <w:iCs w:val="false"/>
          <w:sz w:val="24"/>
          <w:szCs w:val="24"/>
        </w:rPr>
        <w:t xml:space="preserve">The practical use of these lists is as follows. When a decision support system is proposed, the assessor should ask how many items on the relevant checklist have been answered. Every unanswered item should be recorded as an item of uncertainty.</w:t>
      </w:r>
    </w:p>
    <w:p>
      <w:pPr>
        <w:pStyle w:val="Heading2"/>
        <w:spacing w:after="120" w:before="280"/>
      </w:pPr>
      <w:r>
        <w:t xml:space="preserve">4.4. Designing human oversight</w:t>
      </w:r>
    </w:p>
    <w:p>
      <w:pPr>
        <w:spacing w:after="160" w:line="300"/>
        <w:jc w:val="both"/>
      </w:pPr>
      <w:r>
        <w:rPr>
          <w:rFonts w:ascii="Times New Roman" w:cs="Times New Roman" w:eastAsia="Times New Roman" w:hAnsi="Times New Roman"/>
          <w:i w:val="false"/>
          <w:iCs w:val="false"/>
          <w:sz w:val="24"/>
          <w:szCs w:val="24"/>
        </w:rPr>
        <w:t xml:space="preserve">Human oversight is a set of concrete design decisions rather than a slogan. Threshold selection is a clinical decision, and the acceptable balance between sensitivity and specificity should be determined by the clinical team rather than by the model. The model should be able to decline to produce a prediction when its confidence interval is wide, which requires an abstention mechanism. A response of unknown is a valid output.</w:t>
      </w:r>
    </w:p>
    <w:p>
      <w:pPr>
        <w:spacing w:after="160" w:line="300"/>
        <w:jc w:val="both"/>
      </w:pPr>
      <w:r>
        <w:rPr>
          <w:rFonts w:ascii="Times New Roman" w:cs="Times New Roman" w:eastAsia="Times New Roman" w:hAnsi="Times New Roman"/>
          <w:i w:val="false"/>
          <w:iCs w:val="false"/>
          <w:sz w:val="24"/>
          <w:szCs w:val="24"/>
        </w:rPr>
        <w:t xml:space="preserve">When a patient who does not resemble the training population is encountered, the system should not produce a prediction silently, and an out of distribution input check should be in place. The circumstances under which a decision is escalated to a human should be documented in advance rather than debated at the moment of the alert. Finally, post deployment monitoring should be established, because performance drift is noticed only where it is measured, and deployment without monitoring approaches deployment without validation.</w:t>
      </w:r>
    </w:p>
    <w:p>
      <w:pPr>
        <w:pStyle w:val="Heading1"/>
        <w:spacing w:after="160" w:before="360"/>
      </w:pPr>
      <w:r>
        <w:t xml:space="preserve">5. Regulatory framework</w:t>
      </w:r>
    </w:p>
    <w:p>
      <w:pPr>
        <w:pStyle w:val="Heading2"/>
        <w:spacing w:after="120" w:before="280"/>
      </w:pPr>
      <w:r>
        <w:t xml:space="preserve">5.1. Is this a medical device?</w:t>
      </w:r>
    </w:p>
    <w:p>
      <w:pPr>
        <w:spacing w:after="160" w:line="300"/>
        <w:jc w:val="both"/>
      </w:pPr>
      <w:r>
        <w:rPr>
          <w:rFonts w:ascii="Times New Roman" w:cs="Times New Roman" w:eastAsia="Times New Roman" w:hAnsi="Times New Roman"/>
          <w:i w:val="false"/>
          <w:iCs w:val="false"/>
          <w:sz w:val="24"/>
          <w:szCs w:val="24"/>
        </w:rPr>
        <w:t xml:space="preserve">The first question in any regulatory assessment is always the same. Software placed on the market by a manufacturer for a diagnostic or therapeutic purpose falls within the scope of medical device legislation. In the European Union this assessment is carried out under the Medical Device Regulation (EU) 2017/745, and in particular under Rule 11, which classifies software [11].</w:t>
      </w:r>
    </w:p>
    <w:p>
      <w:pPr>
        <w:spacing w:after="160" w:line="300"/>
        <w:jc w:val="both"/>
      </w:pPr>
      <w:r>
        <w:rPr>
          <w:rFonts w:ascii="Times New Roman" w:cs="Times New Roman" w:eastAsia="Times New Roman" w:hAnsi="Times New Roman"/>
          <w:i w:val="false"/>
          <w:iCs w:val="false"/>
          <w:sz w:val="24"/>
          <w:szCs w:val="24"/>
        </w:rPr>
        <w:t xml:space="preserve">Where the answer is affirmative, obligations concerning the clinical evaluation file, the quality management system, notified body assessment and post market surveillance apply. Where the answer is negative, liability does not disappear. The negative answer changes only the layer of legislation from which liability arises.</w:t>
      </w:r>
    </w:p>
    <w:p>
      <w:pPr>
        <w:pStyle w:val="Heading2"/>
        <w:spacing w:after="120" w:before="280"/>
      </w:pPr>
      <w:r>
        <w:t xml:space="preserve">5.2. European Union</w:t>
      </w:r>
    </w:p>
    <w:p>
      <w:pPr>
        <w:spacing w:after="160" w:line="300"/>
        <w:jc w:val="both"/>
      </w:pPr>
      <w:r>
        <w:rPr>
          <w:rFonts w:ascii="Times New Roman" w:cs="Times New Roman" w:eastAsia="Times New Roman" w:hAnsi="Times New Roman"/>
          <w:i w:val="false"/>
          <w:iCs w:val="false"/>
          <w:sz w:val="24"/>
          <w:szCs w:val="24"/>
        </w:rPr>
        <w:t xml:space="preserve">The European Union Artificial Intelligence Act, Regulation (EU) 2024/1689, entered into force on 1 August 2024. The Digital Omnibus on Artificial Intelligence, Regulation (EU) 2026/1744, was published in the Official Journal on 24 July 2026 and entered into force on 27 July 2026 [12, 13].</w:t>
      </w:r>
    </w:p>
    <w:p>
      <w:pPr>
        <w:spacing w:after="160" w:line="300"/>
        <w:jc w:val="both"/>
      </w:pPr>
      <w:r>
        <w:rPr>
          <w:rFonts w:ascii="Times New Roman" w:cs="Times New Roman" w:eastAsia="Times New Roman" w:hAnsi="Times New Roman"/>
          <w:i w:val="false"/>
          <w:iCs w:val="false"/>
          <w:sz w:val="24"/>
          <w:szCs w:val="24"/>
        </w:rPr>
        <w:t xml:space="preserve">Through that instrument, obligations for standalone high risk systems under Annex III were deferred from 2 August 2026 to 2 December 2027, and obligations for Annex I systems embedded in products already covered by product safety legislation were deferred from 2 August 2027 to 2 August 2028. Artificial intelligence components within medical devices fall into the Annex I group [13].</w:t>
      </w:r>
    </w:p>
    <w:p>
      <w:pPr>
        <w:spacing w:after="160" w:line="300"/>
        <w:jc w:val="both"/>
      </w:pPr>
      <w:r>
        <w:rPr>
          <w:rFonts w:ascii="Times New Roman" w:cs="Times New Roman" w:eastAsia="Times New Roman" w:hAnsi="Times New Roman"/>
          <w:i w:val="false"/>
          <w:iCs w:val="false"/>
          <w:sz w:val="24"/>
          <w:szCs w:val="24"/>
        </w:rPr>
        <w:t xml:space="preserve">The deferral does not cover every obligation. Transparency obligations under Article 50 were not deferred and applied from 2 August 2026. Two newly added prohibitions, together with the watermarking obligation for systems already on the market, apply from 2 December 2026 [13]. The reading for the health sector is direct. For a decision support system within the scope of medical device legislation the operative date is 2 August 2028, and the deferral does not imply that preparation may also be deferred.</w:t>
      </w:r>
    </w:p>
    <w:p>
      <w:pPr>
        <w:pStyle w:val="Heading2"/>
        <w:spacing w:after="120" w:before="280"/>
      </w:pPr>
      <w:r>
        <w:t xml:space="preserve">5.3. United States</w:t>
      </w:r>
    </w:p>
    <w:p>
      <w:pPr>
        <w:spacing w:after="160" w:line="300"/>
        <w:jc w:val="both"/>
      </w:pPr>
      <w:r>
        <w:rPr>
          <w:rFonts w:ascii="Times New Roman" w:cs="Times New Roman" w:eastAsia="Times New Roman" w:hAnsi="Times New Roman"/>
          <w:i w:val="false"/>
          <w:iCs w:val="false"/>
          <w:sz w:val="24"/>
          <w:szCs w:val="24"/>
        </w:rPr>
        <w:t xml:space="preserve">The United States Food and Drug Administration has granted marketing authorisation to approximately 1,450 artificial intelligence enabled devices since 1995. Most of these devices are in radiology, cardiology and neurology, and the majority followed the 510(k) pathway, which rests on a determination of substantial equivalence. To date no device powered by generative artificial intelligence or by a large language model has been authorised. In March 2026 a patient facing generative artificial intelligence application received breakthrough device designation, which is not a marketing authorisation [5].</w:t>
      </w:r>
    </w:p>
    <w:p>
      <w:pPr>
        <w:spacing w:after="160" w:line="300"/>
        <w:jc w:val="both"/>
      </w:pPr>
      <w:r>
        <w:rPr>
          <w:rFonts w:ascii="Times New Roman" w:cs="Times New Roman" w:eastAsia="Times New Roman" w:hAnsi="Times New Roman"/>
          <w:i w:val="false"/>
          <w:iCs w:val="false"/>
          <w:sz w:val="24"/>
          <w:szCs w:val="24"/>
        </w:rPr>
        <w:t xml:space="preserve">The agency states explicitly that this list is not a comprehensive inventory, and the totals vary according to the date of download, so the figure should not be presented as an exact count. The lawful updating of learning systems is governed by the predetermined change control plan mechanism set out in the final guidance issued in December 2024 [14]. That mechanism allows specified future modifications to a model to be authorised in advance within the original marketing submission.</w:t>
      </w:r>
    </w:p>
    <w:p>
      <w:pPr>
        <w:pStyle w:val="Heading2"/>
        <w:spacing w:after="120" w:before="280"/>
      </w:pPr>
      <w:r>
        <w:t xml:space="preserve">5.4. Türkiye</w:t>
      </w:r>
    </w:p>
    <w:p>
      <w:pPr>
        <w:spacing w:after="160" w:line="300"/>
        <w:jc w:val="both"/>
      </w:pPr>
      <w:r>
        <w:rPr>
          <w:rFonts w:ascii="Times New Roman" w:cs="Times New Roman" w:eastAsia="Times New Roman" w:hAnsi="Times New Roman"/>
          <w:i w:val="false"/>
          <w:iCs w:val="false"/>
          <w:sz w:val="24"/>
          <w:szCs w:val="24"/>
        </w:rPr>
        <w:t xml:space="preserve">Türkiye has no dedicated statute regulating artificial intelligence directly. This does not mean that liability is undefined. Liability is established through the combined application of existing layers of legislation, summarised in the table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Layer</w:t>
            </w:r>
          </w:p>
        </w:tc>
        <w:tc>
          <w:tcPr>
            <w:tcW w:type="dxa" w:w="5800"/>
            <w:shd w:fill="EDE7EA" w:val="clear"/>
            <w:tcMar>
              <w:top w:type="dxa" w:w="90"/>
              <w:left w:type="dxa" w:w="130"/>
              <w:bottom w:type="dxa" w:w="90"/>
              <w:right w:type="dxa" w:w="130"/>
            </w:tcMar>
          </w:tcPr>
          <w:p>
            <w:pPr>
              <w:spacing w:after="0" w:line="260"/>
            </w:pPr>
            <w:r>
              <w:rPr>
                <w:rFonts w:ascii="Times New Roman" w:cs="Times New Roman" w:eastAsia="Times New Roman" w:hAnsi="Times New Roman"/>
                <w:b/>
                <w:bCs/>
                <w:sz w:val="21"/>
                <w:szCs w:val="21"/>
              </w:rPr>
              <w:t xml:space="preserve">Relevance to artificial intelligence in health</w:t>
            </w:r>
          </w:p>
        </w:tc>
      </w:tr>
      <w:tr>
        <w:trPr>
          <w:tblHeader w:val="false"/>
        </w:trPr>
        <w:tc>
          <w:tcPr>
            <w:tcW w:type="dxa" w:w="3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Medical device legislation</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Whether the software qualifies as a device, registration and market placement conditions</w:t>
            </w:r>
          </w:p>
        </w:tc>
      </w:tr>
      <w:tr>
        <w:trPr>
          <w:tblHeader w:val="false"/>
        </w:trPr>
        <w:tc>
          <w:tcPr>
            <w:tcW w:type="dxa" w:w="3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Personal Data Protection Law No. 6698</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Health data is a special category of personal data, with conditions on processing and on automated decisions</w:t>
            </w:r>
          </w:p>
        </w:tc>
      </w:tr>
      <w:tr>
        <w:trPr>
          <w:tblHeader w:val="false"/>
        </w:trPr>
        <w:tc>
          <w:tcPr>
            <w:tcW w:type="dxa" w:w="3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Medical malpractice regime</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Liability of the physician and the health institution, and the scope of informed consent</w:t>
            </w:r>
          </w:p>
        </w:tc>
      </w:tr>
      <w:tr>
        <w:trPr>
          <w:tblHeader w:val="false"/>
        </w:trPr>
        <w:tc>
          <w:tcPr>
            <w:tcW w:type="dxa" w:w="32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Presidential Circular No. 2026/9</w:t>
            </w:r>
          </w:p>
        </w:tc>
        <w:tc>
          <w:tcPr>
            <w:tcW w:type="dxa" w:w="5800"/>
            <w:tcMar>
              <w:top w:type="dxa" w:w="90"/>
              <w:left w:type="dxa" w:w="130"/>
              <w:bottom w:type="dxa" w:w="90"/>
              <w:right w:type="dxa" w:w="130"/>
            </w:tcMar>
          </w:tcPr>
          <w:p>
            <w:pPr>
              <w:spacing w:after="0" w:line="260"/>
            </w:pPr>
            <w:r>
              <w:rPr>
                <w:rFonts w:ascii="Times New Roman" w:cs="Times New Roman" w:eastAsia="Times New Roman" w:hAnsi="Times New Roman"/>
                <w:b w:val="false"/>
                <w:bCs w:val="false"/>
                <w:sz w:val="21"/>
                <w:szCs w:val="21"/>
              </w:rPr>
              <w:t xml:space="preserve">Türkiye Artificial Intelligence Action Plan 2026 to 2030 and the duties assigned to public institutions</w:t>
            </w:r>
          </w:p>
        </w:tc>
      </w:tr>
    </w:tbl>
    <w:p>
      <w:pPr>
        <w:spacing w:after="160"/>
      </w:pPr>
    </w:p>
    <w:p>
      <w:pPr>
        <w:spacing w:after="160" w:line="300"/>
        <w:jc w:val="both"/>
      </w:pPr>
      <w:r>
        <w:rPr>
          <w:rFonts w:ascii="Times New Roman" w:cs="Times New Roman" w:eastAsia="Times New Roman" w:hAnsi="Times New Roman"/>
          <w:i w:val="false"/>
          <w:iCs w:val="false"/>
          <w:sz w:val="24"/>
          <w:szCs w:val="24"/>
        </w:rPr>
        <w:t xml:space="preserve">Legislation in this area is subject to change. The assessment in this section is current as of September 2026 and does not constitute legal advice.</w:t>
      </w:r>
    </w:p>
    <w:p>
      <w:pPr>
        <w:pStyle w:val="Heading1"/>
        <w:spacing w:after="160" w:before="360"/>
      </w:pPr>
      <w:r>
        <w:t xml:space="preserve">6. Development with generative artificial intelligence and the bridge to the workshop</w:t>
      </w:r>
    </w:p>
    <w:p>
      <w:pPr>
        <w:pStyle w:val="Heading2"/>
        <w:spacing w:after="120" w:before="280"/>
      </w:pPr>
      <w:r>
        <w:t xml:space="preserve">6.1. What has changed</w:t>
      </w:r>
    </w:p>
    <w:p>
      <w:pPr>
        <w:spacing w:after="160" w:line="300"/>
        <w:jc w:val="both"/>
      </w:pPr>
      <w:r>
        <w:rPr>
          <w:rFonts w:ascii="Times New Roman" w:cs="Times New Roman" w:eastAsia="Times New Roman" w:hAnsi="Times New Roman"/>
          <w:i w:val="false"/>
          <w:iCs w:val="false"/>
          <w:sz w:val="24"/>
          <w:szCs w:val="24"/>
        </w:rPr>
        <w:t xml:space="preserve">With the spread of generative artificial intelligence tools, the cost of writing code has fallen markedly. A researcher who has a clinical idea but no knowledge of Python can produce a working decision support skeleton within two hours. The data schema, a baseline model, an evaluation layer, an explainability component and a simple interface can all be constructed in natural language. This means that expertise in health can be translated into a working artefact without an intermediary software developer.</w:t>
      </w:r>
    </w:p>
    <w:p>
      <w:pPr>
        <w:pStyle w:val="Heading2"/>
        <w:spacing w:after="120" w:before="280"/>
      </w:pPr>
      <w:r>
        <w:t xml:space="preserve">6.2. Persistent and newly emerging risks</w:t>
      </w:r>
    </w:p>
    <w:p>
      <w:pPr>
        <w:spacing w:after="160" w:line="300"/>
        <w:jc w:val="both"/>
      </w:pPr>
      <w:r>
        <w:rPr>
          <w:rFonts w:ascii="Times New Roman" w:cs="Times New Roman" w:eastAsia="Times New Roman" w:hAnsi="Times New Roman"/>
          <w:i w:val="false"/>
          <w:iCs w:val="false"/>
          <w:sz w:val="24"/>
          <w:szCs w:val="24"/>
        </w:rPr>
        <w:t xml:space="preserve">While the cost of writing has fallen, the cost of verification has not. Generative tools exhibit three typical failures in the health context. The first is the fabricated clinical threshold, where the model writes a cut off value with no traceable source into the code in confident language. The second is silent leakage, where the generated code inadvertently mixes test data into training. The third is the hallucinated reference, where a citation to a non existent article is the most dangerous output precisely because it is formally correct.</w:t>
      </w:r>
    </w:p>
    <w:p>
      <w:pPr>
        <w:spacing w:after="160" w:line="300"/>
        <w:jc w:val="both"/>
      </w:pPr>
      <w:r>
        <w:rPr>
          <w:rFonts w:ascii="Times New Roman" w:cs="Times New Roman" w:eastAsia="Times New Roman" w:hAnsi="Times New Roman"/>
          <w:i w:val="false"/>
          <w:iCs w:val="false"/>
          <w:sz w:val="24"/>
          <w:szCs w:val="24"/>
        </w:rPr>
        <w:t xml:space="preserve">In the workshop, a fixed set of questions is put to every generated output in order to detect these three risks. Artificial intelligence literacy is precisely the capacity to ask those questions.</w:t>
      </w:r>
    </w:p>
    <w:p>
      <w:pPr>
        <w:pStyle w:val="Heading2"/>
        <w:spacing w:after="120" w:before="280"/>
      </w:pPr>
      <w:r>
        <w:t xml:space="preserve">6.3. The decision support card: seven questions</w:t>
      </w:r>
    </w:p>
    <w:p>
      <w:pPr>
        <w:spacing w:after="160" w:line="300"/>
        <w:jc w:val="both"/>
      </w:pPr>
      <w:r>
        <w:rPr>
          <w:rFonts w:ascii="Times New Roman" w:cs="Times New Roman" w:eastAsia="Times New Roman" w:hAnsi="Times New Roman"/>
          <w:i w:val="false"/>
          <w:iCs w:val="false"/>
          <w:sz w:val="24"/>
          <w:szCs w:val="24"/>
        </w:rPr>
        <w:t xml:space="preserve">Participants are expected to answer the following seven questions for their own clinical problem before attending the workshop. These answers form the input to every prompt written during the session.</w:t>
      </w:r>
    </w:p>
    <w:p>
      <w:pPr>
        <w:pStyle w:val="ListParagraph"/>
        <w:numPr>
          <w:ilvl w:val="0"/>
          <w:numId w:val="2"/>
        </w:numPr>
        <w:spacing w:after="100" w:line="300"/>
      </w:pPr>
      <w:r>
        <w:rPr>
          <w:rFonts w:ascii="Times New Roman" w:cs="Times New Roman" w:eastAsia="Times New Roman" w:hAnsi="Times New Roman"/>
          <w:sz w:val="24"/>
          <w:szCs w:val="24"/>
        </w:rPr>
        <w:t xml:space="preserve">Which clinical decision is targeted, and at exactly what moment does the system intervene?</w:t>
      </w:r>
    </w:p>
    <w:p>
      <w:pPr>
        <w:pStyle w:val="ListParagraph"/>
        <w:numPr>
          <w:ilvl w:val="0"/>
          <w:numId w:val="2"/>
        </w:numPr>
        <w:spacing w:after="100" w:line="300"/>
      </w:pPr>
      <w:r>
        <w:rPr>
          <w:rFonts w:ascii="Times New Roman" w:cs="Times New Roman" w:eastAsia="Times New Roman" w:hAnsi="Times New Roman"/>
          <w:sz w:val="24"/>
          <w:szCs w:val="24"/>
        </w:rPr>
        <w:t xml:space="preserve">Who will use the system: a physician, a nurse, a technician or the patient directly?</w:t>
      </w:r>
    </w:p>
    <w:p>
      <w:pPr>
        <w:pStyle w:val="ListParagraph"/>
        <w:numPr>
          <w:ilvl w:val="0"/>
          <w:numId w:val="2"/>
        </w:numPr>
        <w:spacing w:after="100" w:line="300"/>
      </w:pPr>
      <w:r>
        <w:rPr>
          <w:rFonts w:ascii="Times New Roman" w:cs="Times New Roman" w:eastAsia="Times New Roman" w:hAnsi="Times New Roman"/>
          <w:sz w:val="24"/>
          <w:szCs w:val="24"/>
        </w:rPr>
        <w:t xml:space="preserve">Which type of data will be used: routine hospital data, medical images, physiological time series or clinical text?</w:t>
      </w:r>
    </w:p>
    <w:p>
      <w:pPr>
        <w:pStyle w:val="ListParagraph"/>
        <w:numPr>
          <w:ilvl w:val="0"/>
          <w:numId w:val="2"/>
        </w:numPr>
        <w:spacing w:after="100" w:line="300"/>
      </w:pPr>
      <w:r>
        <w:rPr>
          <w:rFonts w:ascii="Times New Roman" w:cs="Times New Roman" w:eastAsia="Times New Roman" w:hAnsi="Times New Roman"/>
          <w:sz w:val="24"/>
          <w:szCs w:val="24"/>
        </w:rPr>
        <w:t xml:space="preserve">What is the outcome variable, and how and within which time window is it measured?</w:t>
      </w:r>
    </w:p>
    <w:p>
      <w:pPr>
        <w:pStyle w:val="ListParagraph"/>
        <w:numPr>
          <w:ilvl w:val="0"/>
          <w:numId w:val="2"/>
        </w:numPr>
        <w:spacing w:after="100" w:line="300"/>
      </w:pPr>
      <w:r>
        <w:rPr>
          <w:rFonts w:ascii="Times New Roman" w:cs="Times New Roman" w:eastAsia="Times New Roman" w:hAnsi="Times New Roman"/>
          <w:sz w:val="24"/>
          <w:szCs w:val="24"/>
        </w:rPr>
        <w:t xml:space="preserve">What is the prevalence of the target condition within the local patient population?</w:t>
      </w:r>
    </w:p>
    <w:p>
      <w:pPr>
        <w:pStyle w:val="ListParagraph"/>
        <w:numPr>
          <w:ilvl w:val="0"/>
          <w:numId w:val="2"/>
        </w:numPr>
        <w:spacing w:after="100" w:line="300"/>
      </w:pPr>
      <w:r>
        <w:rPr>
          <w:rFonts w:ascii="Times New Roman" w:cs="Times New Roman" w:eastAsia="Times New Roman" w:hAnsi="Times New Roman"/>
          <w:sz w:val="24"/>
          <w:szCs w:val="24"/>
        </w:rPr>
        <w:t xml:space="preserve">Which error is more costly, a miss or a false alarm?</w:t>
      </w:r>
    </w:p>
    <w:p>
      <w:pPr>
        <w:pStyle w:val="ListParagraph"/>
        <w:numPr>
          <w:ilvl w:val="0"/>
          <w:numId w:val="2"/>
        </w:numPr>
        <w:spacing w:after="100" w:line="300"/>
      </w:pPr>
      <w:r>
        <w:rPr>
          <w:rFonts w:ascii="Times New Roman" w:cs="Times New Roman" w:eastAsia="Times New Roman" w:hAnsi="Times New Roman"/>
          <w:sz w:val="24"/>
          <w:szCs w:val="24"/>
        </w:rPr>
        <w:t xml:space="preserve">What happens when the system is wrong, and what are the harm scenario and the escalation rule?</w:t>
      </w:r>
    </w:p>
    <w:p>
      <w:pPr>
        <w:pStyle w:val="Heading2"/>
        <w:spacing w:after="120" w:before="280"/>
      </w:pPr>
      <w:r>
        <w:t xml:space="preserve">6.4. Workshop structure</w:t>
      </w:r>
    </w:p>
    <w:p>
      <w:pPr>
        <w:spacing w:after="160" w:line="300"/>
        <w:jc w:val="both"/>
      </w:pPr>
      <w:r>
        <w:rPr>
          <w:rFonts w:ascii="Times New Roman" w:cs="Times New Roman" w:eastAsia="Times New Roman" w:hAnsi="Times New Roman"/>
          <w:i w:val="false"/>
          <w:iCs w:val="false"/>
          <w:sz w:val="24"/>
          <w:szCs w:val="24"/>
        </w:rPr>
        <w:t xml:space="preserve">The workshop, held on 18 September 2026 between 09.00 and 11.00, is designed around the logic of building a decision support system in seven prompts. The work is carried out in Google Colab through a browser, requires no installation, and allows participants without Python experience to proceed by running prepared cells.</w:t>
      </w:r>
    </w:p>
    <w:p>
      <w:pPr>
        <w:spacing w:after="160" w:line="300"/>
        <w:jc w:val="both"/>
      </w:pPr>
      <w:r>
        <w:rPr>
          <w:rFonts w:ascii="Times New Roman" w:cs="Times New Roman" w:eastAsia="Times New Roman" w:hAnsi="Times New Roman"/>
          <w:i w:val="false"/>
          <w:iCs w:val="false"/>
          <w:sz w:val="24"/>
          <w:szCs w:val="24"/>
        </w:rPr>
        <w:t xml:space="preserve">The first part of the session follows a shared scenario, and after approximately one hour each participant moves to their own decision support card. Participants without data generate a synthetic cohort appropriate to their own problem, and open datasets that require no credentialing are provided for those who wish to work with real data. The scope covers system design, data, a baseline model, honest evaluation, explainability, safety guardrails, the model card and regulatory triage.</w:t>
      </w:r>
    </w:p>
    <w:p>
      <w:pPr>
        <w:pStyle w:val="Heading1"/>
        <w:spacing w:after="160" w:before="360"/>
      </w:pPr>
      <w:r>
        <w:t xml:space="preserve">7. Closing</w:t>
      </w:r>
    </w:p>
    <w:p>
      <w:pPr>
        <w:spacing w:after="160" w:line="300"/>
        <w:jc w:val="both"/>
      </w:pPr>
      <w:r>
        <w:rPr>
          <w:rFonts w:ascii="Times New Roman" w:cs="Times New Roman" w:eastAsia="Times New Roman" w:hAnsi="Times New Roman"/>
          <w:i w:val="false"/>
          <w:iCs w:val="false"/>
          <w:sz w:val="24"/>
          <w:szCs w:val="24"/>
        </w:rPr>
        <w:t xml:space="preserve">Five conclusions are intended to be carried away from the session. A decision support system does not make a diagnosis; it allocates clinical attention, and it should be assessed accordingly. A performance claim without external validation remains only a claim, and the same product yields different results in a different setting. A user who does not know the local prevalence cannot interpret a positive predictive value. Explainability is a powerful instrument for finding errors, yet it is not an assurance of correctness. Generative artificial intelligence writes code but assumes no responsibility, and the burden of assessment remains with the user.</w:t>
      </w:r>
    </w:p>
    <w:p>
      <w:pPr>
        <w:pStyle w:val="Heading1"/>
        <w:spacing w:after="160" w:before="360"/>
      </w:pPr>
      <w:r>
        <w:t xml:space="preserve">References</w:t>
      </w:r>
    </w:p>
    <w:p>
      <w:pPr>
        <w:spacing w:after="110" w:line="260"/>
        <w:ind w:left="480" w:hanging="480"/>
      </w:pPr>
      <w:r>
        <w:rPr>
          <w:rFonts w:ascii="Times New Roman" w:cs="Times New Roman" w:eastAsia="Times New Roman" w:hAnsi="Times New Roman"/>
          <w:sz w:val="21"/>
          <w:szCs w:val="21"/>
        </w:rPr>
        <w:t xml:space="preserve">[1] Presidential Circular No. 2026/9, Türkiye Artificial Intelligence Action Plan 2026-2030. Official Gazette, 18 August 2026, issue 33344.</w:t>
      </w:r>
    </w:p>
    <w:p>
      <w:pPr>
        <w:spacing w:after="110" w:line="260"/>
        <w:ind w:left="480" w:hanging="480"/>
      </w:pPr>
      <w:r>
        <w:rPr>
          <w:rFonts w:ascii="Times New Roman" w:cs="Times New Roman" w:eastAsia="Times New Roman" w:hAnsi="Times New Roman"/>
          <w:sz w:val="21"/>
          <w:szCs w:val="21"/>
        </w:rPr>
        <w:t xml:space="preserve">[2] Republic of Türkiye Ministry of Industry and Technology. Türkiye Artificial Intelligence Action Plan 2026-2030.</w:t>
      </w:r>
    </w:p>
    <w:p>
      <w:pPr>
        <w:spacing w:after="110" w:line="260"/>
        <w:ind w:left="480" w:hanging="480"/>
      </w:pPr>
      <w:r>
        <w:rPr>
          <w:rFonts w:ascii="Times New Roman" w:cs="Times New Roman" w:eastAsia="Times New Roman" w:hAnsi="Times New Roman"/>
          <w:sz w:val="21"/>
          <w:szCs w:val="21"/>
        </w:rPr>
        <w:t xml:space="preserve">[3] Osheroff JA, Teich JM, Levick D, Saldana L, Velasco FT, Sittig DF, Rogers KM, Jenders RA. Improving Outcomes with Clinical Decision Support: An Implementer's Guide. 2nd ed. HIMSS; 2012.</w:t>
      </w:r>
    </w:p>
    <w:p>
      <w:pPr>
        <w:spacing w:after="110" w:line="260"/>
        <w:ind w:left="480" w:hanging="480"/>
      </w:pPr>
      <w:r>
        <w:rPr>
          <w:rFonts w:ascii="Times New Roman" w:cs="Times New Roman" w:eastAsia="Times New Roman" w:hAnsi="Times New Roman"/>
          <w:sz w:val="21"/>
          <w:szCs w:val="21"/>
        </w:rPr>
        <w:t xml:space="preserve">[4] Campbell R. The five rights of clinical decision support. Journal of AHIMA. 2013;84(10):42-47.</w:t>
      </w:r>
    </w:p>
    <w:p>
      <w:pPr>
        <w:spacing w:after="110" w:line="260"/>
        <w:ind w:left="480" w:hanging="480"/>
      </w:pPr>
      <w:r>
        <w:rPr>
          <w:rFonts w:ascii="Times New Roman" w:cs="Times New Roman" w:eastAsia="Times New Roman" w:hAnsi="Times New Roman"/>
          <w:sz w:val="21"/>
          <w:szCs w:val="21"/>
        </w:rPr>
        <w:t xml:space="preserve">[5] Congressional Research Service. FDA Regulation of AI-Enabled Devices. In Focus IF13245; 2026.</w:t>
      </w:r>
    </w:p>
    <w:p>
      <w:pPr>
        <w:spacing w:after="110" w:line="260"/>
        <w:ind w:left="480" w:hanging="480"/>
      </w:pPr>
      <w:r>
        <w:rPr>
          <w:rFonts w:ascii="Times New Roman" w:cs="Times New Roman" w:eastAsia="Times New Roman" w:hAnsi="Times New Roman"/>
          <w:sz w:val="21"/>
          <w:szCs w:val="21"/>
        </w:rPr>
        <w:t xml:space="preserve">[6] U.S. Food and Drug Administration. Clinical Decision Support Software: Guidance for Industry and Food and Drug Administration Staff. September 2022.</w:t>
      </w:r>
    </w:p>
    <w:p>
      <w:pPr>
        <w:spacing w:after="110" w:line="260"/>
        <w:ind w:left="480" w:hanging="480"/>
      </w:pPr>
      <w:r>
        <w:rPr>
          <w:rFonts w:ascii="Times New Roman" w:cs="Times New Roman" w:eastAsia="Times New Roman" w:hAnsi="Times New Roman"/>
          <w:sz w:val="21"/>
          <w:szCs w:val="21"/>
        </w:rPr>
        <w:t xml:space="preserve">[7] Wong A, Otles E, Donnelly JP, Krumm A, McCullough J, DeTroyer-Cooley O, Pestrue J, Phillips M, Konye J, Penoza C, Ghous M, Singh K. External validation of a widely implemented proprietary sepsis prediction model in hospitalized patients. JAMA Internal Medicine. 2021;181(8):1065-1070. doi:10.1001/jamainternmed.2021.2626</w:t>
      </w:r>
    </w:p>
    <w:p>
      <w:pPr>
        <w:spacing w:after="110" w:line="260"/>
        <w:ind w:left="480" w:hanging="480"/>
      </w:pPr>
      <w:r>
        <w:rPr>
          <w:rFonts w:ascii="Times New Roman" w:cs="Times New Roman" w:eastAsia="Times New Roman" w:hAnsi="Times New Roman"/>
          <w:sz w:val="21"/>
          <w:szCs w:val="21"/>
        </w:rPr>
        <w:t xml:space="preserve">[8] Habib AR, Lin AL, Grant RW. The Epic sepsis model falls short: the importance of external validation. JAMA Internal Medicine. 2021;181(8):1040-1041. doi:10.1001/jamainternmed.2021.3333</w:t>
      </w:r>
    </w:p>
    <w:p>
      <w:pPr>
        <w:spacing w:after="110" w:line="260"/>
        <w:ind w:left="480" w:hanging="480"/>
      </w:pPr>
      <w:r>
        <w:rPr>
          <w:rFonts w:ascii="Times New Roman" w:cs="Times New Roman" w:eastAsia="Times New Roman" w:hAnsi="Times New Roman"/>
          <w:sz w:val="21"/>
          <w:szCs w:val="21"/>
        </w:rPr>
        <w:t xml:space="preserve">[9] Ostermayer DG, Braunheim B, Mehta AM, Ward J, Andrabi S, Sirajuddin AM. External validation of the Epic sepsis predictive model in 2 county emergency departments. JAMIA Open. 2024;7(4):ooae133. doi:10.1093/jamiaopen/ooae133</w:t>
      </w:r>
    </w:p>
    <w:p>
      <w:pPr>
        <w:spacing w:after="110" w:line="260"/>
        <w:ind w:left="480" w:hanging="480"/>
      </w:pPr>
      <w:r>
        <w:rPr>
          <w:rFonts w:ascii="Times New Roman" w:cs="Times New Roman" w:eastAsia="Times New Roman" w:hAnsi="Times New Roman"/>
          <w:sz w:val="21"/>
          <w:szCs w:val="21"/>
        </w:rPr>
        <w:t xml:space="preserve">[10] Rudin C. Stop explaining black box machine learning models for high stakes decisions and use interpretable models instead. Nature Machine Intelligence. 2019;1:206-215. doi:10.1038/s42256-019-0048-x</w:t>
      </w:r>
    </w:p>
    <w:p>
      <w:pPr>
        <w:spacing w:after="110" w:line="260"/>
        <w:ind w:left="480" w:hanging="480"/>
      </w:pPr>
      <w:r>
        <w:rPr>
          <w:rFonts w:ascii="Times New Roman" w:cs="Times New Roman" w:eastAsia="Times New Roman" w:hAnsi="Times New Roman"/>
          <w:sz w:val="21"/>
          <w:szCs w:val="21"/>
        </w:rPr>
        <w:t xml:space="preserve">[11] Regulation (EU) 2017/745 on medical devices (MDR), Annex VIII, Rule 11.</w:t>
      </w:r>
    </w:p>
    <w:p>
      <w:pPr>
        <w:spacing w:after="110" w:line="260"/>
        <w:ind w:left="480" w:hanging="480"/>
      </w:pPr>
      <w:r>
        <w:rPr>
          <w:rFonts w:ascii="Times New Roman" w:cs="Times New Roman" w:eastAsia="Times New Roman" w:hAnsi="Times New Roman"/>
          <w:sz w:val="21"/>
          <w:szCs w:val="21"/>
        </w:rPr>
        <w:t xml:space="preserve">[12] Regulation (EU) 2024/1689 laying down harmonised rules on artificial intelligence (AI Act). OJ, 12 July 2024.</w:t>
      </w:r>
    </w:p>
    <w:p>
      <w:pPr>
        <w:spacing w:after="110" w:line="260"/>
        <w:ind w:left="480" w:hanging="480"/>
      </w:pPr>
      <w:r>
        <w:rPr>
          <w:rFonts w:ascii="Times New Roman" w:cs="Times New Roman" w:eastAsia="Times New Roman" w:hAnsi="Times New Roman"/>
          <w:sz w:val="21"/>
          <w:szCs w:val="21"/>
        </w:rPr>
        <w:t xml:space="preserve">[13] Regulation (EU) 2026/1744 (Digital Omnibus on AI). OJ, 24 July 2026.</w:t>
      </w:r>
    </w:p>
    <w:p>
      <w:pPr>
        <w:spacing w:after="110" w:line="260"/>
        <w:ind w:left="480" w:hanging="480"/>
      </w:pPr>
      <w:r>
        <w:rPr>
          <w:rFonts w:ascii="Times New Roman" w:cs="Times New Roman" w:eastAsia="Times New Roman" w:hAnsi="Times New Roman"/>
          <w:sz w:val="21"/>
          <w:szCs w:val="21"/>
        </w:rPr>
        <w:t xml:space="preserve">[14] U.S. Food and Drug Administration. Marketing Submission Recommendations for a Predetermined Change Control Plan for Artificial Intelligence-Enabled Device Software Functions. Final guidance, 4 December 2024.</w:t>
      </w:r>
    </w:p>
    <w:p>
      <w:pPr>
        <w:pStyle w:val="Heading1"/>
        <w:spacing w:after="160" w:before="360"/>
      </w:pPr>
      <w:r>
        <w:t xml:space="preserve">Acknowledgement</w:t>
      </w:r>
    </w:p>
    <w:p>
      <w:pPr>
        <w:spacing w:after="160" w:line="300"/>
        <w:jc w:val="both"/>
      </w:pPr>
      <w:r>
        <w:rPr>
          <w:rFonts w:ascii="Times New Roman" w:cs="Times New Roman" w:eastAsia="Times New Roman" w:hAnsi="Times New Roman"/>
          <w:i w:val="false"/>
          <w:iCs w:val="false"/>
          <w:sz w:val="24"/>
          <w:szCs w:val="24"/>
        </w:rPr>
        <w:t xml:space="preserve">This session was delivered within the Technology and Artificial Intelligence Literacy Training project supported by TÜBİTAK and hosted by Akdeniz University. The author thanks the project coordinators and the organising committee for the invitation and for the organisation of the programme.</w:t>
      </w:r>
    </w:p>
    <w:p>
      <w:pPr>
        <w:spacing w:after="160" w:line="300"/>
        <w:jc w:val="both"/>
      </w:pPr>
      <w:r>
        <w:rPr>
          <w:rFonts w:ascii="Times New Roman" w:cs="Times New Roman" w:eastAsia="Times New Roman" w:hAnsi="Times New Roman"/>
          <w:i w:val="false"/>
          <w:iCs w:val="false"/>
          <w:sz w:val="24"/>
          <w:szCs w:val="24"/>
        </w:rPr>
        <w:t xml:space="preserve">The complete course material is published as an open repository at github.com/utkukose/cdss-genai-NB-lecture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6213C"/>
      <w:sz w:val="30"/>
      <w:szCs w:val="30"/>
    </w:rPr>
  </w:style>
  <w:style w:type="paragraph" w:styleId="Heading2">
    <w:name w:val="Heading 2"/>
    <w:basedOn w:val="Normal"/>
    <w:next w:val="Normal"/>
    <w:qFormat/>
    <w:rPr>
      <w:rFonts w:ascii="Times New Roman" w:cs="Times New Roman" w:eastAsia="Times New Roman" w:hAnsi="Times New Roman"/>
      <w:b/>
      <w:bCs/>
      <w:color w:val="16213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Based Clinical Decision Support Systems - Lecture Notes</dc:title>
  <dc:creator>Utku Köse</dc:creator>
  <dc:description>AI Based Clinical Decision Support Systems - Lecture Notes</dc:description>
  <cp:lastModifiedBy>Un-named</cp:lastModifiedBy>
  <cp:revision>1</cp:revision>
  <dcterms:created xsi:type="dcterms:W3CDTF">2026-09-14T06:11:42.492Z</dcterms:created>
  <dcterms:modified xsi:type="dcterms:W3CDTF">2026-09-14T06:11:42.492Z</dcterms:modified>
</cp:coreProperties>
</file>

<file path=docProps/custom.xml><?xml version="1.0" encoding="utf-8"?>
<Properties xmlns="http://schemas.openxmlformats.org/officeDocument/2006/custom-properties" xmlns:vt="http://schemas.openxmlformats.org/officeDocument/2006/docPropsVTypes"/>
</file>