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16213C"/>
          <w:sz w:val="36"/>
          <w:szCs w:val="36"/>
        </w:rPr>
        <w:t xml:space="preserve">Yapay Zekâ Tabanlı Klinik Karar Destek Sistemleri</w:t>
      </w:r>
    </w:p>
    <w:p>
      <w:pPr>
        <w:spacing w:after="220"/>
        <w:jc w:val="left"/>
      </w:pPr>
      <w:r>
        <w:rPr>
          <w:rFonts w:ascii="Times New Roman" w:cs="Times New Roman" w:eastAsia="Times New Roman" w:hAnsi="Times New Roman"/>
          <w:b w:val="false"/>
          <w:bCs w:val="false"/>
          <w:color w:val="6B7590"/>
          <w:sz w:val="26"/>
          <w:szCs w:val="26"/>
        </w:rPr>
        <w:t xml:space="preserve">Ders Notları ve Sunum Kaynak Metni</w:t>
      </w:r>
    </w:p>
    <w:p>
      <w:pPr>
        <w:pBdr>
          <w:bottom w:val="single" w:color="AAAAAA" w:sz="6" w:space="6"/>
        </w:pBdr>
        <w:spacing w:after="200"/>
      </w:pPr>
    </w:p>
    <w:p>
      <w:pPr>
        <w:spacing w:after="80"/>
        <w:jc w:val="left"/>
      </w:pPr>
      <w:r>
        <w:rPr>
          <w:rFonts w:ascii="Times New Roman" w:cs="Times New Roman" w:eastAsia="Times New Roman" w:hAnsi="Times New Roman"/>
          <w:b/>
          <w:bCs/>
          <w:sz w:val="24"/>
          <w:szCs w:val="24"/>
        </w:rPr>
        <w:t xml:space="preserve">Prof. Dr. Utku Köse</w:t>
      </w:r>
    </w:p>
    <w:p>
      <w:pPr>
        <w:spacing w:after="80"/>
        <w:jc w:val="left"/>
      </w:pPr>
      <w:r>
        <w:rPr>
          <w:rFonts w:ascii="Times New Roman" w:cs="Times New Roman" w:eastAsia="Times New Roman" w:hAnsi="Times New Roman"/>
          <w:b w:val="false"/>
          <w:bCs w:val="false"/>
          <w:sz w:val="21"/>
          <w:szCs w:val="21"/>
        </w:rPr>
        <w:t xml:space="preserve">Süleyman Demirel Üniversitesi, Mühendislik ve Doğa Bilimleri Fakültesi, Bilgisayar Mühendisliği Bölümü</w:t>
      </w:r>
    </w:p>
    <w:p>
      <w:pPr>
        <w:spacing w:after="80"/>
        <w:jc w:val="left"/>
      </w:pPr>
      <w:r>
        <w:rPr>
          <w:rFonts w:ascii="Times New Roman" w:cs="Times New Roman" w:eastAsia="Times New Roman" w:hAnsi="Times New Roman"/>
          <w:b w:val="false"/>
          <w:bCs w:val="false"/>
          <w:sz w:val="21"/>
          <w:szCs w:val="21"/>
        </w:rPr>
        <w:t xml:space="preserve">Yapay Zekâ Uygulama ve Araştırma Merkezi (YAZEM) Müdürü, Isparta, Türkiye</w:t>
      </w:r>
    </w:p>
    <w:p>
      <w:pPr>
        <w:spacing w:after="80"/>
        <w:jc w:val="left"/>
      </w:pPr>
      <w:r>
        <w:rPr>
          <w:rFonts w:ascii="Times New Roman" w:cs="Times New Roman" w:eastAsia="Times New Roman" w:hAnsi="Times New Roman"/>
          <w:b w:val="false"/>
          <w:bCs w:val="false"/>
          <w:sz w:val="21"/>
          <w:szCs w:val="21"/>
        </w:rPr>
        <w:t xml:space="preserve">University of North Dakota, Universidad Panamericana, Vel Tech University</w:t>
      </w:r>
    </w:p>
    <w:p>
      <w:pPr>
        <w:spacing w:after="80"/>
        <w:jc w:val="left"/>
      </w:pPr>
      <w:r>
        <w:rPr>
          <w:rFonts w:ascii="Times New Roman" w:cs="Times New Roman" w:eastAsia="Times New Roman" w:hAnsi="Times New Roman"/>
          <w:b w:val="false"/>
          <w:bCs w:val="false"/>
          <w:sz w:val="21"/>
          <w:szCs w:val="21"/>
        </w:rPr>
        <w:t xml:space="preserve">IEEE Senior Member, ACM Professional Member</w:t>
      </w:r>
    </w:p>
    <w:p>
      <w:pPr>
        <w:spacing w:after="180"/>
        <w:jc w:val="left"/>
      </w:pPr>
      <w:r>
        <w:rPr>
          <w:rFonts w:ascii="Times New Roman" w:cs="Times New Roman" w:eastAsia="Times New Roman" w:hAnsi="Times New Roman"/>
          <w:b w:val="false"/>
          <w:bCs w:val="false"/>
          <w:sz w:val="21"/>
          <w:szCs w:val="21"/>
        </w:rPr>
        <w:t xml:space="preserve">utkukose@sdu.edu.tr</w:t>
      </w:r>
    </w:p>
    <w:p>
      <w:pPr>
        <w:spacing w:after="260"/>
        <w:jc w:val="left"/>
      </w:pPr>
      <w:r>
        <w:rPr>
          <w:rFonts w:ascii="Times New Roman" w:cs="Times New Roman" w:eastAsia="Times New Roman" w:hAnsi="Times New Roman"/>
          <w:b w:val="false"/>
          <w:bCs w:val="false"/>
          <w:color w:val="6B7590"/>
          <w:sz w:val="21"/>
          <w:szCs w:val="21"/>
        </w:rPr>
        <w:t xml:space="preserve">Teknoloji ve Yapay Zekâ Okuryazarlığı Eğitimi, Akdeniz Üniversitesi, 16 Eylül 2026, 16.00-16.45</w:t>
      </w:r>
    </w:p>
    <w:p>
      <w:pPr>
        <w:pStyle w:val="Heading1"/>
        <w:spacing w:after="160" w:before="360"/>
      </w:pPr>
      <w:r>
        <w:t xml:space="preserve">Özet</w:t>
      </w:r>
    </w:p>
    <w:p>
      <w:pPr>
        <w:spacing w:after="160" w:line="300"/>
        <w:jc w:val="both"/>
      </w:pPr>
      <w:r>
        <w:rPr>
          <w:rFonts w:ascii="Times New Roman" w:cs="Times New Roman" w:eastAsia="Times New Roman" w:hAnsi="Times New Roman"/>
          <w:i w:val="false"/>
          <w:iCs w:val="false"/>
          <w:sz w:val="24"/>
          <w:szCs w:val="24"/>
        </w:rPr>
        <w:t xml:space="preserve">Bu metin, Teknoloji ve Yapay Zekâ Okuryazarlığı Eğitimi kapsamında verilen kırk beş dakikalık oturumun kaynak metnidir. Klinik karar destek sistemlerinin tanımından başlanmakta, bu sistemlerin sahada neden başarısız olduğu bağımsız dış doğrulama bulguları üzerinden ele alınmakta, güvenilirliği belirleyen ölçütler tartışılmakta ve Avrupa Birliği, Amerika Birleşik Devletleri ile Türkiye'deki düzenleyici çerçeve özetlenmektedir. Son bölüm 18 Eylül 2026 tarihli atölye çalışmasına köprü kurmakta ve katılımcıların kendi klinik problemleri için dolduracağı yedi soruluk bir değerlendirme kartı sunmaktadır.</w:t>
      </w:r>
    </w:p>
    <w:p>
      <w:pPr>
        <w:spacing w:after="160" w:line="300"/>
        <w:jc w:val="both"/>
      </w:pPr>
      <w:r>
        <w:rPr>
          <w:rFonts w:ascii="Times New Roman" w:cs="Times New Roman" w:eastAsia="Times New Roman" w:hAnsi="Times New Roman"/>
          <w:i w:val="false"/>
          <w:iCs w:val="false"/>
          <w:sz w:val="24"/>
          <w:szCs w:val="24"/>
        </w:rPr>
        <w:t xml:space="preserve">Anahtar kavramlar: Klinik karar destek sistemi, dış doğrulama, kalibrasyon, pozitif kestirim değeri, alarm yorgunluğu, açıklanabilir yapay zekâ, tıbbi cihaz yazılımı, yapay zekâ okuryazarlığı.</w:t>
      </w:r>
    </w:p>
    <w:p>
      <w:pPr>
        <w:pStyle w:val="Heading1"/>
        <w:spacing w:after="160" w:before="360"/>
      </w:pPr>
      <w:r>
        <w:t xml:space="preserve">Sunum akışı ve süre dağılımı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rPr>
          <w:tblHeader/>
        </w:trPr>
        <w:tc>
          <w:tcPr>
            <w:tcW w:type="dxa" w:w="22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Bölüm</w:t>
            </w:r>
          </w:p>
        </w:tc>
        <w:tc>
          <w:tcPr>
            <w:tcW w:type="dxa" w:w="9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Süre</w:t>
            </w:r>
          </w:p>
        </w:tc>
        <w:tc>
          <w:tcPr>
            <w:tcW w:type="dxa" w:w="59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Anahtar mesaj</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Giriş ve politika bağlamı</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4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Sağlıkta yapay zekâ okuryazarlığı ulusal bir hedeftir ve teknik beceriden önce bir sorumluluk sorusudur</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Klinik karar destek sistemi nedir</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10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Sistem teşhis koymaz, klinik dikkati yönlendirir</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Neden başarısız oluyorlar</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13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Dış doğrulaması olmayan bir performans iddiası yalnızca bir iddiadır</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Güvenilir kılan nedir</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9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Kalibrasyon, açıklanabilirlik ve raporlama standartları birlikte değerlendirilir</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Düzenleyici çerçeve</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6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Türkiye'de müstakil bir kanun yoktur, sorumluluk boşluğu ise bulunmamaktadır</w:t>
            </w:r>
          </w:p>
        </w:tc>
      </w:tr>
      <w:tr>
        <w:trPr>
          <w:tblHeader w:val="false"/>
        </w:trPr>
        <w:tc>
          <w:tcPr>
            <w:tcW w:type="dxa" w:w="2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Atölyeye köprü ve kapanış</w:t>
            </w:r>
          </w:p>
        </w:tc>
        <w:tc>
          <w:tcPr>
            <w:tcW w:type="dxa" w:w="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3 dk</w:t>
            </w:r>
          </w:p>
        </w:tc>
        <w:tc>
          <w:tcPr>
            <w:tcW w:type="dxa" w:w="5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Üretken yapay zekâ kodu yazar, değerlendirme sorumluluğu kullanıcıda kalır</w:t>
            </w:r>
          </w:p>
        </w:tc>
      </w:tr>
    </w:tbl>
    <w:p>
      <w:pPr>
        <w:spacing w:after="160"/>
      </w:pPr>
    </w:p>
    <w:p>
      <w:pPr>
        <w:pStyle w:val="Heading1"/>
        <w:spacing w:after="160" w:before="360"/>
      </w:pPr>
      <w:r>
        <w:t xml:space="preserve">1. Giriş: Politika bağlamı ve dersin amacı</w:t>
      </w:r>
    </w:p>
    <w:p>
      <w:pPr>
        <w:spacing w:after="160" w:line="300"/>
        <w:jc w:val="both"/>
      </w:pPr>
      <w:r>
        <w:rPr>
          <w:rFonts w:ascii="Times New Roman" w:cs="Times New Roman" w:eastAsia="Times New Roman" w:hAnsi="Times New Roman"/>
          <w:i w:val="false"/>
          <w:iCs w:val="false"/>
          <w:sz w:val="24"/>
          <w:szCs w:val="24"/>
        </w:rPr>
        <w:t xml:space="preserve">Türkiye Yapay Zekâ Eylem Planı (2026-2030), 2026/9 sayılı Cumhurbaşkanlığı Genelgesi ile 18 Ağustos 2026 tarihli ve 33344 sayılı Resmî Gazete'de yayımlanarak yürürlüğe girmiştir [1]. Plan; insan odaklılık, güvenilirlik, etik sorumluluk, dijital egemenlik ve sürdürülebilir kalkınma ilkeleri üzerine kurulmuş olup 2021-2025 dönemini kapsayan Ulusal Yapay Zekâ Stratejisi'nin yerini almıştır [1]. İnsan kaynağı başlığı altında 81 ilde yürütülecek bir ulusal yapay zekâ okuryazarlığı programı öngörülmektedir [2].</w:t>
      </w:r>
    </w:p>
    <w:p>
      <w:pPr>
        <w:spacing w:after="160" w:line="300"/>
        <w:jc w:val="both"/>
      </w:pPr>
      <w:r>
        <w:rPr>
          <w:rFonts w:ascii="Times New Roman" w:cs="Times New Roman" w:eastAsia="Times New Roman" w:hAnsi="Times New Roman"/>
          <w:i w:val="false"/>
          <w:iCs w:val="false"/>
          <w:sz w:val="24"/>
          <w:szCs w:val="24"/>
        </w:rPr>
        <w:t xml:space="preserve">Sağlık alanında yapay zekâ okuryazarlığının, teknik beceriden önce gelen bir boyutu bulunmaktadır: Hatanın bedelini ödeyen taraf, sistemi kuran taraf değildir. Bu nedenle dersin ekseni, bir karar destek sisteminin nasıl kurulduğundan çok nasıl değerlendirileceği üzerine oturtulmuştur. Kodlama işi 18 Eylül atölyesinde üretken yapay zekâ araçlarına büyük ölçüde devredilecektir; değerlendirme işi ise devredilemez.</w:t>
      </w:r>
    </w:p>
    <w:p>
      <w:pPr>
        <w:pStyle w:val="Heading1"/>
        <w:spacing w:after="160" w:before="360"/>
      </w:pPr>
      <w:r>
        <w:t xml:space="preserve">2. Klinik karar destek sistemi nedir</w:t>
      </w:r>
    </w:p>
    <w:p>
      <w:pPr>
        <w:pStyle w:val="Heading2"/>
        <w:spacing w:after="120" w:before="280"/>
      </w:pPr>
      <w:r>
        <w:t xml:space="preserve">2.1. Tanım ve beş doğru</w:t>
      </w:r>
    </w:p>
    <w:p>
      <w:pPr>
        <w:spacing w:after="160" w:line="300"/>
        <w:jc w:val="both"/>
      </w:pPr>
      <w:r>
        <w:rPr>
          <w:rFonts w:ascii="Times New Roman" w:cs="Times New Roman" w:eastAsia="Times New Roman" w:hAnsi="Times New Roman"/>
          <w:i w:val="false"/>
          <w:iCs w:val="false"/>
          <w:sz w:val="24"/>
          <w:szCs w:val="24"/>
        </w:rPr>
        <w:t xml:space="preserve">Klinik karar destek sistemi, klinik bir kararı iyileştirmek amacıyla doğru bilgiyi doğru kişiye doğru biçimde doğru kanaldan doğru zamanda ulaştıran sistem olarak tanımlanmaktadır. Literatürde bu beş bileşen karar desteğin beş doğrusu olarak anılmaktadır [3, 4].</w:t>
      </w:r>
    </w:p>
    <w:p>
      <w:pPr>
        <w:spacing w:after="160" w:line="300"/>
        <w:jc w:val="both"/>
      </w:pPr>
      <w:r>
        <w:rPr>
          <w:rFonts w:ascii="Times New Roman" w:cs="Times New Roman" w:eastAsia="Times New Roman" w:hAnsi="Times New Roman"/>
          <w:i w:val="false"/>
          <w:iCs w:val="false"/>
          <w:sz w:val="24"/>
          <w:szCs w:val="24"/>
        </w:rPr>
        <w:t xml:space="preserve">Beş bileşenin aynı anda sağlanmaması durumunda sistem teknik açıdan çalışsa bile klinik açıdan işlevsiz kalmaktadır. Doğru bilgi yanlış kullanıcıya ulaştığında gürültüye, doğru kullanıcıya karar anından sonra ulaştığında ise yalnızca bir kayda dönüşmektedir. Bu nedenle bir sistemin değerlendirilmesinde model başarımı kadar iş akışına yerleşme biçimi de belirleyicidir.</w:t>
      </w:r>
    </w:p>
    <w:p>
      <w:pPr>
        <w:pStyle w:val="Heading2"/>
        <w:spacing w:after="120" w:before="280"/>
      </w:pPr>
      <w:r>
        <w:t xml:space="preserve">2.2. İki aile: Bilgi tabanlı ve veri güdümlü sistemler</w:t>
      </w:r>
    </w:p>
    <w:p>
      <w:pPr>
        <w:spacing w:after="160" w:line="300"/>
        <w:jc w:val="both"/>
      </w:pPr>
      <w:r>
        <w:rPr>
          <w:rFonts w:ascii="Times New Roman" w:cs="Times New Roman" w:eastAsia="Times New Roman" w:hAnsi="Times New Roman"/>
          <w:i w:val="false"/>
          <w:iCs w:val="false"/>
          <w:sz w:val="24"/>
          <w:szCs w:val="24"/>
        </w:rPr>
        <w:t xml:space="preserve">Bilgi tabanlı sistemler, klinik kılavuzlardan çıkarılan açık kurallar üzerine kuruludur. İlaç etkileşimi uyarıları, doz sınırı denetimleri ve alerji kontrolleri bu aileye girmektedir. Bu sistemlerin en güçlü yanı, uyarının gerekçesinin her zaman okunabilir olmasıdır; denetlenebilir ve versiyonlanabilir yapıdadırlar. Zayıf yanları ise kural sayısı arttıkça bakımın güçleşmesi ve klinik nüansın yakalanamamasıdır.</w:t>
      </w:r>
    </w:p>
    <w:p>
      <w:pPr>
        <w:spacing w:after="160" w:line="300"/>
        <w:jc w:val="both"/>
      </w:pPr>
      <w:r>
        <w:rPr>
          <w:rFonts w:ascii="Times New Roman" w:cs="Times New Roman" w:eastAsia="Times New Roman" w:hAnsi="Times New Roman"/>
          <w:i w:val="false"/>
          <w:iCs w:val="false"/>
          <w:sz w:val="24"/>
          <w:szCs w:val="24"/>
        </w:rPr>
        <w:t xml:space="preserve">Veri güdümlü sistemler ise geçmiş hasta verisinden örüntü öğrenen modellere dayanmaktadır. Sepsis risk skorları, yeniden yatış tahmini ve tıbbi görüntüde lezyon işaretleme bu gruptadır. Bu sistemler kimsenin açıkça formüle edemediği örüntüleri yakalayabilmektedir. Buna karşılık öğrendikleri şey, eğitildikleri kurumun kayıt alışkanlıkları veya cihaz altyapısı olabilmekte ve sistem başka bir merkeze taşındığında başarım düşmektedir.</w:t>
      </w:r>
    </w:p>
    <w:p>
      <w:pPr>
        <w:spacing w:after="160" w:line="300"/>
        <w:jc w:val="both"/>
      </w:pPr>
      <w:r>
        <w:rPr>
          <w:rFonts w:ascii="Times New Roman" w:cs="Times New Roman" w:eastAsia="Times New Roman" w:hAnsi="Times New Roman"/>
          <w:i w:val="false"/>
          <w:iCs w:val="false"/>
          <w:sz w:val="24"/>
          <w:szCs w:val="24"/>
        </w:rPr>
        <w:t xml:space="preserve">Sahadaki sistemlerin çoğu melez yapıdadır. Öğrenen bir skor, kural tabanlı bir eşiğin arkasına yerleştirilmektedir. Sorumluluğun nasıl kurulacağı iki ailede farklıdır ve bu ayrım düzenleyici değerlendirmede de karşımıza çıkmaktadır.</w:t>
      </w:r>
    </w:p>
    <w:p>
      <w:pPr>
        <w:pStyle w:val="Heading2"/>
        <w:spacing w:after="120" w:before="280"/>
      </w:pPr>
      <w:r>
        <w:t xml:space="preserve">2.3. Sistem anatomisi</w:t>
      </w:r>
    </w:p>
    <w:p>
      <w:pPr>
        <w:spacing w:after="160" w:line="300"/>
        <w:jc w:val="both"/>
      </w:pPr>
      <w:r>
        <w:rPr>
          <w:rFonts w:ascii="Times New Roman" w:cs="Times New Roman" w:eastAsia="Times New Roman" w:hAnsi="Times New Roman"/>
          <w:i w:val="false"/>
          <w:iCs w:val="false"/>
          <w:sz w:val="24"/>
          <w:szCs w:val="24"/>
        </w:rPr>
        <w:t xml:space="preserve">Bir klinik karar destek sistemi sekiz halkalı bir zincir olarak düşünülebilir. Zincir, veri kaynağı (hastane bilgi yönetim sistemi, görüntü arşivi, hasta başı monitörü, laboratuvar) ile başlamakta; öznitelik üretimi, model, eşik ve karar mantığı, arayüz, klinisyen kararı, klinik eylem ve nihayet izleme ile geri besleme halkalarıyla tamamlanmaktadır.</w:t>
      </w:r>
    </w:p>
    <w:p>
      <w:pPr>
        <w:spacing w:after="160" w:line="300"/>
        <w:jc w:val="both"/>
      </w:pPr>
      <w:r>
        <w:rPr>
          <w:rFonts w:ascii="Times New Roman" w:cs="Times New Roman" w:eastAsia="Times New Roman" w:hAnsi="Times New Roman"/>
          <w:i w:val="false"/>
          <w:iCs w:val="false"/>
          <w:sz w:val="24"/>
          <w:szCs w:val="24"/>
        </w:rPr>
        <w:t xml:space="preserve">Yayınlarda raporlanan başarım genellikle yalnızca üçüncü halkaya, yani modelin kendisine aittir. Klinik fayda ise dördüncü halkadan sonrasında oluşmaktadır. Bu ayrım, dersin geri kalanının temel çerçevesini oluşturmaktadır: Model başarımı ile klinik fayda birbirinin yerine geçmez.</w:t>
      </w:r>
    </w:p>
    <w:p>
      <w:pPr>
        <w:pStyle w:val="Heading2"/>
        <w:spacing w:after="120" w:before="280"/>
      </w:pPr>
      <w:r>
        <w:t xml:space="preserve">2.4. Klinisyenin sistemdeki yeri</w:t>
      </w:r>
    </w:p>
    <w:p>
      <w:pPr>
        <w:spacing w:after="160" w:line="300"/>
        <w:jc w:val="both"/>
      </w:pPr>
      <w:r>
        <w:rPr>
          <w:rFonts w:ascii="Times New Roman" w:cs="Times New Roman" w:eastAsia="Times New Roman" w:hAnsi="Times New Roman"/>
          <w:i w:val="false"/>
          <w:iCs w:val="false"/>
          <w:sz w:val="24"/>
          <w:szCs w:val="24"/>
        </w:rPr>
        <w:t xml:space="preserve">Karar destek sisteminin ürünü bir teşhis değil, bir dikkat tahsisidir. Sistem, hastada belirli bir tablonun bulunduğunu ilan etmez; ilgili hastaya öncelik verilmesini önerir. Aradaki fark hem klinik hem hukuki açıdan belirleyicidir.</w:t>
      </w:r>
    </w:p>
    <w:p>
      <w:pPr>
        <w:spacing w:after="160" w:line="300"/>
        <w:jc w:val="both"/>
      </w:pPr>
      <w:r>
        <w:rPr>
          <w:rFonts w:ascii="Times New Roman" w:cs="Times New Roman" w:eastAsia="Times New Roman" w:hAnsi="Times New Roman"/>
          <w:i w:val="false"/>
          <w:iCs w:val="false"/>
          <w:sz w:val="24"/>
          <w:szCs w:val="24"/>
        </w:rPr>
        <w:t xml:space="preserve">Amerika Birleşik Devletleri'nde 21st Century Cures Act ile Federal Gıda, İlaç ve Kozmetik Kanunu'na eklenen 520(o)(1)(E) maddesi, bir karar destek yazılımının tıbbi cihaz tanımı dışında kalabilmesi için dört ölçüt aramaktadır. Bu ölçütlerden biri, sağlık profesyonelinin önerinin dayanağını bağımsız olarak gözden geçirebilmesidir [5, 6]. Dolayısıyla açıklanabilirlik bu çerçevede yalnızca etik bir tercih değil, cihaz sayılıp sayılmamanın eşiğidir.</w:t>
      </w:r>
    </w:p>
    <w:p>
      <w:pPr>
        <w:pStyle w:val="Heading1"/>
        <w:spacing w:after="160" w:before="360"/>
      </w:pPr>
      <w:r>
        <w:t xml:space="preserve">3. Neden başarısız oluyorlar</w:t>
      </w:r>
    </w:p>
    <w:p>
      <w:pPr>
        <w:pStyle w:val="Heading2"/>
        <w:spacing w:after="120" w:before="280"/>
      </w:pPr>
      <w:r>
        <w:t xml:space="preserve">3.1. Epic Sepsis Model vakası</w:t>
      </w:r>
    </w:p>
    <w:p>
      <w:pPr>
        <w:spacing w:after="160" w:line="300"/>
        <w:jc w:val="both"/>
      </w:pPr>
      <w:r>
        <w:rPr>
          <w:rFonts w:ascii="Times New Roman" w:cs="Times New Roman" w:eastAsia="Times New Roman" w:hAnsi="Times New Roman"/>
          <w:i w:val="false"/>
          <w:iCs w:val="false"/>
          <w:sz w:val="24"/>
          <w:szCs w:val="24"/>
        </w:rPr>
        <w:t xml:space="preserve">Epic Sepsis Model, Amerika Birleşik Devletleri'nde yüzlerce hastanede kullanılan bir elektronik sağlık kaydı sistemine gömülü, tescilli bir sepsis erken uyarı modelidir ve klinisyene otomatik uyarı üretmektedir. Michigan Medicine ekibi, 6 Aralık 2018 ile 20 Ekim 2019 tarihleri arasında 27.697 hastaya ait 38.455 yatış üzerinde modeli bağımsız olarak doğrulamıştır [7].</w:t>
      </w:r>
    </w:p>
    <w:p>
      <w:pPr>
        <w:spacing w:after="160" w:line="300"/>
        <w:jc w:val="both"/>
      </w:pPr>
      <w:r>
        <w:rPr>
          <w:rFonts w:ascii="Times New Roman" w:cs="Times New Roman" w:eastAsia="Times New Roman" w:hAnsi="Times New Roman"/>
          <w:i w:val="false"/>
          <w:iCs w:val="false"/>
          <w:sz w:val="24"/>
          <w:szCs w:val="24"/>
        </w:rPr>
        <w:t xml:space="preserve">Çalışmanın bulguları şu şekildedir: Eğri altındaki alan 0,63 (yüzde 95 güven aralığı 0,62-0,64), duyarlılık yüzde 33, özgüllük yüzde 83, pozitif kestirim değeri yüzde 12 ve negatif kestirim değeri yüzde 95. Üreticinin belgelerinde belirtilen eğri altındaki alan aralığı ise 0,76 ile 0,83 arasındadır [7, 8].</w:t>
      </w:r>
    </w:p>
    <w:p>
      <w:pPr>
        <w:spacing w:after="160" w:line="300"/>
        <w:jc w:val="both"/>
      </w:pPr>
      <w:r>
        <w:rPr>
          <w:rFonts w:ascii="Times New Roman" w:cs="Times New Roman" w:eastAsia="Times New Roman" w:hAnsi="Times New Roman"/>
          <w:i w:val="false"/>
          <w:iCs w:val="false"/>
          <w:sz w:val="24"/>
          <w:szCs w:val="24"/>
        </w:rPr>
        <w:t xml:space="preserve">Pozitif kestirim değerinin yüzde 12 olması, klinik pratikte şu anlama gelmektedir: Sistemin ürettiği yüz uyarının seksen sekizi, hastaya boşuna gidilmesiyle sonuçlanmaktadır. Model raporlarında yüzde 83 özgüllük değeri iyi görünmekte; nöbet listesindeki karşılığı ise budur.</w:t>
      </w:r>
    </w:p>
    <w:p>
      <w:pPr>
        <w:pStyle w:val="Heading2"/>
        <w:spacing w:after="120" w:before="280"/>
      </w:pPr>
      <w:r>
        <w:t xml:space="preserve">3.2. Üç yıl sonra, başka bir merkezde</w:t>
      </w:r>
    </w:p>
    <w:p>
      <w:pPr>
        <w:spacing w:after="160" w:line="300"/>
        <w:jc w:val="both"/>
      </w:pPr>
      <w:r>
        <w:rPr>
          <w:rFonts w:ascii="Times New Roman" w:cs="Times New Roman" w:eastAsia="Times New Roman" w:hAnsi="Times New Roman"/>
          <w:i w:val="false"/>
          <w:iCs w:val="false"/>
          <w:sz w:val="24"/>
          <w:szCs w:val="24"/>
        </w:rPr>
        <w:t xml:space="preserve">Aynı ürün 2023 yılı boyunca iki ilçe acil servisinde, 145.885 başvuru üzerinde yeniden değerlendirilmiştir. Sepsis-3 tanımı kullanılmış ve uyarı üreticinin önerdiği eşik değerinde tetiklenmiştir. Bu çalışmada duyarlılık yüzde 14,7, özgüllük yüzde 95,3, pozitif kestirim değeri yüzde 7,6 ve negatif kestirim değeri yüzde 97,7 olarak bulunmuştur [9].</w:t>
      </w:r>
    </w:p>
    <w:p>
      <w:pPr>
        <w:spacing w:after="160" w:line="300"/>
        <w:jc w:val="both"/>
      </w:pPr>
      <w:r>
        <w:rPr>
          <w:rFonts w:ascii="Times New Roman" w:cs="Times New Roman" w:eastAsia="Times New Roman" w:hAnsi="Times New Roman"/>
          <w:i w:val="false"/>
          <w:iCs w:val="false"/>
          <w:sz w:val="24"/>
          <w:szCs w:val="24"/>
        </w:rPr>
        <w:t xml:space="preserve">Buradaki ders belirli bir ürüne dair değildir. Hiçbir modelin başarımı, taşındığı yere kendiliğinden birlikte gelmemektedir. Farklı hasta popülasyonu, farklı kodlama alışkanlığı ve farklı iş akışı, yayımlanmış başarımı geçersiz kılabilmektedir.</w:t>
      </w:r>
    </w:p>
    <w:p>
      <w:pPr>
        <w:pStyle w:val="Heading2"/>
        <w:spacing w:after="120" w:before="280"/>
      </w:pPr>
      <w:r>
        <w:t xml:space="preserve">3.3. Prevalans etkisi</w:t>
      </w:r>
    </w:p>
    <w:p>
      <w:pPr>
        <w:spacing w:after="160" w:line="300"/>
        <w:jc w:val="both"/>
      </w:pPr>
      <w:r>
        <w:rPr>
          <w:rFonts w:ascii="Times New Roman" w:cs="Times New Roman" w:eastAsia="Times New Roman" w:hAnsi="Times New Roman"/>
          <w:i w:val="false"/>
          <w:iCs w:val="false"/>
          <w:sz w:val="24"/>
          <w:szCs w:val="24"/>
        </w:rPr>
        <w:t xml:space="preserve">Duyarlılık ve özgüllük sabit tutulduğunda dahi pozitif kestirim değeri, hastalığın ilgili klinikteki sıklığına bağlı olarak değişmektedir. Bayes teoremi uyarınca pozitif kestirim değeri, duyarlılık ile prevalansın çarpımının; bu çarpım ile yanlış pozitif oranının hastalık görülmeme olasılığıyla çarpımının toplamına bölünmesiyle elde edilmektedir.</w:t>
      </w:r>
    </w:p>
    <w:p>
      <w:pPr>
        <w:spacing w:after="160" w:line="300"/>
        <w:jc w:val="both"/>
      </w:pPr>
      <w:r>
        <w:rPr>
          <w:rFonts w:ascii="Times New Roman" w:cs="Times New Roman" w:eastAsia="Times New Roman" w:hAnsi="Times New Roman"/>
          <w:i w:val="false"/>
          <w:iCs w:val="false"/>
          <w:sz w:val="24"/>
          <w:szCs w:val="24"/>
        </w:rPr>
        <w:t xml:space="preserve">Duyarlılık 0,33 ve özgüllük 0,83 değerleriyle hesaplandığında pozitif kestirim değeri, prevalans yüzde 1 iken yaklaşık yüzde 2; yüzde 5 iken yaklaşık yüzde 9; yüzde 7 iken yaklaşık yüzde 13 ve yüzde 20 iken yaklaşık yüzde 33 olmaktadır. Nadir bir durumu tarayan bir sistemde mükemmele yakın özgüllük bile yanlış alarm selini engellememektedir.</w:t>
      </w:r>
    </w:p>
    <w:p>
      <w:pPr>
        <w:spacing w:after="160" w:line="300"/>
        <w:jc w:val="both"/>
      </w:pPr>
      <w:r>
        <w:rPr>
          <w:rFonts w:ascii="Times New Roman" w:cs="Times New Roman" w:eastAsia="Times New Roman" w:hAnsi="Times New Roman"/>
          <w:i w:val="false"/>
          <w:iCs w:val="false"/>
          <w:sz w:val="24"/>
          <w:szCs w:val="24"/>
        </w:rPr>
        <w:t xml:space="preserve">Buradan çıkan pratik kural şudur: Kendisine bir karar destek sistemi önerilen klinisyenin soracağı ilk soru eğri altındaki alan değeri değil, kendi hasta grubundaki prevalans olmalıdır.</w:t>
      </w:r>
    </w:p>
    <w:p>
      <w:pPr>
        <w:pStyle w:val="Heading2"/>
        <w:spacing w:after="120" w:before="280"/>
      </w:pPr>
      <w:r>
        <w:t xml:space="preserve">3.4. Alarm yorgunluğu ve otomasyon yanlılığı</w:t>
      </w:r>
    </w:p>
    <w:p>
      <w:pPr>
        <w:spacing w:after="160" w:line="300"/>
        <w:jc w:val="both"/>
      </w:pPr>
      <w:r>
        <w:rPr>
          <w:rFonts w:ascii="Times New Roman" w:cs="Times New Roman" w:eastAsia="Times New Roman" w:hAnsi="Times New Roman"/>
          <w:i w:val="false"/>
          <w:iCs w:val="false"/>
          <w:sz w:val="24"/>
          <w:szCs w:val="24"/>
        </w:rPr>
        <w:t xml:space="preserve">Yanlış alarmın klinik maliyeti kümülatiftir. Uyarıların çoğu boşa çıktığında klinisyen, uyarıyı okumadan kapatmayı öğrenmektedir. Bu davranış doğru uyarıları da kapsamakta; sistem devrede görünmesine rağmen koruyucu etkisi sıfıra yaklaşmaktadır. Literatürde bu durum alarm yorgunluğu olarak adlandırılmaktadır.</w:t>
      </w:r>
    </w:p>
    <w:p>
      <w:pPr>
        <w:spacing w:after="160" w:line="300"/>
        <w:jc w:val="both"/>
      </w:pPr>
      <w:r>
        <w:rPr>
          <w:rFonts w:ascii="Times New Roman" w:cs="Times New Roman" w:eastAsia="Times New Roman" w:hAnsi="Times New Roman"/>
          <w:i w:val="false"/>
          <w:iCs w:val="false"/>
          <w:sz w:val="24"/>
          <w:szCs w:val="24"/>
        </w:rPr>
        <w:t xml:space="preserve">Ters yönde işleyen hata ise otomasyon yanlılığıdır. Klinisyen, kendi muayene bulgusuna rağmen sistemin sessizliğini bir güvence olarak yorumlamakta ve kaçırılan vakada sorumluluğun kime ait olduğu bulanıklaşmaktadır. Bu iki hata birbirinin panzehiri değildir; aynı sistemde aynı anda görülebilmektedir. Deneyimli klinisyen uyarıyı kapatırken, deneyimsiz klinisyen uyarının yokluğuna güvenebilmektedir.</w:t>
      </w:r>
    </w:p>
    <w:p>
      <w:pPr>
        <w:spacing w:after="160" w:line="300"/>
        <w:jc w:val="both"/>
      </w:pPr>
      <w:r>
        <w:rPr>
          <w:rFonts w:ascii="Times New Roman" w:cs="Times New Roman" w:eastAsia="Times New Roman" w:hAnsi="Times New Roman"/>
          <w:i w:val="false"/>
          <w:iCs w:val="false"/>
          <w:sz w:val="24"/>
          <w:szCs w:val="24"/>
        </w:rPr>
        <w:t xml:space="preserve">Buradan çıkan sonuç, bir karar destek sisteminin zarar verme ihtimali kabul edilmeden devreye alınmasının klinik risk yönetiminde bir boşluk oluşturduğudur.</w:t>
      </w:r>
    </w:p>
    <w:p>
      <w:pPr>
        <w:pStyle w:val="Heading2"/>
        <w:spacing w:after="120" w:before="280"/>
      </w:pPr>
      <w:r>
        <w:t xml:space="preserve">3.5. Modelin öğrendiği şey hastalık olmayabilir</w:t>
      </w:r>
    </w:p>
    <w:p>
      <w:pPr>
        <w:spacing w:after="160" w:line="300"/>
        <w:jc w:val="both"/>
      </w:pPr>
      <w:r>
        <w:rPr>
          <w:rFonts w:ascii="Times New Roman" w:cs="Times New Roman" w:eastAsia="Times New Roman" w:hAnsi="Times New Roman"/>
          <w:i w:val="false"/>
          <w:iCs w:val="false"/>
          <w:sz w:val="24"/>
          <w:szCs w:val="24"/>
        </w:rPr>
        <w:t xml:space="preserve">Başarımın beklenenden düşük çıkmasının teknik nedenleri dört başlıkta toplanabilir. Birincisi kısayol öğrenmedir: Model, göğüs röntgeninde patolojiyi değil, belirli bir cihazın görüntüye bastığı işareti öğrenebilmekte ve yeni bir cihazda başarım düşmektedir. İkincisi hedef sızıntısıdır: Tahmin edilmek istenen sonucun bir sonucu, öznitelik olarak modele girebilmektedir; sepsis modeline antibiyotik istemi bilgisinin girmesi bunun tipik örneğidir.</w:t>
      </w:r>
    </w:p>
    <w:p>
      <w:pPr>
        <w:spacing w:after="160" w:line="300"/>
        <w:jc w:val="both"/>
      </w:pPr>
      <w:r>
        <w:rPr>
          <w:rFonts w:ascii="Times New Roman" w:cs="Times New Roman" w:eastAsia="Times New Roman" w:hAnsi="Times New Roman"/>
          <w:i w:val="false"/>
          <w:iCs w:val="false"/>
          <w:sz w:val="24"/>
          <w:szCs w:val="24"/>
        </w:rPr>
        <w:t xml:space="preserve">Üçüncüsü dağılım kaymasıdır: Protokol, kodlama alışkanlığı veya hasta profili zamanla değişirken model sabit kalmakta ve başarım sessizce erimektedir. Dördüncüsü alt grup körlüğüdür: Toplam başarım kabul edilebilir görünürken belirli bir yaş, cinsiyet veya komorbidite grubunda belirgin biçimde düşük olabilmektedir.</w:t>
      </w:r>
    </w:p>
    <w:p>
      <w:pPr>
        <w:spacing w:after="160" w:line="300"/>
        <w:jc w:val="both"/>
      </w:pPr>
      <w:r>
        <w:rPr>
          <w:rFonts w:ascii="Times New Roman" w:cs="Times New Roman" w:eastAsia="Times New Roman" w:hAnsi="Times New Roman"/>
          <w:i w:val="false"/>
          <w:iCs w:val="false"/>
          <w:sz w:val="24"/>
          <w:szCs w:val="24"/>
        </w:rPr>
        <w:t xml:space="preserve">Bu dört durumun hiçbiri toplam doğruluk değerine bakılarak fark edilememektedir. Hepsi ancak veri ve model açıkça sorgulanarak görülebilmektedir ve 18 Eylül atölyesinin temel egzersizi tam olarak bu sorgulamadır.</w:t>
      </w:r>
    </w:p>
    <w:p>
      <w:pPr>
        <w:pStyle w:val="Heading1"/>
        <w:spacing w:after="160" w:before="360"/>
      </w:pPr>
      <w:r>
        <w:t xml:space="preserve">4. Güvenilir kılan nedir</w:t>
      </w:r>
    </w:p>
    <w:p>
      <w:pPr>
        <w:pStyle w:val="Heading2"/>
        <w:spacing w:after="120" w:before="280"/>
      </w:pPr>
      <w:r>
        <w:t xml:space="preserve">4.1. Ayrım gücü ile kalibrasyon aynı şey değildir</w:t>
      </w:r>
    </w:p>
    <w:p>
      <w:pPr>
        <w:spacing w:after="160" w:line="300"/>
        <w:jc w:val="both"/>
      </w:pPr>
      <w:r>
        <w:rPr>
          <w:rFonts w:ascii="Times New Roman" w:cs="Times New Roman" w:eastAsia="Times New Roman" w:hAnsi="Times New Roman"/>
          <w:i w:val="false"/>
          <w:iCs w:val="false"/>
          <w:sz w:val="24"/>
          <w:szCs w:val="24"/>
        </w:rPr>
        <w:t xml:space="preserve">Ayrım gücü, modelin hasta olan bireyi olmayandan ayırabilme yeteneğini ölçmektedir ve bir sıralama sorusudur. Eğri altındaki alan bu boyutu özetlemektedir. Kalibrasyon ise modelin verdiği olasılığın gerçekliğe karşılık gelip gelmediğini sormaktadır: Model yüzde 20 risk dediği yüz hastanın gerçekten yirmisinde olay gerçekleşiyor mu?</w:t>
      </w:r>
    </w:p>
    <w:p>
      <w:pPr>
        <w:spacing w:after="160" w:line="300"/>
        <w:jc w:val="both"/>
      </w:pPr>
      <w:r>
        <w:rPr>
          <w:rFonts w:ascii="Times New Roman" w:cs="Times New Roman" w:eastAsia="Times New Roman" w:hAnsi="Times New Roman"/>
          <w:i w:val="false"/>
          <w:iCs w:val="false"/>
          <w:sz w:val="24"/>
          <w:szCs w:val="24"/>
        </w:rPr>
        <w:t xml:space="preserve">İki model aynı eğri altındaki alan değerine sahip olabilir; bunlardan biri klinisyenin anlamlı bir eşik belirlemesine imkân verirken diğeri neredeyse tüm hastaları yüksek riskli göstermektedir. Klinik kararda bir eşik belirleniyorsa kalibrasyon, ayrım gücünden önceliklidir.</w:t>
      </w:r>
    </w:p>
    <w:p>
      <w:pPr>
        <w:pStyle w:val="Heading2"/>
        <w:spacing w:after="120" w:before="280"/>
      </w:pPr>
      <w:r>
        <w:t xml:space="preserve">4.2. Açıklanabilirlik ne verir, ne vermez</w:t>
      </w:r>
    </w:p>
    <w:p>
      <w:pPr>
        <w:spacing w:after="160" w:line="300"/>
        <w:jc w:val="both"/>
      </w:pPr>
      <w:r>
        <w:rPr>
          <w:rFonts w:ascii="Times New Roman" w:cs="Times New Roman" w:eastAsia="Times New Roman" w:hAnsi="Times New Roman"/>
          <w:i w:val="false"/>
          <w:iCs w:val="false"/>
          <w:sz w:val="24"/>
          <w:szCs w:val="24"/>
        </w:rPr>
        <w:t xml:space="preserve">Açıklanabilirlik yöntemlerinin klinik değerlendirmedeki en güçlü katkısı hata avıdır. SHAP katkıları incelendiğinde modelin kararını hasta kayıt saatinin sürüklediği görülüyorsa bu, bir sızıntı bulgusudur. Katkıların alt gruplar arasında belirgin biçimde farklılaşması, adalet sorununun ilk işaretini vermektedir. Grad-CAM haritaları ise radyoloğun modelle tartışabileceği somut bir nesne üretmektedir.</w:t>
      </w:r>
    </w:p>
    <w:p>
      <w:pPr>
        <w:spacing w:after="160" w:line="300"/>
        <w:jc w:val="both"/>
      </w:pPr>
      <w:r>
        <w:rPr>
          <w:rFonts w:ascii="Times New Roman" w:cs="Times New Roman" w:eastAsia="Times New Roman" w:hAnsi="Times New Roman"/>
          <w:i w:val="false"/>
          <w:iCs w:val="false"/>
          <w:sz w:val="24"/>
          <w:szCs w:val="24"/>
        </w:rPr>
        <w:t xml:space="preserve">Buna karşılık açıklanabilirlik, nedensellik iddiası taşımamaktadır: Yüksek katkı, ilgili değişkenin hastalığa yol açtığı anlamına gelmemektedir. Doğruluk güvencesi de sağlamamaktadır; yanlış bir tahmin de ikna edici bir açıklama üretebilmekte ve açıklama bu durumda hatayı meşrulaştırabilmektedir. Post-hoc yöntemler modelin içini değil, davranışının bir yaklaşımını vermektedir.</w:t>
      </w:r>
    </w:p>
    <w:p>
      <w:pPr>
        <w:spacing w:after="160" w:line="300"/>
        <w:jc w:val="both"/>
      </w:pPr>
      <w:r>
        <w:rPr>
          <w:rFonts w:ascii="Times New Roman" w:cs="Times New Roman" w:eastAsia="Times New Roman" w:hAnsi="Times New Roman"/>
          <w:i w:val="false"/>
          <w:iCs w:val="false"/>
          <w:sz w:val="24"/>
          <w:szCs w:val="24"/>
        </w:rPr>
        <w:t xml:space="preserve">Rudin, yüksek riskli kararlarda kara kutu modelleri açıklamaya çalışmak yerine baştan yorumlanabilir model kullanılmasını savunmaktadır [10]. Klinik bağlamda bu tartışma kapanmış değildir ve ciddiye alınmalıdır.</w:t>
      </w:r>
    </w:p>
    <w:p>
      <w:pPr>
        <w:pStyle w:val="Heading2"/>
        <w:spacing w:after="120" w:before="280"/>
      </w:pPr>
      <w:r>
        <w:t xml:space="preserve">4.3. Raporlama standartları</w:t>
      </w:r>
    </w:p>
    <w:p>
      <w:pPr>
        <w:spacing w:after="160" w:line="300"/>
        <w:jc w:val="both"/>
      </w:pPr>
      <w:r>
        <w:rPr>
          <w:rFonts w:ascii="Times New Roman" w:cs="Times New Roman" w:eastAsia="Times New Roman" w:hAnsi="Times New Roman"/>
          <w:i w:val="false"/>
          <w:iCs w:val="false"/>
          <w:sz w:val="24"/>
          <w:szCs w:val="24"/>
        </w:rPr>
        <w:t xml:space="preserve">Bir karar destek sistemine ilişkin iddianın denetlenebilir olması, ilgili raporlama standardının karşılanmasına bağlıdır. Aşağıdaki tablo, sağlıkta yapay zekâ çalışmalarında en sık başvurulan standartları özetlemektedir.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00"/>
      </w:tblGrid>
      <w:tr>
        <w:trPr>
          <w:tblHeader/>
        </w:trPr>
        <w:tc>
          <w:tcPr>
            <w:tcW w:type="dxa" w:w="15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Standart</w:t>
            </w:r>
          </w:p>
        </w:tc>
        <w:tc>
          <w:tcPr>
            <w:tcW w:type="dxa" w:w="46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Kullanım alanı</w:t>
            </w:r>
          </w:p>
        </w:tc>
        <w:tc>
          <w:tcPr>
            <w:tcW w:type="dxa" w:w="29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Künye</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TRIPOD+AI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Klinik tahmin modeli geliştirme ve doğrulama çalışmalarının raporlanması</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2024;385:e078378</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PROBAST+AI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Tahmin modeli çalışmalarında yanlılık riskinin değerlendirilmesi</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2025;388:e082505</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DECIDE-AI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Karar destek sistemlerinin erken evre klinik değerlendirmesi</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Nat Med 2022;28:924-933</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CONSORT-AI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Yapay zekâ müdahalesini test eden randomize kontrollü çalışmalar</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2020;370:m3164</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SPIRIT-AI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Aynı çalışmaların protokol aşaması</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2020;370:m3210</w:t>
            </w:r>
          </w:p>
        </w:tc>
      </w:tr>
    </w:tbl>
    <w:p>
      <w:pPr>
        <w:spacing w:after="160"/>
      </w:pPr>
    </w:p>
    <w:p>
      <w:pPr>
        <w:spacing w:after="160" w:line="300"/>
        <w:jc w:val="both"/>
      </w:pPr>
      <w:r>
        <w:rPr>
          <w:rFonts w:ascii="Times New Roman" w:cs="Times New Roman" w:eastAsia="Times New Roman" w:hAnsi="Times New Roman"/>
          <w:i w:val="false"/>
          <w:iCs w:val="false"/>
          <w:sz w:val="24"/>
          <w:szCs w:val="24"/>
        </w:rPr>
        <w:t xml:space="preserve">Bu listelerin pratik kullanımı şöyledir: Bir karar destek sistemi önerildiğinde, ilgili kontrol listesindeki maddelerin kaçının cevaplandığı sorulmalıdır. Cevaplanmayan her madde bir belirsizlik kalemi olarak kayda geçmelidir.</w:t>
      </w:r>
    </w:p>
    <w:p>
      <w:pPr>
        <w:pStyle w:val="Heading2"/>
        <w:spacing w:after="120" w:before="280"/>
      </w:pPr>
      <w:r>
        <w:t xml:space="preserve">4.4. İnsan gözetiminin tasarımı</w:t>
      </w:r>
    </w:p>
    <w:p>
      <w:pPr>
        <w:spacing w:after="160" w:line="300"/>
        <w:jc w:val="both"/>
      </w:pPr>
      <w:r>
        <w:rPr>
          <w:rFonts w:ascii="Times New Roman" w:cs="Times New Roman" w:eastAsia="Times New Roman" w:hAnsi="Times New Roman"/>
          <w:i w:val="false"/>
          <w:iCs w:val="false"/>
          <w:sz w:val="24"/>
          <w:szCs w:val="24"/>
        </w:rPr>
        <w:t xml:space="preserve">İnsan gözetimi bir slogan değil, somut bir tasarım kararları kümesidir. Eşik seçimi klinik bir karardır; hangi duyarlılık ve özgüllük dengesinin kabul edilebilir olduğunu model değil klinik ekip belirlemelidir. Model, güven aralığı geniş olduğunda tahmin üretmemeyi seçebilmeli, yani çekimserlik mekanizmasına sahip olmalıdır; bilmiyorum geçerli bir çıktıdır.</w:t>
      </w:r>
    </w:p>
    <w:p>
      <w:pPr>
        <w:spacing w:after="160" w:line="300"/>
        <w:jc w:val="both"/>
      </w:pPr>
      <w:r>
        <w:rPr>
          <w:rFonts w:ascii="Times New Roman" w:cs="Times New Roman" w:eastAsia="Times New Roman" w:hAnsi="Times New Roman"/>
          <w:i w:val="false"/>
          <w:iCs w:val="false"/>
          <w:sz w:val="24"/>
          <w:szCs w:val="24"/>
        </w:rPr>
        <w:t xml:space="preserve">Eğitim verisine benzemeyen bir hasta geldiğinde sistem sessizce tahmin üretmemeli, dağılım dışı girdi denetimi çalışmalıdır. Kararın hangi durumlarda insana devredileceği önceden yazılmış olmalı, uyarı anında tartışılmamalıdır. Son olarak devreye alma sonrası izleme kurulmalıdır; başarım kayması ancak ölçülüyorsa fark edilmektedir ve izlemesiz devreye alma, doğrulamasız devreye almaya yaklaşmaktadır.</w:t>
      </w:r>
    </w:p>
    <w:p>
      <w:pPr>
        <w:pStyle w:val="Heading1"/>
        <w:spacing w:after="160" w:before="360"/>
      </w:pPr>
      <w:r>
        <w:t xml:space="preserve">5. Düzenleyici çerçeve</w:t>
      </w:r>
    </w:p>
    <w:p>
      <w:pPr>
        <w:pStyle w:val="Heading2"/>
        <w:spacing w:after="120" w:before="280"/>
      </w:pPr>
      <w:r>
        <w:t xml:space="preserve">5.1. Bu bir tıbbi cihaz mı</w:t>
      </w:r>
    </w:p>
    <w:p>
      <w:pPr>
        <w:spacing w:after="160" w:line="300"/>
        <w:jc w:val="both"/>
      </w:pPr>
      <w:r>
        <w:rPr>
          <w:rFonts w:ascii="Times New Roman" w:cs="Times New Roman" w:eastAsia="Times New Roman" w:hAnsi="Times New Roman"/>
          <w:i w:val="false"/>
          <w:iCs w:val="false"/>
          <w:sz w:val="24"/>
          <w:szCs w:val="24"/>
        </w:rPr>
        <w:t xml:space="preserve">Düzenleyici değerlendirmede ilk soru her zaman aynıdır. Bir yazılım, üretici tarafından teşhis veya tedaviye yönelik bir amaçla piyasaya sürülüyorsa tıbbi cihaz mevzuatı kapsamına girmektedir. Avrupa Birliği'nde bu değerlendirme Tıbbi Cihaz Tüzüğü (AB 2017/745) ve özellikle yazılımı sınıflandıran Kural 11 üzerinden yapılmaktadır [11].</w:t>
      </w:r>
    </w:p>
    <w:p>
      <w:pPr>
        <w:spacing w:after="160" w:line="300"/>
        <w:jc w:val="both"/>
      </w:pPr>
      <w:r>
        <w:rPr>
          <w:rFonts w:ascii="Times New Roman" w:cs="Times New Roman" w:eastAsia="Times New Roman" w:hAnsi="Times New Roman"/>
          <w:i w:val="false"/>
          <w:iCs w:val="false"/>
          <w:sz w:val="24"/>
          <w:szCs w:val="24"/>
        </w:rPr>
        <w:t xml:space="preserve">Cevabın olumlu olması durumunda klinik değerlendirme dosyası, kalite yönetim sistemi, onaylanmış kuruluş denetimi ve piyasaya arz sonrası gözetim yükümlülükleri devreye girmektedir. Cevabın olumsuz olması ise sorumluluğun ortadan kalktığı anlamına gelmemekte; yalnızca sorumluluğun hangi mevzuat katmanından doğacağını değiştirmektedir.</w:t>
      </w:r>
    </w:p>
    <w:p>
      <w:pPr>
        <w:pStyle w:val="Heading2"/>
        <w:spacing w:after="120" w:before="280"/>
      </w:pPr>
      <w:r>
        <w:t xml:space="preserve">5.2. Avrupa Birliği</w:t>
      </w:r>
    </w:p>
    <w:p>
      <w:pPr>
        <w:spacing w:after="160" w:line="300"/>
        <w:jc w:val="both"/>
      </w:pPr>
      <w:r>
        <w:rPr>
          <w:rFonts w:ascii="Times New Roman" w:cs="Times New Roman" w:eastAsia="Times New Roman" w:hAnsi="Times New Roman"/>
          <w:i w:val="false"/>
          <w:iCs w:val="false"/>
          <w:sz w:val="24"/>
          <w:szCs w:val="24"/>
        </w:rPr>
        <w:t xml:space="preserve">Avrupa Birliği Yapay Zekâ Yasası (AB 2024/1689) 1 Ağustos 2024 tarihinde yürürlüğe girmiştir. Dijital Omnibus düzenlemesi (AB 2026/1744) ise 24 Temmuz 2026 tarihinde Resmî Gazete'de yayımlanmış ve 27 Temmuz 2026 tarihinde yürürlüğe girmiştir [12, 13].</w:t>
      </w:r>
    </w:p>
    <w:p>
      <w:pPr>
        <w:spacing w:after="160" w:line="300"/>
        <w:jc w:val="both"/>
      </w:pPr>
      <w:r>
        <w:rPr>
          <w:rFonts w:ascii="Times New Roman" w:cs="Times New Roman" w:eastAsia="Times New Roman" w:hAnsi="Times New Roman"/>
          <w:i w:val="false"/>
          <w:iCs w:val="false"/>
          <w:sz w:val="24"/>
          <w:szCs w:val="24"/>
        </w:rPr>
        <w:t xml:space="preserve">Bu düzenleme ile Ek III kapsamındaki bağımsız yüksek riskli sistemlere ilişkin yükümlülükler 2 Ağustos 2026 tarihinden 2 Aralık 2027 tarihine; ürün güvenliği mevzuatı kapsamındaki ürünlere gömülü Ek I sistemlerine ilişkin yükümlülükler ise 2 Ağustos 2027 tarihinden 2 Ağustos 2028 tarihine ertelenmiştir. Tıbbi cihaz mevzuatı kapsamındaki yapay zekâ bileşenleri Ek I grubunda yer almaktadır [13].</w:t>
      </w:r>
    </w:p>
    <w:p>
      <w:pPr>
        <w:spacing w:after="160" w:line="300"/>
        <w:jc w:val="both"/>
      </w:pPr>
      <w:r>
        <w:rPr>
          <w:rFonts w:ascii="Times New Roman" w:cs="Times New Roman" w:eastAsia="Times New Roman" w:hAnsi="Times New Roman"/>
          <w:i w:val="false"/>
          <w:iCs w:val="false"/>
          <w:sz w:val="24"/>
          <w:szCs w:val="24"/>
        </w:rPr>
        <w:t xml:space="preserve">Erteleme her yükümlülüğü kapsamamaktadır. Madde 50 kapsamındaki şeffaflık yükümlülükleri ertelenmemiş ve 2 Ağustos 2026 tarihinde yürürlüğe girmiştir. Yeni eklenen iki yasak ile hâlihazırda piyasada bulunan sistemlere yönelik filigran yükümlülüğü 2 Aralık 2026 tarihinde uygulanmaya başlayacaktır [13]. Sağlık açısından okunuşu şudur: Tıbbi cihaz kapsamındaki bir karar destek sistemi için asıl tarih 2 Ağustos 2028'dir ve erteleme, hazırlığın ertelenmesi anlamına gelmemektedir.</w:t>
      </w:r>
    </w:p>
    <w:p>
      <w:pPr>
        <w:pStyle w:val="Heading2"/>
        <w:spacing w:after="120" w:before="280"/>
      </w:pPr>
      <w:r>
        <w:t xml:space="preserve">5.3. Amerika Birleşik Devletleri</w:t>
      </w:r>
    </w:p>
    <w:p>
      <w:pPr>
        <w:spacing w:after="160" w:line="300"/>
        <w:jc w:val="both"/>
      </w:pPr>
      <w:r>
        <w:rPr>
          <w:rFonts w:ascii="Times New Roman" w:cs="Times New Roman" w:eastAsia="Times New Roman" w:hAnsi="Times New Roman"/>
          <w:i w:val="false"/>
          <w:iCs w:val="false"/>
          <w:sz w:val="24"/>
          <w:szCs w:val="24"/>
        </w:rPr>
        <w:t xml:space="preserve">Amerikan Gıda ve İlaç Dairesi tarafından 1995 yılından bu yana yaklaşık 1.450 yapay zekâ destekli cihaz pazarlama yetkisi almıştır. Cihazların çoğunluğu radyoloji, kardiyoloji ve nöroloji alanlarındadır ve büyük bölümü esasen eşdeğerlik değerlendirmesine dayanan 510(k) yolunu izlemiştir. Bugüne kadar üretken yapay zekâ veya büyük dil modeliyle çalışan hiçbir cihaz yetkilendirilmemiştir; Mart 2026 tarihinde hastaya yönelik bir üretken yapay zekâ uygulamasına çığır açıcı cihaz statüsü verilmiş, ancak bu bir pazarlama yetkisi değildir [5].</w:t>
      </w:r>
    </w:p>
    <w:p>
      <w:pPr>
        <w:spacing w:after="160" w:line="300"/>
        <w:jc w:val="both"/>
      </w:pPr>
      <w:r>
        <w:rPr>
          <w:rFonts w:ascii="Times New Roman" w:cs="Times New Roman" w:eastAsia="Times New Roman" w:hAnsi="Times New Roman"/>
          <w:i w:val="false"/>
          <w:iCs w:val="false"/>
          <w:sz w:val="24"/>
          <w:szCs w:val="24"/>
        </w:rPr>
        <w:t xml:space="preserve">Bu listenin kurum tarafından kapsamlı bir envanter olmadığı açıkça belirtilmektedir; sayılar indirme tarihine göre değişmektedir ve kesin bir rakam olarak sunulmamalıdır. Öğrenen sistemlerin yasal biçimde güncellenebilmesi, Aralık 2024 tarihli nihai kılavuzla düzenlenen önceden belirlenmiş değişiklik kontrol planı mekanizmasına bağlanmıştır [14]. Bu mekanizma, modelde ileride yapılacak belirli güncellemelerin başvuru aşamasında önceden onaylanmasına imkân tanımaktadır.</w:t>
      </w:r>
    </w:p>
    <w:p>
      <w:pPr>
        <w:pStyle w:val="Heading2"/>
        <w:spacing w:after="120" w:before="280"/>
      </w:pPr>
      <w:r>
        <w:t xml:space="preserve">5.4. Türkiye</w:t>
      </w:r>
    </w:p>
    <w:p>
      <w:pPr>
        <w:spacing w:after="160" w:line="300"/>
        <w:jc w:val="both"/>
      </w:pPr>
      <w:r>
        <w:rPr>
          <w:rFonts w:ascii="Times New Roman" w:cs="Times New Roman" w:eastAsia="Times New Roman" w:hAnsi="Times New Roman"/>
          <w:i w:val="false"/>
          <w:iCs w:val="false"/>
          <w:sz w:val="24"/>
          <w:szCs w:val="24"/>
        </w:rPr>
        <w:t xml:space="preserve">Türkiye'de yapay zekâyı doğrudan düzenleyen müstakil bir kanun bulunmamaktadır. Bu durum, sorumluluğun belirsiz olduğu anlamına gelmemektedir; sorumluluk mevcut mevzuat katmanlarının birlikte uygulanmasıyla belirlenmektedir. Aşağıdaki tablo bu katmanları özetlemektedir.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Katman</w:t>
            </w:r>
          </w:p>
        </w:tc>
        <w:tc>
          <w:tcPr>
            <w:tcW w:type="dxa" w:w="58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Sağlıkta yapay zekâ açısından karşılığı</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Tıbbi cihaz mevzuatı</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Yazılımın cihaz sayılıp sayılmadığı, kayıt ve piyasaya arz koşulları</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6698 sayılı Kişisel Verilerin Korunması Kanunu</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Sağlık verisi özel nitelikli kişisel veridir; işleme şartları ve otomatik karar boyutu</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Tıbbi malpraktis rejimi</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Hekimin ve sağlık kuruluşunun sorumluluğu, aydınlatılmış onamın kapsamı</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2026/9 sayılı Cumhurbaşkanlığı Genelgesi</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Türkiye Yapay Zekâ Eylem Planı (2026-2030) ve kamu kurumlarına yüklenen görevler</w:t>
            </w:r>
          </w:p>
        </w:tc>
      </w:tr>
    </w:tbl>
    <w:p>
      <w:pPr>
        <w:spacing w:after="160"/>
      </w:pPr>
    </w:p>
    <w:p>
      <w:pPr>
        <w:spacing w:after="160" w:line="300"/>
        <w:jc w:val="both"/>
      </w:pPr>
      <w:r>
        <w:rPr>
          <w:rFonts w:ascii="Times New Roman" w:cs="Times New Roman" w:eastAsia="Times New Roman" w:hAnsi="Times New Roman"/>
          <w:i w:val="false"/>
          <w:iCs w:val="false"/>
          <w:sz w:val="24"/>
          <w:szCs w:val="24"/>
        </w:rPr>
        <w:t xml:space="preserve">Mevzuat hareketli bir alandır. Bu bölümdeki değerlendirme Eylül 2026 itibarıyla geçerlidir ve hukuki görüş niteliği taşımamaktadır.</w:t>
      </w:r>
    </w:p>
    <w:p>
      <w:pPr>
        <w:pStyle w:val="Heading1"/>
        <w:spacing w:after="160" w:before="360"/>
      </w:pPr>
      <w:r>
        <w:t xml:space="preserve">6. Üretken yapay zekâ ile geliştirme ve atölyeye köprü</w:t>
      </w:r>
    </w:p>
    <w:p>
      <w:pPr>
        <w:pStyle w:val="Heading2"/>
        <w:spacing w:after="120" w:before="280"/>
      </w:pPr>
      <w:r>
        <w:t xml:space="preserve">6.1. Ne değişti</w:t>
      </w:r>
    </w:p>
    <w:p>
      <w:pPr>
        <w:spacing w:after="160" w:line="300"/>
        <w:jc w:val="both"/>
      </w:pPr>
      <w:r>
        <w:rPr>
          <w:rFonts w:ascii="Times New Roman" w:cs="Times New Roman" w:eastAsia="Times New Roman" w:hAnsi="Times New Roman"/>
          <w:i w:val="false"/>
          <w:iCs w:val="false"/>
          <w:sz w:val="24"/>
          <w:szCs w:val="24"/>
        </w:rPr>
        <w:t xml:space="preserve">Üretken yapay zekâ araçlarının yaygınlaşmasıyla birlikte kod yazma maliyeti belirgin biçimde düşmüştür. Klinik bir fikri olan ve Python bilmeyen bir araştırmacı, iki saat içinde çalışan bir karar destek sistemi iskeleti üretebilmektedir. Veri şeması, temel model, değerlendirme katmanı, açıklanabilirlik bileşeni ve basit bir arayüz doğal dille kurulabilmektedir. Bu, sağlık alanındaki uzmanlığın bir yazılım aracısına ihtiyaç duymadan ürüne dönüşebilmesi anlamına gelmektedir.</w:t>
      </w:r>
    </w:p>
    <w:p>
      <w:pPr>
        <w:pStyle w:val="Heading2"/>
        <w:spacing w:after="120" w:before="280"/>
      </w:pPr>
      <w:r>
        <w:t xml:space="preserve">6.2. Değişmeyen ve yeni ortaya çıkan riskler</w:t>
      </w:r>
    </w:p>
    <w:p>
      <w:pPr>
        <w:spacing w:after="160" w:line="300"/>
        <w:jc w:val="both"/>
      </w:pPr>
      <w:r>
        <w:rPr>
          <w:rFonts w:ascii="Times New Roman" w:cs="Times New Roman" w:eastAsia="Times New Roman" w:hAnsi="Times New Roman"/>
          <w:i w:val="false"/>
          <w:iCs w:val="false"/>
          <w:sz w:val="24"/>
          <w:szCs w:val="24"/>
        </w:rPr>
        <w:t xml:space="preserve">Yazma maliyeti düşerken doğrulama maliyeti düşmemiştir. Üretken araçların sağlık bağlamında üç tipik hatası bulunmaktadır. Birincisi uydurulmuş klinik eşiktir: Model, kaynağı bulunmayan bir kesme değerini kendinden emin bir dille koda yazabilmektedir. İkincisi sessiz sızıntıdır: Üretilen kod, farkında olunmadan test verisini eğitime karıştırabilmektedir. Üçüncüsü halüsinasyon kaynaktır: Var olmayan bir makaleye yapılan atıf, biçimsel olarak doğru göründüğü için en tehlikeli çıktıdır.</w:t>
      </w:r>
    </w:p>
    <w:p>
      <w:pPr>
        <w:spacing w:after="160" w:line="300"/>
        <w:jc w:val="both"/>
      </w:pPr>
      <w:r>
        <w:rPr>
          <w:rFonts w:ascii="Times New Roman" w:cs="Times New Roman" w:eastAsia="Times New Roman" w:hAnsi="Times New Roman"/>
          <w:i w:val="false"/>
          <w:iCs w:val="false"/>
          <w:sz w:val="24"/>
          <w:szCs w:val="24"/>
        </w:rPr>
        <w:t xml:space="preserve">Atölyede üretilen her çıktıya bu üç riski tespit etmek üzere sabit sorular yöneltilecektir. Yapay zekâ okuryazarlığı, tam olarak bu soruları sorabilme yetkinliğidir.</w:t>
      </w:r>
    </w:p>
    <w:p>
      <w:pPr>
        <w:pStyle w:val="Heading2"/>
        <w:spacing w:after="120" w:before="280"/>
      </w:pPr>
      <w:r>
        <w:t xml:space="preserve">6.3. Karar destek kartı: Yedi soru</w:t>
      </w:r>
    </w:p>
    <w:p>
      <w:pPr>
        <w:spacing w:after="160" w:line="300"/>
        <w:jc w:val="both"/>
      </w:pPr>
      <w:r>
        <w:rPr>
          <w:rFonts w:ascii="Times New Roman" w:cs="Times New Roman" w:eastAsia="Times New Roman" w:hAnsi="Times New Roman"/>
          <w:i w:val="false"/>
          <w:iCs w:val="false"/>
          <w:sz w:val="24"/>
          <w:szCs w:val="24"/>
        </w:rPr>
        <w:t xml:space="preserve">Atölyeye gelmeden önce aşağıdaki yedi sorunun kendi klinik probleminiz için cevaplanması beklenmektedir. Bu cevaplar, atölyede yazılacak her istemin girdisini oluşturacaktır.</w:t>
      </w:r>
    </w:p>
    <w:p>
      <w:pPr>
        <w:pStyle w:val="ListParagraph"/>
        <w:numPr>
          <w:ilvl w:val="0"/>
          <w:numId w:val="2"/>
        </w:numPr>
        <w:spacing w:after="100" w:line="300"/>
      </w:pPr>
      <w:r>
        <w:rPr>
          <w:rFonts w:ascii="Times New Roman" w:cs="Times New Roman" w:eastAsia="Times New Roman" w:hAnsi="Times New Roman"/>
          <w:sz w:val="24"/>
          <w:szCs w:val="24"/>
        </w:rPr>
        <w:t xml:space="preserve">Hangi klinik karar hedefleniyor; sistem tam olarak hangi anda devreye girecek?</w:t>
      </w:r>
    </w:p>
    <w:p>
      <w:pPr>
        <w:pStyle w:val="ListParagraph"/>
        <w:numPr>
          <w:ilvl w:val="0"/>
          <w:numId w:val="2"/>
        </w:numPr>
        <w:spacing w:after="100" w:line="300"/>
      </w:pPr>
      <w:r>
        <w:rPr>
          <w:rFonts w:ascii="Times New Roman" w:cs="Times New Roman" w:eastAsia="Times New Roman" w:hAnsi="Times New Roman"/>
          <w:sz w:val="24"/>
          <w:szCs w:val="24"/>
        </w:rPr>
        <w:t xml:space="preserve">Sistemi kim kullanacak; hekim, hemşire, teknisyen ya da doğrudan hasta mı?</w:t>
      </w:r>
    </w:p>
    <w:p>
      <w:pPr>
        <w:pStyle w:val="ListParagraph"/>
        <w:numPr>
          <w:ilvl w:val="0"/>
          <w:numId w:val="2"/>
        </w:numPr>
        <w:spacing w:after="100" w:line="300"/>
      </w:pPr>
      <w:r>
        <w:rPr>
          <w:rFonts w:ascii="Times New Roman" w:cs="Times New Roman" w:eastAsia="Times New Roman" w:hAnsi="Times New Roman"/>
          <w:sz w:val="24"/>
          <w:szCs w:val="24"/>
        </w:rPr>
        <w:t xml:space="preserve">Hangi veri türü kullanılacak; rutin hastane verisi, tıbbi görüntü, fizyolojik zaman serisi ya da klinik metin mi?</w:t>
      </w:r>
    </w:p>
    <w:p>
      <w:pPr>
        <w:pStyle w:val="ListParagraph"/>
        <w:numPr>
          <w:ilvl w:val="0"/>
          <w:numId w:val="2"/>
        </w:numPr>
        <w:spacing w:after="100" w:line="300"/>
      </w:pPr>
      <w:r>
        <w:rPr>
          <w:rFonts w:ascii="Times New Roman" w:cs="Times New Roman" w:eastAsia="Times New Roman" w:hAnsi="Times New Roman"/>
          <w:sz w:val="24"/>
          <w:szCs w:val="24"/>
        </w:rPr>
        <w:t xml:space="preserve">Sonuç değişkeni nedir; nasıl ve hangi zaman penceresinde ölçülüyor?</w:t>
      </w:r>
    </w:p>
    <w:p>
      <w:pPr>
        <w:pStyle w:val="ListParagraph"/>
        <w:numPr>
          <w:ilvl w:val="0"/>
          <w:numId w:val="2"/>
        </w:numPr>
        <w:spacing w:after="100" w:line="300"/>
      </w:pPr>
      <w:r>
        <w:rPr>
          <w:rFonts w:ascii="Times New Roman" w:cs="Times New Roman" w:eastAsia="Times New Roman" w:hAnsi="Times New Roman"/>
          <w:sz w:val="24"/>
          <w:szCs w:val="24"/>
        </w:rPr>
        <w:t xml:space="preserve">Hedeflenen durumun kendi hasta grubunuzdaki prevalansı nedir?</w:t>
      </w:r>
    </w:p>
    <w:p>
      <w:pPr>
        <w:pStyle w:val="ListParagraph"/>
        <w:numPr>
          <w:ilvl w:val="0"/>
          <w:numId w:val="2"/>
        </w:numPr>
        <w:spacing w:after="100" w:line="300"/>
      </w:pPr>
      <w:r>
        <w:rPr>
          <w:rFonts w:ascii="Times New Roman" w:cs="Times New Roman" w:eastAsia="Times New Roman" w:hAnsi="Times New Roman"/>
          <w:sz w:val="24"/>
          <w:szCs w:val="24"/>
        </w:rPr>
        <w:t xml:space="preserve">Hangi hata daha pahalıdır; kaçırma mı yoksa yanlış alarm mı?</w:t>
      </w:r>
    </w:p>
    <w:p>
      <w:pPr>
        <w:pStyle w:val="ListParagraph"/>
        <w:numPr>
          <w:ilvl w:val="0"/>
          <w:numId w:val="2"/>
        </w:numPr>
        <w:spacing w:after="100" w:line="300"/>
      </w:pPr>
      <w:r>
        <w:rPr>
          <w:rFonts w:ascii="Times New Roman" w:cs="Times New Roman" w:eastAsia="Times New Roman" w:hAnsi="Times New Roman"/>
          <w:sz w:val="24"/>
          <w:szCs w:val="24"/>
        </w:rPr>
        <w:t xml:space="preserve">Sistem yanılırsa ne olur; zarar senaryosu ve devretme kuralı nedir?</w:t>
      </w:r>
    </w:p>
    <w:p>
      <w:pPr>
        <w:pStyle w:val="Heading2"/>
        <w:spacing w:after="120" w:before="280"/>
      </w:pPr>
      <w:r>
        <w:t xml:space="preserve">6.4. Atölye akışı</w:t>
      </w:r>
    </w:p>
    <w:p>
      <w:pPr>
        <w:spacing w:after="160" w:line="300"/>
        <w:jc w:val="both"/>
      </w:pPr>
      <w:r>
        <w:rPr>
          <w:rFonts w:ascii="Times New Roman" w:cs="Times New Roman" w:eastAsia="Times New Roman" w:hAnsi="Times New Roman"/>
          <w:i w:val="false"/>
          <w:iCs w:val="false"/>
          <w:sz w:val="24"/>
          <w:szCs w:val="24"/>
        </w:rPr>
        <w:t xml:space="preserve">18 Eylül 2026 tarihinde 09.00 ile 11.00 arasında yürütülecek atölye, yedi istemde bir karar destek sistemi kurma mantığı üzerine tasarlanmıştır. Çalışma tarayıcı üzerinden Google Colab ortamında yürütülecek, kurulum gerektirmeyecek ve Python bilmeyen katılımcılar hazır hücreleri çalıştırarak ilerleyebilecektir.</w:t>
      </w:r>
    </w:p>
    <w:p>
      <w:pPr>
        <w:spacing w:after="160" w:line="300"/>
        <w:jc w:val="both"/>
      </w:pPr>
      <w:r>
        <w:rPr>
          <w:rFonts w:ascii="Times New Roman" w:cs="Times New Roman" w:eastAsia="Times New Roman" w:hAnsi="Times New Roman"/>
          <w:i w:val="false"/>
          <w:iCs w:val="false"/>
          <w:sz w:val="24"/>
          <w:szCs w:val="24"/>
        </w:rPr>
        <w:t xml:space="preserve">Oturumun ilk bölümünde ortak bir senaryo üzerinde ilerlenecek, yaklaşık bir saat sonra her katılımcı kendi karar destek kartına geçecektir. Verisi bulunmayan katılımcılar için kendi problemlerine uygun sentetik kohort üretimi yapılacak, gerçek veri kullanmak isteyenler için kimlik doğrulaması gerektirmeyen açık veri kümeleri sağlanacaktır. Kapsam; sistem tasarımı, veri, temel model, dürüst değerlendirme, açıklanabilirlik, güvenlik bariyerleri, model kartı ve düzenleyici triyaj başlıklarını içermektedir.</w:t>
      </w:r>
    </w:p>
    <w:p>
      <w:pPr>
        <w:pStyle w:val="Heading1"/>
        <w:spacing w:after="160" w:before="360"/>
      </w:pPr>
      <w:r>
        <w:t xml:space="preserve">7. Kapanış</w:t>
      </w:r>
    </w:p>
    <w:p>
      <w:pPr>
        <w:spacing w:after="160" w:line="300"/>
        <w:jc w:val="both"/>
      </w:pPr>
      <w:r>
        <w:rPr>
          <w:rFonts w:ascii="Times New Roman" w:cs="Times New Roman" w:eastAsia="Times New Roman" w:hAnsi="Times New Roman"/>
          <w:i w:val="false"/>
          <w:iCs w:val="false"/>
          <w:sz w:val="24"/>
          <w:szCs w:val="24"/>
        </w:rPr>
        <w:t xml:space="preserve">Oturumdan çıkarılması beklenen beş sonuç şunlardır. Karar destek sistemi teşhis koymaz; klinik dikkati yönlendirir ve değerlendirmesi de buna göre yapılır. Dış doğrulaması bulunmayan bir başarım iddiası yalnızca bir iddiadır; aynı ürün başka bir merkezde başka sonuç vermektedir. Kendi kliniğindeki prevalansı bilmeyen bir kullanıcı pozitif kestirim değerini yorumlayamaz. Açıklanabilirlik hata bulmak için güçlü bir araçtır, ancak doğruluk güvencesi değildir. Üretken yapay zekâ kod yazar, sorumluluk almaz; değerlendirme sorumluluğu kullanıcıda kalır.</w:t>
      </w:r>
    </w:p>
    <w:p>
      <w:pPr>
        <w:pStyle w:val="Heading1"/>
        <w:spacing w:after="160" w:before="360"/>
      </w:pPr>
      <w:r>
        <w:t xml:space="preserve">Kaynaklar</w:t>
      </w:r>
    </w:p>
    <w:p>
      <w:pPr>
        <w:spacing w:after="110" w:line="260"/>
        <w:ind w:left="480" w:hanging="480"/>
      </w:pPr>
      <w:r>
        <w:rPr>
          <w:rFonts w:ascii="Times New Roman" w:cs="Times New Roman" w:eastAsia="Times New Roman" w:hAnsi="Times New Roman"/>
          <w:sz w:val="21"/>
          <w:szCs w:val="21"/>
        </w:rPr>
        <w:t xml:space="preserve">[1] 2026/9 sayılı Cumhurbaşkanlığı Genelgesi, Türkiye Yapay Zekâ Eylem Planı (2026-2030). Resmî Gazete, 18 Ağustos 2026, Sayı 33344.</w:t>
      </w:r>
    </w:p>
    <w:p>
      <w:pPr>
        <w:spacing w:after="110" w:line="260"/>
        <w:ind w:left="480" w:hanging="480"/>
      </w:pPr>
      <w:r>
        <w:rPr>
          <w:rFonts w:ascii="Times New Roman" w:cs="Times New Roman" w:eastAsia="Times New Roman" w:hAnsi="Times New Roman"/>
          <w:sz w:val="21"/>
          <w:szCs w:val="21"/>
        </w:rPr>
        <w:t xml:space="preserve">[2] T.C. Sanayi ve Teknoloji Bakanlığı. Türkiye Yapay Zekâ Eylem Planı (2026-2030).</w:t>
      </w:r>
    </w:p>
    <w:p>
      <w:pPr>
        <w:spacing w:after="110" w:line="260"/>
        <w:ind w:left="480" w:hanging="480"/>
      </w:pPr>
      <w:r>
        <w:rPr>
          <w:rFonts w:ascii="Times New Roman" w:cs="Times New Roman" w:eastAsia="Times New Roman" w:hAnsi="Times New Roman"/>
          <w:sz w:val="21"/>
          <w:szCs w:val="21"/>
        </w:rPr>
        <w:t xml:space="preserve">[3] Osheroff JA, Teich JM, Levick D, Saldana L, Velasco FT, Sittig DF, Rogers KM, Jenders RA. Improving Outcomes with Clinical Decision Support: An Implementer's Guide. 2. baskı. HIMSS; 2012.</w:t>
      </w:r>
    </w:p>
    <w:p>
      <w:pPr>
        <w:spacing w:after="110" w:line="260"/>
        <w:ind w:left="480" w:hanging="480"/>
      </w:pPr>
      <w:r>
        <w:rPr>
          <w:rFonts w:ascii="Times New Roman" w:cs="Times New Roman" w:eastAsia="Times New Roman" w:hAnsi="Times New Roman"/>
          <w:sz w:val="21"/>
          <w:szCs w:val="21"/>
        </w:rPr>
        <w:t xml:space="preserve">[4] Campbell R. The five rights of clinical decision support. Journal of AHIMA. 2013;84(10):42-47.</w:t>
      </w:r>
    </w:p>
    <w:p>
      <w:pPr>
        <w:spacing w:after="110" w:line="260"/>
        <w:ind w:left="480" w:hanging="480"/>
      </w:pPr>
      <w:r>
        <w:rPr>
          <w:rFonts w:ascii="Times New Roman" w:cs="Times New Roman" w:eastAsia="Times New Roman" w:hAnsi="Times New Roman"/>
          <w:sz w:val="21"/>
          <w:szCs w:val="21"/>
        </w:rPr>
        <w:t xml:space="preserve">[5] Congressional Research Service. FDA Regulation of AI-Enabled Devices. In Focus IF13245; 2026.</w:t>
      </w:r>
    </w:p>
    <w:p>
      <w:pPr>
        <w:spacing w:after="110" w:line="260"/>
        <w:ind w:left="480" w:hanging="480"/>
      </w:pPr>
      <w:r>
        <w:rPr>
          <w:rFonts w:ascii="Times New Roman" w:cs="Times New Roman" w:eastAsia="Times New Roman" w:hAnsi="Times New Roman"/>
          <w:sz w:val="21"/>
          <w:szCs w:val="21"/>
        </w:rPr>
        <w:t xml:space="preserve">[6] U.S. Food and Drug Administration. Clinical Decision Support Software: Guidance for Industry and Food and Drug Administration Staff. Eylül 2022.</w:t>
      </w:r>
    </w:p>
    <w:p>
      <w:pPr>
        <w:spacing w:after="110" w:line="260"/>
        <w:ind w:left="480" w:hanging="480"/>
      </w:pPr>
      <w:r>
        <w:rPr>
          <w:rFonts w:ascii="Times New Roman" w:cs="Times New Roman" w:eastAsia="Times New Roman" w:hAnsi="Times New Roman"/>
          <w:sz w:val="21"/>
          <w:szCs w:val="21"/>
        </w:rPr>
        <w:t xml:space="preserve">[7] Wong A, Otles E, Donnelly JP, Krumm A, McCullough J, DeTroyer-Cooley O, Pestrue J, Phillips M, Konye J, Penoza C, Ghous M, Singh K. External validation of a widely implemented proprietary sepsis prediction model in hospitalized patients. JAMA Internal Medicine. 2021;181(8):1065-1070. doi:10.1001/jamainternmed.2021.2626</w:t>
      </w:r>
    </w:p>
    <w:p>
      <w:pPr>
        <w:spacing w:after="110" w:line="260"/>
        <w:ind w:left="480" w:hanging="480"/>
      </w:pPr>
      <w:r>
        <w:rPr>
          <w:rFonts w:ascii="Times New Roman" w:cs="Times New Roman" w:eastAsia="Times New Roman" w:hAnsi="Times New Roman"/>
          <w:sz w:val="21"/>
          <w:szCs w:val="21"/>
        </w:rPr>
        <w:t xml:space="preserve">[8] Habib AR, Lin AL, Grant RW. The Epic sepsis model falls short: the importance of external validation. JAMA Internal Medicine. 2021;181(8):1040-1041. doi:10.1001/jamainternmed.2021.3333</w:t>
      </w:r>
    </w:p>
    <w:p>
      <w:pPr>
        <w:spacing w:after="110" w:line="260"/>
        <w:ind w:left="480" w:hanging="480"/>
      </w:pPr>
      <w:r>
        <w:rPr>
          <w:rFonts w:ascii="Times New Roman" w:cs="Times New Roman" w:eastAsia="Times New Roman" w:hAnsi="Times New Roman"/>
          <w:sz w:val="21"/>
          <w:szCs w:val="21"/>
        </w:rPr>
        <w:t xml:space="preserve">[9] Ostermayer DG, Braunheim B, Mehta AM, Ward J, Andrabi S, Sirajuddin AM. External validation of the Epic sepsis predictive model in 2 county emergency departments. JAMIA Open. 2024;7(4):ooae133. doi:10.1093/jamiaopen/ooae133</w:t>
      </w:r>
    </w:p>
    <w:p>
      <w:pPr>
        <w:spacing w:after="110" w:line="260"/>
        <w:ind w:left="480" w:hanging="480"/>
      </w:pPr>
      <w:r>
        <w:rPr>
          <w:rFonts w:ascii="Times New Roman" w:cs="Times New Roman" w:eastAsia="Times New Roman" w:hAnsi="Times New Roman"/>
          <w:sz w:val="21"/>
          <w:szCs w:val="21"/>
        </w:rPr>
        <w:t xml:space="preserve">[10] Rudin C. Stop explaining black box machine learning models for high stakes decisions and use interpretable models instead. Nature Machine Intelligence. 2019;1:206-215. doi:10.1038/s42256-019-0048-x</w:t>
      </w:r>
    </w:p>
    <w:p>
      <w:pPr>
        <w:spacing w:after="110" w:line="260"/>
        <w:ind w:left="480" w:hanging="480"/>
      </w:pPr>
      <w:r>
        <w:rPr>
          <w:rFonts w:ascii="Times New Roman" w:cs="Times New Roman" w:eastAsia="Times New Roman" w:hAnsi="Times New Roman"/>
          <w:sz w:val="21"/>
          <w:szCs w:val="21"/>
        </w:rPr>
        <w:t xml:space="preserve">[11] Regulation (EU) 2017/745 on medical devices (MDR), Ek VIII, Kural 11.</w:t>
      </w:r>
    </w:p>
    <w:p>
      <w:pPr>
        <w:spacing w:after="110" w:line="260"/>
        <w:ind w:left="480" w:hanging="480"/>
      </w:pPr>
      <w:r>
        <w:rPr>
          <w:rFonts w:ascii="Times New Roman" w:cs="Times New Roman" w:eastAsia="Times New Roman" w:hAnsi="Times New Roman"/>
          <w:sz w:val="21"/>
          <w:szCs w:val="21"/>
        </w:rPr>
        <w:t xml:space="preserve">[12] Regulation (EU) 2024/1689 laying down harmonised rules on artificial intelligence (AI Act). OJ, 12 Temmuz 2024.</w:t>
      </w:r>
    </w:p>
    <w:p>
      <w:pPr>
        <w:spacing w:after="110" w:line="260"/>
        <w:ind w:left="480" w:hanging="480"/>
      </w:pPr>
      <w:r>
        <w:rPr>
          <w:rFonts w:ascii="Times New Roman" w:cs="Times New Roman" w:eastAsia="Times New Roman" w:hAnsi="Times New Roman"/>
          <w:sz w:val="21"/>
          <w:szCs w:val="21"/>
        </w:rPr>
        <w:t xml:space="preserve">[13] Regulation (EU) 2026/1744 (Digital Omnibus on AI). OJ, 24 Temmuz 2026.</w:t>
      </w:r>
    </w:p>
    <w:p>
      <w:pPr>
        <w:spacing w:after="110" w:line="260"/>
        <w:ind w:left="480" w:hanging="480"/>
      </w:pPr>
      <w:r>
        <w:rPr>
          <w:rFonts w:ascii="Times New Roman" w:cs="Times New Roman" w:eastAsia="Times New Roman" w:hAnsi="Times New Roman"/>
          <w:sz w:val="21"/>
          <w:szCs w:val="21"/>
        </w:rPr>
        <w:t xml:space="preserve">[14] U.S. Food and Drug Administration. Marketing Submission Recommendations for a Predetermined Change Control Plan for Artificial Intelligence-Enabled Device Software Functions. Nihai kılavuz, 4 Aralık 2024.</w:t>
      </w:r>
    </w:p>
    <w:p>
      <w:pPr>
        <w:pStyle w:val="Heading1"/>
        <w:spacing w:after="160" w:before="360"/>
      </w:pPr>
      <w:r>
        <w:t xml:space="preserve">Teşekkür</w:t>
      </w:r>
    </w:p>
    <w:p>
      <w:pPr>
        <w:spacing w:after="160" w:line="300"/>
        <w:jc w:val="both"/>
      </w:pPr>
      <w:r>
        <w:rPr>
          <w:rFonts w:ascii="Times New Roman" w:cs="Times New Roman" w:eastAsia="Times New Roman" w:hAnsi="Times New Roman"/>
          <w:i w:val="false"/>
          <w:iCs w:val="false"/>
          <w:sz w:val="24"/>
          <w:szCs w:val="24"/>
        </w:rPr>
        <w:t xml:space="preserve">Bu oturum, TÜBİTAK destekli Teknoloji ve Yapay Zekâ Okuryazarlığı Eğitimi projesi kapsamında Akdeniz Üniversitesi ev sahipliğinde gerçekleştirilmiştir. Davet ve organizasyon için proje yürütücülerine ve düzenleme kuruluna teşekkür edilmektedir.</w:t>
      </w:r>
    </w:p>
    <w:p>
      <w:pPr>
        <w:spacing w:after="160" w:line="300"/>
        <w:jc w:val="both"/>
      </w:pPr>
      <w:r>
        <w:rPr>
          <w:rFonts w:ascii="Times New Roman" w:cs="Times New Roman" w:eastAsia="Times New Roman" w:hAnsi="Times New Roman"/>
          <w:i w:val="false"/>
          <w:iCs w:val="false"/>
          <w:sz w:val="24"/>
          <w:szCs w:val="24"/>
        </w:rPr>
        <w:t xml:space="preserve">Ders materyalinin tamamı açık depo olarak yayımlanmaktadır: github.com/utkukose/cdss-genai-NB-lecture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6213C"/>
      <w:sz w:val="30"/>
      <w:szCs w:val="30"/>
    </w:rPr>
  </w:style>
  <w:style w:type="paragraph" w:styleId="Heading2">
    <w:name w:val="Heading 2"/>
    <w:basedOn w:val="Normal"/>
    <w:next w:val="Normal"/>
    <w:qFormat/>
    <w:rPr>
      <w:rFonts w:ascii="Times New Roman" w:cs="Times New Roman" w:eastAsia="Times New Roman" w:hAnsi="Times New Roman"/>
      <w:b/>
      <w:bCs/>
      <w:color w:val="16213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Zekâ Tabanlı Klinik Karar Destek Sistemleri - Ders Notları</dc:title>
  <dc:creator>Utku Köse</dc:creator>
  <dc:description>Yapay Zekâ Tabanlı Klinik Karar Destek Sistemleri - Ders Notları</dc:description>
  <cp:lastModifiedBy>Un-named</cp:lastModifiedBy>
  <cp:revision>1</cp:revision>
  <dcterms:created xsi:type="dcterms:W3CDTF">2026-09-14T06:11:42.253Z</dcterms:created>
  <dcterms:modified xsi:type="dcterms:W3CDTF">2026-09-14T06:11:42.265Z</dcterms:modified>
</cp:coreProperties>
</file>

<file path=docProps/custom.xml><?xml version="1.0" encoding="utf-8"?>
<Properties xmlns="http://schemas.openxmlformats.org/officeDocument/2006/custom-properties" xmlns:vt="http://schemas.openxmlformats.org/officeDocument/2006/docPropsVTypes"/>
</file>