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12: Security of LLM Applications: Prompt Injection, Jailbreaks and Data Extraction</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Language models are now embedded in applications that read e-mail, browse the web and call tools. This week examines the resulting attack surface, from direct and indirect prompt injection to jailbreaks and training data extraction, and the layered defences and red teaming practices that reduce the risk [1, 2, 3].</w:t>
      </w:r>
    </w:p>
    <w:p>
      <w:pPr>
        <w:pStyle w:val="Heading1"/>
      </w:pPr>
      <w:r>
        <w:t xml:space="preserve">Learning outcomes</w:t>
      </w:r>
    </w:p>
    <w:p>
      <w:pPr>
        <w:spacing w:after="140"/>
        <w:jc w:val="both"/>
      </w:pPr>
      <w:r>
        <w:t xml:space="preserve">By the end of the week, students are expected to explain why prompt injection follows from mixing instructions and data in one context, to distinguish direct from indirect injection, to describe the two failure modes of safety training identified for jailbreaks, to explain training data extraction and membership inference, and to design and evaluate layered defences for an LLM-integrated application.</w:t>
      </w:r>
    </w:p>
    <w:p>
      <w:pPr>
        <w:pStyle w:val="Heading1"/>
      </w:pPr>
      <w:r>
        <w:t xml:space="preserve">Lecture</w:t>
      </w:r>
    </w:p>
    <w:p>
      <w:pPr>
        <w:pStyle w:val="Heading2"/>
      </w:pPr>
      <w:r>
        <w:t xml:space="preserve">An attack surface made of text</w:t>
      </w:r>
    </w:p>
    <w:p>
      <w:pPr>
        <w:spacing w:after="140"/>
        <w:jc w:val="both"/>
      </w:pPr>
      <w:r>
        <w:t xml:space="preserve">An LLM-integrated application assembles a context from several sources: the developer's system prompt, the user's request and external content such as web pages, e-mails, documents and tool outputs. The model receives all of this as one sequence of tokens and has no reliable way to tell instructions from data. Perez and Ribeiro showed that simple handcrafted inputs could hijack the goal of a model or make it leak its hidden prompt, which they called goal hijacking and prompt leaking [4]. Greshake and colleagues went further with indirect prompt injection: An attacker plants instructions in content that an application is likely to retrieve, and the model follows them without any action by the user [1]. They demonstrated data theft and the manipulation of answers in real applications.</w:t>
      </w:r>
    </w:p>
    <w:p>
      <w:pPr>
        <w:spacing w:after="140"/>
        <w:jc w:val="both"/>
      </w:pPr>
      <w:r>
        <w:t xml:space="preserve">The OWASP Top 10 for LLM Applications, version 2025, lists prompt injection as the first risk, followed by sensitive information disclosure, supply chain, data and model poisoning, improper output handling, excessive agency, system prompt leakage, vector and embedding weaknesses, misinformation and unbounded consumption [2]. Figure 12.1 marks where several of these risks enter an application. Kose, Cankaya and Deperlioglu anticipated a future in which AI systems are both weapons and targets in cyber conflict [5], and LLM applications with access to tools make that anticipation concrete.</w:t>
      </w:r>
    </w:p>
    <w:p>
      <w:pPr>
        <w:spacing w:before="160" w:line="240" w:lineRule="auto"/>
        <w:jc w:val="center"/>
      </w:pPr>
      <w:r>
        <w:drawing>
          <wp:inline distT="0" distB="0" distL="0" distR="0">
            <wp:extent cx="5524500" cy="2419350"/>
            <wp:effectExtent t="0" r="0" b="0" l="0"/>
            <wp:docPr id="1" name="figure" descr="Figure 12.1. The attack surface of an LLM-integrated application. Numbered labels mark where direct and indirect injection, excessive agency, improper output handling and system prompt leakage enter [1, 2]."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19350"/>
                    </a:xfrm>
                    <a:prstGeom prst="rect">
                      <a:avLst/>
                    </a:prstGeom>
                  </pic:spPr>
                </pic:pic>
              </a:graphicData>
            </a:graphic>
          </wp:inline>
        </w:drawing>
      </w:r>
    </w:p>
    <w:p>
      <w:pPr>
        <w:spacing w:after="200"/>
        <w:jc w:val="center"/>
      </w:pPr>
      <w:r>
        <w:rPr>
          <w:i/>
          <w:iCs/>
          <w:sz w:val="21"/>
          <w:szCs w:val="21"/>
        </w:rPr>
        <w:t xml:space="preserve">Figure 12.1. The attack surface of an LLM-integrated application. Numbered labels mark where direct and indirect injection, excessive agency, improper output handling and system prompt leakage enter [1, 2].</w:t>
      </w:r>
    </w:p>
    <w:p>
      <w:pPr>
        <w:pStyle w:val="Heading2"/>
      </w:pPr>
      <w:r>
        <w:t xml:space="preserve">Jailbreaks and automated attacks</w:t>
      </w:r>
    </w:p>
    <w:p>
      <w:pPr>
        <w:spacing w:after="140"/>
        <w:jc w:val="both"/>
      </w:pPr>
      <w:r>
        <w:t xml:space="preserve">A jailbreak is an input that makes a model produce content its safety training was meant to prevent. Wei, Haghtalab and Steinhardt explained why safety training fails with two failure modes [6]. Competing objectives arise when a model's capabilities and its safety goals conflict, for example when a prompt demands a particular response format that leaves no room for refusal. Mismatched generalisation arises when safety training does not cover a domain in which the model is capable, for example instructions written in an encoding or a language that received little safety training. Attacks that combined both failure modes succeeded against the strongest models they tested.</w:t>
      </w:r>
    </w:p>
    <w:p>
      <w:pPr>
        <w:spacing w:after="140"/>
        <w:jc w:val="both"/>
      </w:pPr>
      <w:r>
        <w:t xml:space="preserve">Zou and colleagues automated the search: A gradient-guided optimisation found adversarial suffixes that caused open-weight models to comply with harmful requests, and the same suffixes transferred to closed commercial models [7]. The result links language model security to the adversarial examples of Week 8. Robustness cannot rest on the hope that attackers will not find the right input.</w:t>
      </w:r>
    </w:p>
    <w:p>
      <w:pPr>
        <w:pStyle w:val="Heading2"/>
      </w:pPr>
      <w:r>
        <w:t xml:space="preserve">Privacy and data extraction</w:t>
      </w:r>
    </w:p>
    <w:p>
      <w:pPr>
        <w:spacing w:after="140"/>
        <w:jc w:val="both"/>
      </w:pPr>
      <w:r>
        <w:t xml:space="preserve">Models can reveal what they were trained on. Carlini and colleagues extracted hundreds of verbatim sequences from the training data of GPT-2 by generating many samples and ranking them with membership signals, and the extracted text included personal names, phone numbers and e-mail addresses [8]. They also found that larger models memorised more. Shokri and colleagues introduced membership inference attacks, which decide whether a given record was part of a model's training set by training shadow models that imitate the target's behaviour [9]. Both attacks matter whenever a model is trained or fine-tuned on sensitive data, such as clinical notes or private correspondence.</w:t>
      </w:r>
    </w:p>
    <w:p>
      <w:pPr>
        <w:pStyle w:val="Heading2"/>
      </w:pPr>
      <w:r>
        <w:t xml:space="preserve">Defence in depth and red teaming</w:t>
      </w:r>
    </w:p>
    <w:p>
      <w:pPr>
        <w:spacing w:after="140"/>
        <w:jc w:val="both"/>
      </w:pPr>
      <w:r>
        <w:t xml:space="preserve">No single defence stops prompt injection reliably, so practice relies on layers. Untrusted content can be marked and separated from instructions. Models can be trained to give priority to the instructions of the developer over those found in data. Tools can follow the principle of least privilege, so that an assistant that summarises e-mail cannot send it. Consequential actions can require human confirmation, and model output can be treated as untrusted input to downstream systems, for example by rendering links only from allowed domains [2]. Detectors for injected instructions help, but they generalise poorly to paraphrases and to other languages, as the notebook shows.</w:t>
      </w:r>
    </w:p>
    <w:p>
      <w:pPr>
        <w:spacing w:after="140"/>
        <w:jc w:val="both"/>
      </w:pPr>
      <w:r>
        <w:t xml:space="preserve">Red teaming searches for failures before attackers do. Perez and colleagues used one language model to generate test cases for another and found many harmful behaviours at a scale that manual testing could not reach [3]. Ganguli and colleagues released a large data set of human red-team attacks and reported that models trained with reinforcement learning from human feedback became harder to red-team as they grew, whereas other model types did not show this trend [10].</w:t>
      </w:r>
    </w:p>
    <w:p>
      <w:pPr>
        <w:pBdr>
          <w:left w:val="single" w:color="B97813" w:sz="18" w:space="8"/>
        </w:pBdr>
        <w:spacing w:after="160" w:before="120"/>
        <w:ind w:left="567"/>
      </w:pPr>
      <w:r>
        <w:rPr>
          <w:b/>
          <w:bCs/>
          <w:i/>
          <w:iCs/>
        </w:rPr>
        <w:t xml:space="preserve">Pause and reflect.</w:t>
      </w:r>
      <w:r>
        <w:rPr>
          <w:i/>
          <w:iCs/>
        </w:rPr>
        <w:t xml:space="preserve"> An assistant reads a university inbox and can send e-mail. Which single design change would remove the largest share of the injection risk, and what would it cost the users?</w:t>
      </w:r>
    </w:p>
    <w:p>
      <w:pPr>
        <w:pStyle w:val="Heading1"/>
      </w:pPr>
      <w:r>
        <w:t xml:space="preserve">Hands-on components</w:t>
      </w:r>
    </w:p>
    <w:p>
      <w:pPr>
        <w:spacing w:after="140"/>
        <w:jc w:val="both"/>
      </w:pPr>
      <w:r>
        <w:t xml:space="preserve">Interactive lab: A scripted toy assistant, not a real language model, summarises e-mails. Some e-mails contain injected instructions. Switch defensive layers on and off to see which attacks still succeed, which legitimate e-mails are wrongly blocked and what each layer costs [1, 2, 6]. Link: https://utkukose.github.io/machine-ethics-ai-safety-NB-lecture/weeks/week-12/lab.html</w:t>
      </w:r>
    </w:p>
    <w:p>
      <w:pPr>
        <w:spacing w:after="140"/>
        <w:jc w:val="both"/>
      </w:pPr>
      <w:r>
        <w:t xml:space="preserve">Colab notebook: The notebook rebuilds the toy assistant in Python, evaluates all 64 combinations of six defensive layers and trains a small detector for injected instructions, whose performance is then tested on paraphrased and Turkish attacks [1, 2]. Link: https://colab.research.google.com/github/utkukose/machine-ethics-ai-safety-NB-lecture/blob/main/weeks/week-12/NB12_llm_security.ipynb</w:t>
      </w:r>
    </w:p>
    <w:p>
      <w:pPr>
        <w:pStyle w:val="Heading1"/>
      </w:pPr>
      <w:r>
        <w:t xml:space="preserve">Reflection prompts</w:t>
      </w:r>
    </w:p>
    <w:p>
      <w:pPr>
        <w:pStyle w:val="ListParagraph"/>
        <w:numPr>
          <w:ilvl w:val="0"/>
          <w:numId w:val="2"/>
        </w:numPr>
      </w:pPr>
      <w:r>
        <w:t xml:space="preserve">Map an LLM application you use or build to Figure 12.1. Which entry point is the least protected?</w:t>
      </w:r>
    </w:p>
    <w:p>
      <w:pPr>
        <w:pStyle w:val="ListParagraph"/>
        <w:numPr>
          <w:ilvl w:val="0"/>
          <w:numId w:val="2"/>
        </w:numPr>
      </w:pPr>
      <w:r>
        <w:t xml:space="preserve">Why did the detector fail on Turkish injections? What does that imply for systems deployed in multilingual settings?</w:t>
      </w:r>
    </w:p>
    <w:p>
      <w:pPr>
        <w:pStyle w:val="ListParagraph"/>
        <w:numPr>
          <w:ilvl w:val="0"/>
          <w:numId w:val="2"/>
        </w:numPr>
      </w:pPr>
      <w:r>
        <w:t xml:space="preserve">What is the difference between red teaming and a penetration test of ordinary software? Name one similarity and one difference.</w:t>
      </w:r>
    </w:p>
    <w:p>
      <w:pPr>
        <w:pStyle w:val="Heading1"/>
      </w:pPr>
      <w:r>
        <w:t xml:space="preserve">Weekly task and submission</w:t>
      </w:r>
    </w:p>
    <w:p>
      <w:pPr>
        <w:spacing w:after="140"/>
        <w:jc w:val="both"/>
      </w:pPr>
      <w:r>
        <w:t xml:space="preserve">Write a threat model and defence plan of about 500 words for an LLM application in your field that reads external content and can call at least one tool. Map the risks to the OWASP 2025 list, propose at least four defensive layers with their costs and describe a red-teaming procedure. Attach the notebook with both exercises completed.</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Greshake, K., Abdelnabi, S., Mishra, S., Endres, C., Holz, T., &amp; Fritz, M. (2023). Not what you've signed up for: Compromising real-world LLM-integrated applications with indirect prompt injection. In Proceedings of the 16th ACM Workshop on Artificial Intelligence and Security (AISec '23) (pp. 79-90). ACM. https://arxiv.org/abs/2302.12173</w:t>
      </w:r>
    </w:p>
    <w:p>
      <w:pPr>
        <w:spacing w:after="100"/>
        <w:ind w:left="567" w:hanging="567"/>
      </w:pPr>
      <w:r>
        <w:rPr>
          <w:sz w:val="21"/>
          <w:szCs w:val="21"/>
        </w:rPr>
        <w:t xml:space="preserve">[2] OWASP GenAI Security Project (2024). OWASP Top 10 for LLM Applications 2025 (version 2025, released 18 November 2024). OWASP Foundation. https://genai.owasp.org/</w:t>
      </w:r>
    </w:p>
    <w:p>
      <w:pPr>
        <w:spacing w:after="100"/>
        <w:ind w:left="567" w:hanging="567"/>
      </w:pPr>
      <w:r>
        <w:rPr>
          <w:sz w:val="21"/>
          <w:szCs w:val="21"/>
        </w:rPr>
        <w:t xml:space="preserve">[3] Perez, E., Huang, S., Song, F., Cai, T., Ring, R., Aslanides, J., Glaese, A., McAleese, N., &amp; Irving, G. (2022). Red teaming language models with language models. In Proceedings of the 2022 Conference on Empirical Methods in Natural Language Processing (pp. 3419-3448). Association for Computational Linguistics. https://arxiv.org/abs/2202.03286</w:t>
      </w:r>
    </w:p>
    <w:p>
      <w:pPr>
        <w:spacing w:after="100"/>
        <w:ind w:left="567" w:hanging="567"/>
      </w:pPr>
      <w:r>
        <w:rPr>
          <w:sz w:val="21"/>
          <w:szCs w:val="21"/>
        </w:rPr>
        <w:t xml:space="preserve">[4] Perez, F., &amp; Ribeiro, I. (2022). Ignore previous prompt: Attack techniques for language models. arXiv preprint arXiv:2211.09527. https://arxiv.org/abs/2211.09527</w:t>
      </w:r>
    </w:p>
    <w:p>
      <w:pPr>
        <w:spacing w:after="100"/>
        <w:ind w:left="567" w:hanging="567"/>
      </w:pPr>
      <w:r>
        <w:rPr>
          <w:sz w:val="21"/>
          <w:szCs w:val="21"/>
        </w:rPr>
        <w:t xml:space="preserve">[5] Kose, U., Cankaya, S. F., &amp; Deperlioglu, O. (2017). Cyber wars under the shadow of artificial intelligence: A future perspective. International Journal of Engineering Science and Application, 2(2), 71-76.</w:t>
      </w:r>
    </w:p>
    <w:p>
      <w:pPr>
        <w:spacing w:after="100"/>
        <w:ind w:left="567" w:hanging="567"/>
      </w:pPr>
      <w:r>
        <w:rPr>
          <w:sz w:val="21"/>
          <w:szCs w:val="21"/>
        </w:rPr>
        <w:t xml:space="preserve">[6] Wei, A., Haghtalab, N., &amp; Steinhardt, J. (2023). Jailbroken: How does LLM safety training fail?. In Advances in Neural Information Processing Systems 36. https://arxiv.org/abs/2307.02483</w:t>
      </w:r>
    </w:p>
    <w:p>
      <w:pPr>
        <w:spacing w:after="100"/>
        <w:ind w:left="567" w:hanging="567"/>
      </w:pPr>
      <w:r>
        <w:rPr>
          <w:sz w:val="21"/>
          <w:szCs w:val="21"/>
        </w:rPr>
        <w:t xml:space="preserve">[7] Zou, A., Wang, Z., Carlini, N., Nasr, M., Kolter, J. Z., &amp; Fredrikson, M. (2023). Universal and transferable adversarial attacks on aligned language models. arXiv preprint arXiv:2307.15043. https://arxiv.org/abs/2307.15043</w:t>
      </w:r>
    </w:p>
    <w:p>
      <w:pPr>
        <w:spacing w:after="100"/>
        <w:ind w:left="567" w:hanging="567"/>
      </w:pPr>
      <w:r>
        <w:rPr>
          <w:sz w:val="21"/>
          <w:szCs w:val="21"/>
        </w:rPr>
        <w:t xml:space="preserve">[8] Carlini, N., Tramèr, F., Wallace, E., et al. (2021). Extracting training data from large language models. In 30th USENIX Security Symposium (pp. 2633-2650).</w:t>
      </w:r>
    </w:p>
    <w:p>
      <w:pPr>
        <w:spacing w:after="100"/>
        <w:ind w:left="567" w:hanging="567"/>
      </w:pPr>
      <w:r>
        <w:rPr>
          <w:sz w:val="21"/>
          <w:szCs w:val="21"/>
        </w:rPr>
        <w:t xml:space="preserve">[9] Shokri, R., Stronati, M., Song, C., &amp; Shmatikov, V. (2017). Membership inference attacks against machine learning models. In 2017 IEEE Symposium on Security and Privacy (SP) (pp. 3-18). IEEE. https://doi.org/10.1109/SP.2017.41</w:t>
      </w:r>
    </w:p>
    <w:p>
      <w:pPr>
        <w:spacing w:after="100"/>
        <w:ind w:left="567" w:hanging="567"/>
      </w:pPr>
      <w:r>
        <w:rPr>
          <w:sz w:val="21"/>
          <w:szCs w:val="21"/>
        </w:rPr>
        <w:t xml:space="preserve">[10] Ganguli, D., Lovitt, L., Kernion, J., et al. (2022). Red teaming language models to reduce harms: Methods, scaling behaviors, and lessons learned. arXiv preprint arXiv:2209.07858. https://arxiv.org/abs/2209.07858</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038ddd4e72bf5f5c9d70a41896cf0eb82d4c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12</dc:title>
  <dc:creator>Utku Kose</dc:creator>
  <dc:description>Lecture notes</dc:description>
  <cp:lastModifiedBy>Un-named</cp:lastModifiedBy>
  <cp:revision>1</cp:revision>
  <dcterms:created xsi:type="dcterms:W3CDTF">2026-09-26T15:06:55.363Z</dcterms:created>
  <dcterms:modified xsi:type="dcterms:W3CDTF">2026-09-26T15:06:55.363Z</dcterms:modified>
</cp:coreProperties>
</file>

<file path=docProps/custom.xml><?xml version="1.0" encoding="utf-8"?>
<Properties xmlns="http://schemas.openxmlformats.org/officeDocument/2006/custom-properties" xmlns:vt="http://schemas.openxmlformats.org/officeDocument/2006/docPropsVTypes"/>
</file>