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Preload Strategy.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Mettre en place une stratégie de chargement qui permet de charger les modules en lazy 5 seconds après le chargement de l’accueil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Chargement des produits dans un resolver.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Custom Event</w:t>
      </w:r>
    </w:p>
    <w:p>
      <w:pPr/>
      <w:r>
        <w:rPr>
          <w:rFonts w:ascii="Helvetica" w:hAnsi="Helvetica" w:cs="Helvetica"/>
          <w:sz w:val="24"/>
          <w:sz-cs w:val="24"/>
        </w:rPr>
        <w:t xml:space="preserve">Créer une directive qui permet de démarrer un click uniquement une seule fois.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