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Regles de remise</w:t>
      </w:r>
    </w:p>
    <w:p>
      <w:pPr>
        <w:jc w:val="center"/>
      </w:pPr>
      <w:r>
        <w:rPr>
          <w:i/>
          <w:color w:val="1F4E79"/>
          <w:sz w:val="22"/>
        </w:rPr>
        <w:t>Version 2.4 - applicable au 1er septembre 2026</w:t>
      </w:r>
    </w:p>
    <w:p>
      <w:r>
        <w:t>Proprietaire : Direction commerciale. Statut : approuvee, validee en comite tarifaire du 28 aout 2026.</w:t>
      </w:r>
    </w:p>
    <w:p>
      <w:pPr>
        <w:pStyle w:val="Heading1"/>
      </w:pPr>
      <w:r>
        <w:t>1. Principe general</w:t>
      </w:r>
    </w:p>
    <w:p>
      <w:r>
        <w:t>Une commande ne beneficie que d'une seule remise : la plus avantageuse pour le client parmi celles auxquelles il a droit. Les remises ne se cumulent jamais entre elles, sans exception.</w:t>
      </w:r>
    </w:p>
    <w:p>
      <w:r>
        <w:t>Cette regle de non-cumul est absolue. Toute demande de derogation releve du comite tarifaire et fait l'objet d'un avenant.</w:t>
      </w:r>
    </w:p>
    <w:p>
      <w:pPr>
        <w:pStyle w:val="Heading1"/>
      </w:pPr>
      <w:r>
        <w:t>2. Bareme de remise par volume</w:t>
      </w:r>
    </w:p>
    <w:p>
      <w:r>
        <w:t>Calcule sur le montant HT des articles, frais de port exclus.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Montant HT des articles</w:t>
            </w:r>
          </w:p>
        </w:tc>
        <w:tc>
          <w:tcPr>
            <w:tcW w:type="dxa" w:w="4320"/>
          </w:tcPr>
          <w:p>
            <w:r>
              <w:t>Taux de remise</w:t>
            </w:r>
          </w:p>
        </w:tc>
      </w:tr>
      <w:tr>
        <w:tc>
          <w:tcPr>
            <w:tcW w:type="dxa" w:w="4320"/>
          </w:tcPr>
          <w:p>
            <w:r>
              <w:t>Inferieur a 1 000 EUR</w:t>
            </w:r>
          </w:p>
        </w:tc>
        <w:tc>
          <w:tcPr>
            <w:tcW w:type="dxa" w:w="4320"/>
          </w:tcPr>
          <w:p>
            <w:r>
              <w:t>0 %</w:t>
            </w:r>
          </w:p>
        </w:tc>
      </w:tr>
      <w:tr>
        <w:tc>
          <w:tcPr>
            <w:tcW w:type="dxa" w:w="4320"/>
          </w:tcPr>
          <w:p>
            <w:r>
              <w:t>De 1 000 EUR inclus a 5 000 EUR exclu</w:t>
            </w:r>
          </w:p>
        </w:tc>
        <w:tc>
          <w:tcPr>
            <w:tcW w:type="dxa" w:w="4320"/>
          </w:tcPr>
          <w:p>
            <w:r>
              <w:t>3 %</w:t>
            </w:r>
          </w:p>
        </w:tc>
      </w:tr>
      <w:tr>
        <w:tc>
          <w:tcPr>
            <w:tcW w:type="dxa" w:w="4320"/>
          </w:tcPr>
          <w:p>
            <w:r>
              <w:t>De 5 000 EUR inclus a 20 000 EUR exclu</w:t>
            </w:r>
          </w:p>
        </w:tc>
        <w:tc>
          <w:tcPr>
            <w:tcW w:type="dxa" w:w="4320"/>
          </w:tcPr>
          <w:p>
            <w:r>
              <w:t>6 %</w:t>
            </w:r>
          </w:p>
        </w:tc>
      </w:tr>
      <w:tr>
        <w:tc>
          <w:tcPr>
            <w:tcW w:type="dxa" w:w="4320"/>
          </w:tcPr>
          <w:p>
            <w:r>
              <w:t>A partir de 20 000 EUR inclus</w:t>
            </w:r>
          </w:p>
        </w:tc>
        <w:tc>
          <w:tcPr>
            <w:tcW w:type="dxa" w:w="4320"/>
          </w:tcPr>
          <w:p>
            <w:r>
              <w:t>9 %</w:t>
            </w:r>
          </w:p>
        </w:tc>
      </w:tr>
    </w:tbl>
    <w:p/>
    <w:p>
      <w:r>
        <w:t>Bonus de categorie, ajoute au taux du palier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Categorie</w:t>
            </w:r>
          </w:p>
        </w:tc>
        <w:tc>
          <w:tcPr>
            <w:tcW w:type="dxa" w:w="4320"/>
          </w:tcPr>
          <w:p>
            <w:r>
              <w:t>Bonus</w:t>
            </w:r>
          </w:p>
        </w:tc>
      </w:tr>
      <w:tr>
        <w:tc>
          <w:tcPr>
            <w:tcW w:type="dxa" w:w="4320"/>
          </w:tcPr>
          <w:p>
            <w:r>
              <w:t>Standard</w:t>
            </w:r>
          </w:p>
        </w:tc>
        <w:tc>
          <w:tcPr>
            <w:tcW w:type="dxa" w:w="4320"/>
          </w:tcPr>
          <w:p>
            <w:r>
              <w:t>0 point</w:t>
            </w:r>
          </w:p>
        </w:tc>
      </w:tr>
      <w:tr>
        <w:tc>
          <w:tcPr>
            <w:tcW w:type="dxa" w:w="4320"/>
          </w:tcPr>
          <w:p>
            <w:r>
              <w:t>Privilege</w:t>
            </w:r>
          </w:p>
        </w:tc>
        <w:tc>
          <w:tcPr>
            <w:tcW w:type="dxa" w:w="4320"/>
          </w:tcPr>
          <w:p>
            <w:r>
              <w:t>2 points de pourcentage</w:t>
            </w:r>
          </w:p>
        </w:tc>
      </w:tr>
      <w:tr>
        <w:tc>
          <w:tcPr>
            <w:tcW w:type="dxa" w:w="4320"/>
          </w:tcPr>
          <w:p>
            <w:r>
              <w:t>Grand compte</w:t>
            </w:r>
          </w:p>
        </w:tc>
        <w:tc>
          <w:tcPr>
            <w:tcW w:type="dxa" w:w="4320"/>
          </w:tcPr>
          <w:p>
            <w:r>
              <w:t>4 points de pourcentage</w:t>
            </w:r>
          </w:p>
        </w:tc>
      </w:tr>
    </w:tbl>
    <w:p>
      <w:pPr>
        <w:pStyle w:val="Heading1"/>
      </w:pPr>
      <w:r>
        <w:t>3. Plafond de remise</w:t>
      </w:r>
    </w:p>
    <w:p>
      <w:r>
        <w:rPr>
          <w:b/>
        </w:rPr>
        <w:t>Le taux de remise total ne depasse en aucun cas 15 %.</w:t>
      </w:r>
    </w:p>
    <w:p>
      <w:r>
        <w:t>Toute remise superieure a 15 % est interdite au niveau applicatif : elle doit etre rejetee par le calculateur, et non pas simplement signalee.</w:t>
      </w:r>
    </w:p>
    <w:p>
      <w:r>
        <w:t>Un depassement ne peut etre autorise que par une validation explicite du directeur commercial, saisie dans l'outil et horodatee. Cette validation est nominative : elle ne peut etre deleguee ni au responsable commercial, ni a l'administration des ventes.</w:t>
      </w:r>
    </w:p>
    <w:p>
      <w:pPr>
        <w:pStyle w:val="Heading1"/>
      </w:pPr>
      <w:r>
        <w:t>4. Seuils de delegation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Taux de remise demande</w:t>
            </w:r>
          </w:p>
        </w:tc>
        <w:tc>
          <w:tcPr>
            <w:tcW w:type="dxa" w:w="4320"/>
          </w:tcPr>
          <w:p>
            <w:r>
              <w:t>Qui valide</w:t>
            </w:r>
          </w:p>
        </w:tc>
      </w:tr>
      <w:tr>
        <w:tc>
          <w:tcPr>
            <w:tcW w:type="dxa" w:w="4320"/>
          </w:tcPr>
          <w:p>
            <w:r>
              <w:t>Jusqu'a 8 %</w:t>
            </w:r>
          </w:p>
        </w:tc>
        <w:tc>
          <w:tcPr>
            <w:tcW w:type="dxa" w:w="4320"/>
          </w:tcPr>
          <w:p>
            <w:r>
              <w:t>Aucune validation, application automatique</w:t>
            </w:r>
          </w:p>
        </w:tc>
      </w:tr>
      <w:tr>
        <w:tc>
          <w:tcPr>
            <w:tcW w:type="dxa" w:w="4320"/>
          </w:tcPr>
          <w:p>
            <w:r>
              <w:t>Plus de 8 % et jusqu'a 12 %</w:t>
            </w:r>
          </w:p>
        </w:tc>
        <w:tc>
          <w:tcPr>
            <w:tcW w:type="dxa" w:w="4320"/>
          </w:tcPr>
          <w:p>
            <w:r>
              <w:t>Responsable commercial</w:t>
            </w:r>
          </w:p>
        </w:tc>
      </w:tr>
      <w:tr>
        <w:tc>
          <w:tcPr>
            <w:tcW w:type="dxa" w:w="4320"/>
          </w:tcPr>
          <w:p>
            <w:r>
              <w:t>Plus de 12 % et jusqu'a 15 %</w:t>
            </w:r>
          </w:p>
        </w:tc>
        <w:tc>
          <w:tcPr>
            <w:tcW w:type="dxa" w:w="4320"/>
          </w:tcPr>
          <w:p>
            <w:r>
              <w:t>Directeur commercial</w:t>
            </w:r>
          </w:p>
        </w:tc>
      </w:tr>
      <w:tr>
        <w:tc>
          <w:tcPr>
            <w:tcW w:type="dxa" w:w="4320"/>
          </w:tcPr>
          <w:p>
            <w:r>
              <w:t>Plus de 15 %</w:t>
            </w:r>
          </w:p>
        </w:tc>
        <w:tc>
          <w:tcPr>
            <w:tcW w:type="dxa" w:w="4320"/>
          </w:tcPr>
          <w:p>
            <w:r>
              <w:t>Interdit (voir section 3)</w:t>
            </w:r>
          </w:p>
        </w:tc>
      </w:tr>
    </w:tbl>
    <w:p/>
    <w:p>
      <w:r>
        <w:t>Delai de reponse attendu du validateur : 48 heures ouvrees. Sans reponse au terme de ce delai, la demande est refusee et le commercial en est informe. Il n'existe pas de validation tacite.</w:t>
      </w:r>
    </w:p>
    <w:p>
      <w:pPr>
        <w:pStyle w:val="Heading1"/>
      </w:pPr>
      <w:r>
        <w:t>5. Remises contractuelles des grands comptes</w:t>
      </w:r>
    </w:p>
    <w:p>
      <w:pPr>
        <w:pStyle w:val="ListBullet"/>
      </w:pPr>
      <w:r>
        <w:t>Le taux contractuel est la reference : il remplace le bareme par volume, il ne s'y ajoute pas.</w:t>
      </w:r>
    </w:p>
    <w:p>
      <w:pPr>
        <w:pStyle w:val="ListBullet"/>
      </w:pPr>
      <w:r>
        <w:t>Si le bareme par volume est plus avantageux que le taux contractuel sur une commande donnee, c'est le bareme qui s'applique.</w:t>
      </w:r>
    </w:p>
    <w:p>
      <w:pPr>
        <w:pStyle w:val="ListBullet"/>
      </w:pPr>
      <w:r>
        <w:t>Le taux contractuel reste lui aussi soumis au plafond de 15 %.</w:t>
      </w:r>
    </w:p>
    <w:p>
      <w:pPr>
        <w:pStyle w:val="ListBullet"/>
      </w:pPr>
      <w:r>
        <w:t>La source de verite du taux contractuel est l'application, et non le fichier Excel du service commercial, dont l'usage est proscrit depuis le 1er septembre 2026.</w:t>
      </w:r>
    </w:p>
    <w:p>
      <w:pPr>
        <w:pStyle w:val="Heading1"/>
      </w:pPr>
      <w:r>
        <w:t>6. Remise de premiere commande</w:t>
      </w:r>
    </w:p>
    <w:p>
      <w:r>
        <w:t>Un nouveau client professionnel beneficie de 5 % sur sa premiere commande, valable 30 jours a compter de la validation de son compte.</w:t>
      </w:r>
    </w:p>
    <w:p>
      <w:pPr>
        <w:pStyle w:val="ListBullet"/>
      </w:pPr>
      <w:r>
        <w:t>Non cumulable, conformement a la section 1.</w:t>
      </w:r>
    </w:p>
    <w:p>
      <w:pPr>
        <w:pStyle w:val="ListBullet"/>
      </w:pPr>
      <w:r>
        <w:t>Une seule fois par entite juridique, identifiee par son numero SIREN. Deux comptes partageant le meme SIREN n'ouvrent pas deux droits.</w:t>
      </w:r>
    </w:p>
    <w:p>
      <w:pPr>
        <w:pStyle w:val="ListBullet"/>
      </w:pPr>
      <w:r>
        <w:t>Ne s'applique pas aux clients revenant apres une periode d'inactivite.</w:t>
      </w:r>
    </w:p>
    <w:p>
      <w:pPr>
        <w:pStyle w:val="Heading1"/>
      </w:pPr>
      <w:r>
        <w:t>7. Gestes commerciaux exceptionnels</w:t>
      </w:r>
    </w:p>
    <w:p>
      <w:pPr>
        <w:pStyle w:val="ListBullet"/>
      </w:pPr>
      <w:r>
        <w:t>Motif obligatoire, texte libre de 20 caracteres minimum.</w:t>
      </w:r>
    </w:p>
    <w:p>
      <w:pPr>
        <w:pStyle w:val="ListBullet"/>
      </w:pPr>
      <w:r>
        <w:t>Soumis aux seuils de delegation de la section 4 et au plafond de 15 %.</w:t>
      </w:r>
    </w:p>
    <w:p>
      <w:pPr>
        <w:pStyle w:val="ListBullet"/>
      </w:pPr>
      <w:r>
        <w:t>Trace nominativement : demandeur, validateur, motif, horodatage.</w:t>
      </w:r>
    </w:p>
    <w:p>
      <w:pPr>
        <w:pStyle w:val="ListBullet"/>
      </w:pPr>
      <w:r>
        <w:t>Volume surveille : le controle de gestion recoit un etat mensuel.</w:t>
      </w:r>
    </w:p>
    <w:p>
      <w:pPr>
        <w:pStyle w:val="Heading1"/>
      </w:pPr>
      <w:r>
        <w:t>8. Ce que les regles ne couvrent pas</w:t>
      </w:r>
    </w:p>
    <w:p>
      <w:r>
        <w:t>La consolidation du volume entre plusieurs sites d'un meme groupe n'est pas prevue a ce jour. Chaque entite facturee est traitee independamment.</w:t>
      </w:r>
    </w:p>
    <w:p>
      <w:r>
        <w:t>Les remises sur recurrence de commande n'existent pas dans le bareme en vigueur. Aucun taux, aucune periodicite n'a ete arrete.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Regles de remise - version 2.4</dc:title>
  <dc:subject/>
  <dc:creator>Direction commerciale NovaTech Industries</dc:creator>
  <cp:keywords/>
  <dc:description>Document de travail. Contient les arbitrages du comite tarifaire du 28 aout 2026, y compris ceux non retenus.</dc:description>
  <cp:lastModifiedBy/>
  <cp:revision>1</cp:revision>
  <dcterms:created xsi:type="dcterms:W3CDTF">2013-12-23T23:15:00Z</dcterms:created>
  <dcterms:modified xsi:type="dcterms:W3CDTF">2013-12-23T23:15:00Z</dcterms:modified>
  <cp:category>Interne - diffusion restreinte</cp:category>
</cp:coreProperties>
</file>