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ARTHÉMIS 근거 검증 및 365 Challenge 심사 대응 보고서</w:t>
      </w:r>
    </w:p>
    <w:p>
      <w:r>
        <w:rPr>
          <w:b/>
        </w:rPr>
        <w:t xml:space="preserve">문서 상태: </w:t>
      </w:r>
      <w:r>
        <w:t>근거 제한형 제출 준비 초안 · 2026-10-19</w:t>
      </w:r>
    </w:p>
    <w:p>
      <w:r>
        <w:t>검토 기준: 제공된 논문 「ARTHÉMIS: 맥락 분리형 장기 취향 메모리를 갖춘 대화형 아트 큐레이션 에이전트 — 설계와 통제 평가 프로토콜」 및 ARTHÉMIS 통합 마스터 에디션(2026-09-23), 사용자가 제공한 365 Challenge 공식 심사 기준표 이미지.</w:t>
      </w:r>
    </w:p>
    <w:p>
      <w:pPr>
        <w:pStyle w:val="Heading1"/>
      </w:pPr>
      <w:r>
        <w:t>1. 핵심 결론</w:t>
      </w:r>
    </w:p>
    <w:p>
      <w:pPr>
        <w:pStyle w:val="ListBullet"/>
      </w:pPr>
      <w:r>
        <w:t>원문은 설계·통제 평가 프로토콜을 중심으로 한 중간 논문 통합본이며, 본문에 실험 결과표가 공란으로 남아 있고 수치 목표는 계획값이라고 명시한다.</w:t>
      </w:r>
    </w:p>
    <w:p>
      <w:pPr>
        <w:pStyle w:val="ListBullet"/>
      </w:pPr>
      <w:r>
        <w:t>따라서 H1/H2의 통계적 유의성, CR@10 개선량, NDCG@10 향상량, UCR 0% 달성, 사용자 테스트 완료, fresh-clone 재현성 성공은 현재 자료만으로 주장할 수 없다.</w:t>
      </w:r>
    </w:p>
    <w:p>
      <w:pPr>
        <w:pStyle w:val="ListBullet"/>
      </w:pPr>
      <w:r>
        <w:t>설계 명세의 구체성은 구현 완료 증거와 다르다. 실행 화면, 테스트 로그, 오류 처리 결과, 지연시간·비용 측정, 기관·사용자 파일럿 자료를 별도 확보해야 한다.</w:t>
      </w:r>
    </w:p>
    <w:p>
      <w:pPr>
        <w:pStyle w:val="ListBullet"/>
      </w:pPr>
      <w:r>
        <w:t>공식 배점은 기술적 완성도 25, 창의성 및 혁신성 20, 문제 정의 및 해결 능력 20, 비즈니스 가치 및 실용성 20, 발표 및 질의응답 15로 총 100점이다.</w:t>
      </w:r>
    </w:p>
    <w:p>
      <w:pPr>
        <w:pStyle w:val="Heading1"/>
      </w:pPr>
      <w:r>
        <w:t>2. 근거 상태 매트릭스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항목</w:t>
            </w:r>
          </w:p>
        </w:tc>
        <w:tc>
          <w:tcPr>
            <w:tcW w:type="dxa" w:w="2160"/>
          </w:tcPr>
          <w:p>
            <w:r>
              <w:t>원문에서 확인되는 내용</w:t>
            </w:r>
          </w:p>
        </w:tc>
        <w:tc>
          <w:tcPr>
            <w:tcW w:type="dxa" w:w="2160"/>
          </w:tcPr>
          <w:p>
            <w:r>
              <w:t>현재 상태</w:t>
            </w:r>
          </w:p>
        </w:tc>
        <w:tc>
          <w:tcPr>
            <w:tcW w:type="dxa" w:w="2160"/>
          </w:tcPr>
          <w:p>
            <w:r>
              <w:t>발표 시 표현</w:t>
            </w:r>
          </w:p>
        </w:tc>
      </w:tr>
      <w:tr>
        <w:tc>
          <w:tcPr>
            <w:tcW w:type="dxa" w:w="2160"/>
          </w:tcPr>
          <w:p>
            <w:r>
              <w:t>아키텍처</w:t>
            </w:r>
          </w:p>
        </w:tc>
        <w:tc>
          <w:tcPr>
            <w:tcW w:type="dxa" w:w="2160"/>
          </w:tcPr>
          <w:p>
            <w:r>
              <w:t>오케스트레이터, Agent A/Agent B, Context Router, 검색·그라운딩 흐름</w:t>
            </w:r>
          </w:p>
        </w:tc>
        <w:tc>
          <w:tcPr>
            <w:tcW w:type="dxa" w:w="2160"/>
          </w:tcPr>
          <w:p>
            <w:r>
              <w:t>설계 명세</w:t>
            </w:r>
          </w:p>
        </w:tc>
        <w:tc>
          <w:tcPr>
            <w:tcW w:type="dxa" w:w="2160"/>
          </w:tcPr>
          <w:p>
            <w:r>
              <w:t>“제안·설계했다”; 구현 완료는 별도 입증</w:t>
            </w:r>
          </w:p>
        </w:tc>
      </w:tr>
      <w:tr>
        <w:tc>
          <w:tcPr>
            <w:tcW w:type="dxa" w:w="2160"/>
          </w:tcPr>
          <w:p>
            <w:r>
              <w:t>취향 메모리</w:t>
            </w:r>
          </w:p>
        </w:tc>
        <w:tc>
          <w:tcPr>
            <w:tcW w:type="dxa" w:w="2160"/>
          </w:tcPr>
          <w:p>
            <w:r>
              <w:t>Session Node → Taste Cluster → Context Router; MERGE/GENESIS/SUPPRESS</w:t>
            </w:r>
          </w:p>
        </w:tc>
        <w:tc>
          <w:tcPr>
            <w:tcW w:type="dxa" w:w="2160"/>
          </w:tcPr>
          <w:p>
            <w:r>
              <w:t>설계 명세</w:t>
            </w:r>
          </w:p>
        </w:tc>
        <w:tc>
          <w:tcPr>
            <w:tcW w:type="dxa" w:w="2160"/>
          </w:tcPr>
          <w:p>
            <w:r>
              <w:t>알고리즘과 임계값 확정 여부를 구분</w:t>
            </w:r>
          </w:p>
        </w:tc>
      </w:tr>
      <w:tr>
        <w:tc>
          <w:tcPr>
            <w:tcW w:type="dxa" w:w="2160"/>
          </w:tcPr>
          <w:p>
            <w:r>
              <w:t>검색</w:t>
            </w:r>
          </w:p>
        </w:tc>
        <w:tc>
          <w:tcPr>
            <w:tcW w:type="dxa" w:w="2160"/>
          </w:tcPr>
          <w:p>
            <w:r>
              <w:t>Dense/FAISS + Sparse/BM25 + RRF(κ=60)</w:t>
            </w:r>
          </w:p>
        </w:tc>
        <w:tc>
          <w:tcPr>
            <w:tcW w:type="dxa" w:w="2160"/>
          </w:tcPr>
          <w:p>
            <w:r>
              <w:t>설계 명세</w:t>
            </w:r>
          </w:p>
        </w:tc>
        <w:tc>
          <w:tcPr>
            <w:tcW w:type="dxa" w:w="2160"/>
          </w:tcPr>
          <w:p>
            <w:r>
              <w:t>검색 품질·지연은 실측 전</w:t>
            </w:r>
          </w:p>
        </w:tc>
      </w:tr>
      <w:tr>
        <w:tc>
          <w:tcPr>
            <w:tcW w:type="dxa" w:w="2160"/>
          </w:tcPr>
          <w:p>
            <w:r>
              <w:t>평가 조건</w:t>
            </w:r>
          </w:p>
        </w:tc>
        <w:tc>
          <w:tcPr>
            <w:tcW w:type="dxa" w:w="2160"/>
          </w:tcPr>
          <w:p>
            <w:r>
              <w:t>B1/B2/B4 및 B4-U 감사 조건, 고정 스크립트 비교</w:t>
            </w:r>
          </w:p>
        </w:tc>
        <w:tc>
          <w:tcPr>
            <w:tcW w:type="dxa" w:w="2160"/>
          </w:tcPr>
          <w:p>
            <w:r>
              <w:t>프로토콜 명세</w:t>
            </w:r>
          </w:p>
        </w:tc>
        <w:tc>
          <w:tcPr>
            <w:tcW w:type="dxa" w:w="2160"/>
          </w:tcPr>
          <w:p>
            <w:r>
              <w:t>실행 여부·표본 수는 별도 증거 필요</w:t>
            </w:r>
          </w:p>
        </w:tc>
      </w:tr>
      <w:tr>
        <w:tc>
          <w:tcPr>
            <w:tcW w:type="dxa" w:w="2160"/>
          </w:tcPr>
          <w:p>
            <w:r>
              <w:t>H1/H2</w:t>
            </w:r>
          </w:p>
        </w:tc>
        <w:tc>
          <w:tcPr>
            <w:tcW w:type="dxa" w:w="2160"/>
          </w:tcPr>
          <w:p>
            <w:r>
              <w:t>CR@10, NDCG@10 가설과 결과 보고 양식</w:t>
            </w:r>
          </w:p>
        </w:tc>
        <w:tc>
          <w:tcPr>
            <w:tcW w:type="dxa" w:w="2160"/>
          </w:tcPr>
          <w:p>
            <w:r>
              <w:t>TO-MEASURE</w:t>
            </w:r>
          </w:p>
        </w:tc>
        <w:tc>
          <w:tcPr>
            <w:tcW w:type="dxa" w:w="2160"/>
          </w:tcPr>
          <w:p>
            <w:r>
              <w:t>효과·유의성 주장 금지</w:t>
            </w:r>
          </w:p>
        </w:tc>
      </w:tr>
      <w:tr>
        <w:tc>
          <w:tcPr>
            <w:tcW w:type="dxa" w:w="2160"/>
          </w:tcPr>
          <w:p>
            <w:r>
              <w:t>UCR/VCC</w:t>
            </w:r>
          </w:p>
        </w:tc>
        <w:tc>
          <w:tcPr>
            <w:tcW w:type="dxa" w:w="2160"/>
          </w:tcPr>
          <w:p>
            <w:r>
              <w:t>미검증 방문 주장률과 검증 주장 포괄률 정의</w:t>
            </w:r>
          </w:p>
        </w:tc>
        <w:tc>
          <w:tcPr>
            <w:tcW w:type="dxa" w:w="2160"/>
          </w:tcPr>
          <w:p>
            <w:r>
              <w:t>측정 지표 정의</w:t>
            </w:r>
          </w:p>
        </w:tc>
        <w:tc>
          <w:tcPr>
            <w:tcW w:type="dxa" w:w="2160"/>
          </w:tcPr>
          <w:p>
            <w:r>
              <w:t>UCR 0%는 실측 확인 전 주장 금지</w:t>
            </w:r>
          </w:p>
        </w:tc>
      </w:tr>
      <w:tr>
        <w:tc>
          <w:tcPr>
            <w:tcW w:type="dxa" w:w="2160"/>
          </w:tcPr>
          <w:p>
            <w:r>
              <w:t>평가자 신뢰도</w:t>
            </w:r>
          </w:p>
        </w:tc>
        <w:tc>
          <w:tcPr>
            <w:tcW w:type="dxa" w:w="2160"/>
          </w:tcPr>
          <w:p>
            <w:r>
              <w:t>2차 평가자 20% 독립 채점, Krippendorff α 목표 ≥0.67</w:t>
            </w:r>
          </w:p>
        </w:tc>
        <w:tc>
          <w:tcPr>
            <w:tcW w:type="dxa" w:w="2160"/>
          </w:tcPr>
          <w:p>
            <w:r>
              <w:t>계획값</w:t>
            </w:r>
          </w:p>
        </w:tc>
        <w:tc>
          <w:tcPr>
            <w:tcW w:type="dxa" w:w="2160"/>
          </w:tcPr>
          <w:p>
            <w:r>
              <w:t>실제 채점과 α 결과를 확인해야 함</w:t>
            </w:r>
          </w:p>
        </w:tc>
      </w:tr>
      <w:tr>
        <w:tc>
          <w:tcPr>
            <w:tcW w:type="dxa" w:w="2160"/>
          </w:tcPr>
          <w:p>
            <w:r>
              <w:t>재현성</w:t>
            </w:r>
          </w:p>
        </w:tc>
        <w:tc>
          <w:tcPr>
            <w:tcW w:type="dxa" w:w="2160"/>
          </w:tcPr>
          <w:p>
            <w:r>
              <w:t>prereg-v1, 해시·체크섬·실행 기록 요구</w:t>
            </w:r>
          </w:p>
        </w:tc>
        <w:tc>
          <w:tcPr>
            <w:tcW w:type="dxa" w:w="2160"/>
          </w:tcPr>
          <w:p>
            <w:r>
              <w:t>요구사항/계획</w:t>
            </w:r>
          </w:p>
        </w:tc>
        <w:tc>
          <w:tcPr>
            <w:tcW w:type="dxa" w:w="2160"/>
          </w:tcPr>
          <w:p>
            <w:r>
              <w:t>fresh clone 성공을 주장하려면 실행 로그 필요</w:t>
            </w:r>
          </w:p>
        </w:tc>
      </w:tr>
      <w:tr>
        <w:tc>
          <w:tcPr>
            <w:tcW w:type="dxa" w:w="2160"/>
          </w:tcPr>
          <w:p>
            <w:r>
              <w:t>사용자·시장 검증</w:t>
            </w:r>
          </w:p>
        </w:tc>
        <w:tc>
          <w:tcPr>
            <w:tcW w:type="dxa" w:w="2160"/>
          </w:tcPr>
          <w:p>
            <w:r>
              <w:t>사용자 테스트와 기관 도입 가설의 필요성</w:t>
            </w:r>
          </w:p>
        </w:tc>
        <w:tc>
          <w:tcPr>
            <w:tcW w:type="dxa" w:w="2160"/>
          </w:tcPr>
          <w:p>
            <w:r>
              <w:t>증거 미제공</w:t>
            </w:r>
          </w:p>
        </w:tc>
        <w:tc>
          <w:tcPr>
            <w:tcW w:type="dxa" w:w="2160"/>
          </w:tcPr>
          <w:p>
            <w:r>
              <w:t>시장성·사용자 만족은 검증 계획으로 표현</w:t>
            </w:r>
          </w:p>
        </w:tc>
      </w:tr>
      <w:tr>
        <w:tc>
          <w:tcPr>
            <w:tcW w:type="dxa" w:w="2160"/>
          </w:tcPr>
          <w:p>
            <w:r>
              <w:t>UI·성능</w:t>
            </w:r>
          </w:p>
        </w:tc>
        <w:tc>
          <w:tcPr>
            <w:tcW w:type="dxa" w:w="2160"/>
          </w:tcPr>
          <w:p>
            <w:r>
              <w:t>실행 화면, 예외 처리, 지연시간·비용</w:t>
            </w:r>
          </w:p>
        </w:tc>
        <w:tc>
          <w:tcPr>
            <w:tcW w:type="dxa" w:w="2160"/>
          </w:tcPr>
          <w:p>
            <w:r>
              <w:t>증거 미제공</w:t>
            </w:r>
          </w:p>
        </w:tc>
        <w:tc>
          <w:tcPr>
            <w:tcW w:type="dxa" w:w="2160"/>
          </w:tcPr>
          <w:p>
            <w:r>
              <w:t>시연과 측정치를 제출 전 확보</w:t>
            </w:r>
          </w:p>
        </w:tc>
      </w:tr>
    </w:tbl>
    <w:p>
      <w:pPr>
        <w:pStyle w:val="Heading1"/>
      </w:pPr>
      <w:r>
        <w:t>3. 공식 심사 기준과 제출 증거</w:t>
      </w:r>
    </w:p>
    <w:tbl>
      <w:tblPr>
        <w:tblStyle w:val="TableGrid"/>
        <w:tblW w:type="auto" w:w="0"/>
        <w:tblLook w:firstColumn="1" w:firstRow="1" w:lastColumn="0" w:lastRow="0" w:noHBand="0" w:noVBand="1" w:val="04A0"/>
      </w:tblPr>
      <w:tblGrid>
        <w:gridCol w:w="2880"/>
        <w:gridCol w:w="2880"/>
        <w:gridCol w:w="2880"/>
      </w:tblGrid>
      <w:tr>
        <w:tc>
          <w:tcPr>
            <w:tcW w:type="dxa" w:w="2880"/>
          </w:tcPr>
          <w:p>
            <w:r>
              <w:t>공식 영역</w:t>
            </w:r>
          </w:p>
        </w:tc>
        <w:tc>
          <w:tcPr>
            <w:tcW w:type="dxa" w:w="2880"/>
          </w:tcPr>
          <w:p>
            <w:r>
              <w:t>평가 포인트</w:t>
            </w:r>
          </w:p>
        </w:tc>
        <w:tc>
          <w:tcPr>
            <w:tcW w:type="dxa" w:w="2880"/>
          </w:tcPr>
          <w:p>
            <w:r>
              <w:t>권장 증거</w:t>
            </w:r>
          </w:p>
        </w:tc>
      </w:tr>
      <w:tr>
        <w:tc>
          <w:tcPr>
            <w:tcW w:type="dxa" w:w="2880"/>
          </w:tcPr>
          <w:p>
            <w:r>
              <w:t>1. 기술적 완성도 (25점)</w:t>
            </w:r>
          </w:p>
        </w:tc>
        <w:tc>
          <w:tcPr>
            <w:tcW w:type="dxa" w:w="2880"/>
          </w:tcPr>
          <w:p>
            <w:r>
              <w:t>아키텍처 안정성, 핵심 기능 구현, UI/UX, 버그·예외 처리, 성능</w:t>
            </w:r>
          </w:p>
        </w:tc>
        <w:tc>
          <w:tcPr>
            <w:tcW w:type="dxa" w:w="2880"/>
          </w:tcPr>
          <w:p>
            <w:r>
              <w:t>실행 가능한 데모, 통합·예외 테스트, 로그, p50/p95 지연시간, 비용</w:t>
            </w:r>
          </w:p>
        </w:tc>
      </w:tr>
      <w:tr>
        <w:tc>
          <w:tcPr>
            <w:tcW w:type="dxa" w:w="2880"/>
          </w:tcPr>
          <w:p>
            <w:r>
              <w:t>2. 창의성 및 혁신성 (20점)</w:t>
            </w:r>
          </w:p>
        </w:tc>
        <w:tc>
          <w:tcPr>
            <w:tcW w:type="dxa" w:w="2880"/>
          </w:tcPr>
          <w:p>
            <w:r>
              <w:t>서비스 차별성, 사용자 경험 혁신, AI 활용</w:t>
            </w:r>
          </w:p>
        </w:tc>
        <w:tc>
          <w:tcPr>
            <w:tcW w:type="dxa" w:w="2880"/>
          </w:tcPr>
          <w:p>
            <w:r>
              <w:t>동일 질의의 B1/B2/B4 예시, 맥락 전환 시나리오, 비교 사례</w:t>
            </w:r>
          </w:p>
        </w:tc>
      </w:tr>
      <w:tr>
        <w:tc>
          <w:tcPr>
            <w:tcW w:type="dxa" w:w="2880"/>
          </w:tcPr>
          <w:p>
            <w:r>
              <w:t>3. 문제 정의 및 해결 능력 (20점)</w:t>
            </w:r>
          </w:p>
        </w:tc>
        <w:tc>
          <w:tcPr>
            <w:tcW w:type="dxa" w:w="2880"/>
          </w:tcPr>
          <w:p>
            <w:r>
              <w:t>사용자 니즈, 시장 문제 분석, 구현 가능성</w:t>
            </w:r>
          </w:p>
        </w:tc>
        <w:tc>
          <w:tcPr>
            <w:tcW w:type="dxa" w:w="2880"/>
          </w:tcPr>
          <w:p>
            <w:r>
              <w:t>사용자 인터뷰/관찰 근거, 문제-해결-지표 연결, API·데이터 제약</w:t>
            </w:r>
          </w:p>
        </w:tc>
      </w:tr>
      <w:tr>
        <w:tc>
          <w:tcPr>
            <w:tcW w:type="dxa" w:w="2880"/>
          </w:tcPr>
          <w:p>
            <w:r>
              <w:t>4. 비즈니스 가치 및 실용성 (20점)</w:t>
            </w:r>
          </w:p>
        </w:tc>
        <w:tc>
          <w:tcPr>
            <w:tcW w:type="dxa" w:w="2880"/>
          </w:tcPr>
          <w:p>
            <w:r>
              <w:t>사용자 테스트, 시장 경쟁력, 지속 가능성</w:t>
            </w:r>
          </w:p>
        </w:tc>
        <w:tc>
          <w:tcPr>
            <w:tcW w:type="dxa" w:w="2880"/>
          </w:tcPr>
          <w:p>
            <w:r>
              <w:t>파일럿 결과, 기관 인터뷰, 비용·가격 가설, 운영·유지보수 계획</w:t>
            </w:r>
          </w:p>
        </w:tc>
      </w:tr>
      <w:tr>
        <w:tc>
          <w:tcPr>
            <w:tcW w:type="dxa" w:w="2880"/>
          </w:tcPr>
          <w:p>
            <w:r>
              <w:t>5. 발표 및 질의응답 (15점)</w:t>
            </w:r>
          </w:p>
        </w:tc>
        <w:tc>
          <w:tcPr>
            <w:tcW w:type="dxa" w:w="2880"/>
          </w:tcPr>
          <w:p>
            <w:r>
              <w:t>논리 구성, 제품 시연, 답변 적절성</w:t>
            </w:r>
          </w:p>
        </w:tc>
        <w:tc>
          <w:tcPr>
            <w:tcW w:type="dxa" w:w="2880"/>
          </w:tcPr>
          <w:p>
            <w:r>
              <w:t>15분 발표 리허설, 백업 영상, 20문항 Q&amp;A</w:t>
            </w:r>
          </w:p>
        </w:tc>
      </w:tr>
    </w:tbl>
    <w:p>
      <w:pPr>
        <w:pStyle w:val="Heading1"/>
      </w:pPr>
      <w:r>
        <w:t>4. 제출 전 Go/No-Go 체크리스트</w:t>
      </w:r>
    </w:p>
    <w:p>
      <w:r>
        <w:t>☐ 실험 사용자 수가 20명 이상인지 확인하고, 사용자 단위 개발/평가 분할을 문서화한다.</w:t>
      </w:r>
    </w:p>
    <w:p>
      <w:r>
        <w:t>☐ 가설·지표·임계값·분석 스크립트 해시를 본실험 전에 prereg-v1로 동결한다.</w:t>
      </w:r>
    </w:p>
    <w:p>
      <w:r>
        <w:t>☐ 코퍼스와 API 스냅샷 기준일, 체크섬, 모델 ID, 프롬프트 해시, 시드 및 커밋을 기록한다.</w:t>
      </w:r>
    </w:p>
    <w:p>
      <w:r>
        <w:t>☐ fresh clone에서 평가 명령을 실제 실행하고 종료 코드와 생성된 결과 파일을 보존한다.</w:t>
      </w:r>
    </w:p>
    <w:p>
      <w:r>
        <w:t>☐ 표 7의 모든 공란을 실측값으로 채우거나 '미측정'으로 명시한다. 개발 세트 결과는 탐색적으로 표기한다.</w:t>
      </w:r>
    </w:p>
    <w:p>
      <w:r>
        <w:t>☐ 사용자 테스트, 기관 인터뷰, UI 캡처, 오류 케이스, 응답 지연·비용을 수집한다.</w:t>
      </w:r>
    </w:p>
    <w:p>
      <w:r>
        <w:t>☐ 방문정보의 UCR과 VCC를 함께 보고하고, 검증된 필드가 없을 때 회피 응답이 발생하는지 감사한다.</w:t>
      </w:r>
    </w:p>
    <w:p>
      <w:r>
        <w:t>☐ 개인정보 최소 수집, 목적 제한, 보존기간, 열람·수정·삭제, 로그 내 원문 감정정보 최소화를 문서화한다.</w:t>
      </w:r>
    </w:p>
    <w:p>
      <w:r>
        <w:t>☐ 발표 리허설에서 15분 제한을 지키고, 시연 실패 대비 녹화본과 정적 캡처를 준비한다.</w:t>
      </w:r>
    </w:p>
    <w:p>
      <w:pPr>
        <w:pStyle w:val="Heading1"/>
      </w:pPr>
      <w:r>
        <w:t>5. 심사위원 예상 Q&amp;A 20문항</w:t>
      </w:r>
    </w:p>
    <w:p>
      <w:pPr>
        <w:pStyle w:val="Heading2"/>
      </w:pPr>
      <w:r>
        <w:t>Q1. 왜 실제 관람객 A/B 테스트 대신 고정 스크립트 시뮬레이션을 선택했나요?</w:t>
      </w:r>
    </w:p>
    <w:p>
      <w:r>
        <w:t>고정 스크립트는 대화 경로를 조건 간 동일하게 유지해 메모리 구조의 효과를 분리하려는 통제 목적입니다. 다만 이는 실제 관람객의 만족이나 현장 행동을 직접 입증하지 않으므로, 후속 사용자 파일럿으로 외적 타당성을 확인해야 합니다.</w:t>
      </w:r>
    </w:p>
    <w:p>
      <w:pPr>
        <w:pStyle w:val="Heading2"/>
      </w:pPr>
      <w:r>
        <w:t>Q2. H1과 H2가 검증되었다고 말할 수 있나요?</w:t>
      </w:r>
    </w:p>
    <w:p>
      <w:r>
        <w:t>현재 원문 표 7의 결과 칸은 공란이고 TO-MEASURE 상태입니다. 따라서 가설은 사전 정의된 검증 질문이며, 효과 방향이나 통계적 유의성을 주장할 수 없습니다. 실험 후 효과크기, 95% CI, Holm 보정 p값을 함께 보고하겠습니다.</w:t>
      </w:r>
    </w:p>
    <w:p>
      <w:pPr>
        <w:pStyle w:val="Heading2"/>
      </w:pPr>
      <w:r>
        <w:t>Q3. 전체 대화 이력보다 B4가 더 우수하다는 증거는 무엇인가요?</w:t>
      </w:r>
    </w:p>
    <w:p>
      <w:r>
        <w:t>B4의 우수성은 연구 가설이지 현재 확인된 결과가 아닙니다. B2와 B4의 CR@10 차이, NDCG@10 비열등성 가드, 신뢰구간과 효과크기를 측정해 판단하겠습니다.</w:t>
      </w:r>
    </w:p>
    <w:p>
      <w:pPr>
        <w:pStyle w:val="Heading2"/>
      </w:pPr>
      <w:r>
        <w:t>Q4. 취향 클러스터가 계속 늘어나면 메모리가 과부하되지 않나요?</w:t>
      </w:r>
    </w:p>
    <w:p>
      <w:r>
        <w:t>설계상 유사도 기반 MERGE, tentative 상태, 명시적 거부에 대한 SUPPRESS가 있습니다. 그러나 저장량 증가와 장기 운영 비용은 별도 측정이 필요합니다. 최대 클러스터 수, 만료·통합 정책, 사용자 수정·삭제 기능을 운영 규칙으로 확정해야 합니다.</w:t>
      </w:r>
    </w:p>
    <w:p>
      <w:pPr>
        <w:pStyle w:val="Heading2"/>
      </w:pPr>
      <w:r>
        <w:t>Q5. tentative가 active로 승격되는 기준은 무엇인가요?</w:t>
      </w:r>
    </w:p>
    <w:p>
      <w:r>
        <w:t>원문에 정의된 승격 조건과 임계값을 구현 전에 고정하고 민감도 분석을 해야 합니다. 실측이나 확정 설정을 확인하지 않은 상태에서는 특정 횟수나 임계값을 완료된 구현처럼 말하지 않겠습니다.</w:t>
      </w:r>
    </w:p>
    <w:p>
      <w:pPr>
        <w:pStyle w:val="Heading2"/>
      </w:pPr>
      <w:r>
        <w:t>Q6. 방문정보 환각을 어떻게 막나요?</w:t>
      </w:r>
    </w:p>
    <w:p>
      <w:r>
        <w:t>설계는 동결된 전시 스냅샷에서 확인된 필드만 슬롯 템플릿에 넣고, 근거가 없는 방문 주장을 검증기에서 제거하는 방식입니다. 실제 UCR은 테스트 코퍼스와 주장 단위 판정으로 측정해야 하며, 현재 0% 달성은 확인되지 않았습니다.</w:t>
      </w:r>
    </w:p>
    <w:p>
      <w:pPr>
        <w:pStyle w:val="Heading2"/>
      </w:pPr>
      <w:r>
        <w:t>Q7. UCR을 0%로 만들면 시스템이 아무 말도 하지 않는 방식으로 회피하지 않나요?</w:t>
      </w:r>
    </w:p>
    <w:p>
      <w:r>
        <w:t>그 위험 때문에 UCR과 함께 검증 가능한 필드 중 실제로 근거를 제시한 비율인 VCC를 보고하도록 설계했습니다. 두 지표와 응답 유용성을 함께 점검해야 합니다.</w:t>
      </w:r>
    </w:p>
    <w:p>
      <w:pPr>
        <w:pStyle w:val="Heading2"/>
      </w:pPr>
      <w:r>
        <w:t>Q8. 검색은 왜 Dense와 Sparse를 결합하나요?</w:t>
      </w:r>
    </w:p>
    <w:p>
      <w:r>
        <w:t>Dense 검색은 의미적 유사성을, Sparse 검색은 작품명·작가명·고유 용어 등 어휘 일치를 보완합니다. RRF는 순위 목록을 결합하는 명세입니다. 실제 결합 효과는 Dense 단독·Sparse 단독과의 비교 실험으로 확인해야 합니다.</w:t>
      </w:r>
    </w:p>
    <w:p>
      <w:pPr>
        <w:pStyle w:val="Heading2"/>
      </w:pPr>
      <w:r>
        <w:t>Q9. 왜 RRF의 κ를 60으로 정했나요?</w:t>
      </w:r>
    </w:p>
    <w:p>
      <w:r>
        <w:t>κ=60은 현재 설계 명세의 설정값입니다. 이 값이 최적이라고 주장하려면 개발 세트에서 사전 정의된 민감도 분석이 필요하고, 평가 세트에서 사후 조정하면 안 됩니다.</w:t>
      </w:r>
    </w:p>
    <w:p>
      <w:pPr>
        <w:pStyle w:val="Heading2"/>
      </w:pPr>
      <w:r>
        <w:t>Q10. 모델이나 프롬프트가 바뀌면 결과가 달라지지 않나요?</w:t>
      </w:r>
    </w:p>
    <w:p>
      <w:r>
        <w:t>그럴 수 있습니다. 모델 ID, 프롬프트 해시, 코퍼스·스냅샷 체크섬, 시드와 커밋을 기록하고, 조건 비교에서는 메모리 슬롯 외의 요소를 고정해야 합니다. 모델 변경 시에는 별도 버전의 평가로 취급해야 합니다.</w:t>
      </w:r>
    </w:p>
    <w:p>
      <w:pPr>
        <w:pStyle w:val="Heading2"/>
      </w:pPr>
      <w:r>
        <w:t>Q11. 통계 분석은 어떻게 계획되어 있나요?</w:t>
      </w:r>
    </w:p>
    <w:p>
      <w:r>
        <w:t>논문은 시뮬레이션 사용자 단위의 짝지은 차이, 사용자 단위 cluster paired bootstrap 10,000회와 95% CI, 효과크기 dz, sign-flip permutation, H1/H2에 대한 Holm 보정을 계획합니다. 실행 여부와 실제 값은 결과표로 확인해야 합니다.</w:t>
      </w:r>
    </w:p>
    <w:p>
      <w:pPr>
        <w:pStyle w:val="Heading2"/>
      </w:pPr>
      <w:r>
        <w:t>Q12. 평가 사용자 20명 기준은 충분한가요?</w:t>
      </w:r>
    </w:p>
    <w:p>
      <w:r>
        <w:t>원문은 평가 사용자 20명 이상을 확증 해석의 최소 전제로 둡니다. 이는 모든 효과를 충분한 검정력으로 탐지한다는 뜻은 아닙니다. 예상 효과크기와 변동성을 기반으로 검정력 분석을 추가하고, 표본이 작으면 탐색적 결과로 제한하겠습니다.</w:t>
      </w:r>
    </w:p>
    <w:p>
      <w:pPr>
        <w:pStyle w:val="Heading2"/>
      </w:pPr>
      <w:r>
        <w:t>Q13. 평가자 본인의 주관성은 어떻게 다루나요?</w:t>
      </w:r>
    </w:p>
    <w:p>
      <w:r>
        <w:t>원문은 조건을 가린 Top-10 풀링과 2차 평가자의 20% 독립 채점을 계획하며, Krippendorff α 목표는 계획값입니다. 실제 독립 채점과 신뢰도 계수를 확보하기 전에는 객관성이 입증되었다고 말할 수 없습니다.</w:t>
      </w:r>
    </w:p>
    <w:p>
      <w:pPr>
        <w:pStyle w:val="Heading2"/>
      </w:pPr>
      <w:r>
        <w:t>Q14. 사용자 테스트나 기관 파일럿을 진행했나요?</w:t>
      </w:r>
    </w:p>
    <w:p>
      <w:r>
        <w:t>현재 제공된 자료만으로 완료된 사용자 테스트나 기관 파일럿을 확인할 수 없습니다. 따라서 만족도나 도입 의향을 성과로 주장하지 않고, 사용성 과제·인터뷰·큐레이터 검토·기관 연계 실험을 다음 검증 단계로 제시하겠습니다.</w:t>
      </w:r>
    </w:p>
    <w:p>
      <w:pPr>
        <w:pStyle w:val="Heading2"/>
      </w:pPr>
      <w:r>
        <w:t>Q15. 시장 경쟁력과 수익 모델은 검증되었나요?</w:t>
      </w:r>
    </w:p>
    <w:p>
      <w:r>
        <w:t>현재는 적용 시나리오와 사업 가설 수준입니다. 시장 규모, 지불 의사, 기관별 연동 비용, 유지보수 비용과 반복 사용률을 조사해야 합니다. 검증 전에는 매출·시장 점유율 전망을 확정치처럼 제시하지 않겠습니다.</w:t>
      </w:r>
    </w:p>
    <w:p>
      <w:pPr>
        <w:pStyle w:val="Heading2"/>
      </w:pPr>
      <w:r>
        <w:t>Q16. UI/UX와 실제 제품 완성도는 어떻게 증명하나요?</w:t>
      </w:r>
    </w:p>
    <w:p>
      <w:r>
        <w:t>아키텍처 설명만으로는 충분하지 않습니다. 실제 화면, 대표 사용자 과업의 완료율, 오류율, 접근성 점검, 사용성 인터뷰, 데모 영상이 필요합니다. 이 산출물에 실행 캡처가 포함되어 있지 않으므로 제출 전 확보해야 합니다.</w:t>
      </w:r>
    </w:p>
    <w:p>
      <w:pPr>
        <w:pStyle w:val="Heading2"/>
      </w:pPr>
      <w:r>
        <w:t>Q17. 시스템의 성능과 운영 비용은 어느 정도인가요?</w:t>
      </w:r>
    </w:p>
    <w:p>
      <w:r>
        <w:t>현재 실측 지연시간이나 호출 비용이 제공되지 않았습니다. 평균뿐 아니라 p50/p95 지연시간, 실패율, 재시도율, 토큰·API 비용을 대표 부하에서 측정하고 기준선을 함께 보고해야 합니다.</w:t>
      </w:r>
    </w:p>
    <w:p>
      <w:pPr>
        <w:pStyle w:val="Heading2"/>
      </w:pPr>
      <w:r>
        <w:t>Q18. 개인정보와 취향 기억은 어떻게 보호하나요?</w:t>
      </w:r>
    </w:p>
    <w:p>
      <w:r>
        <w:t>원문은 정서 관련 기억을 목적 수준으로 추상화하고 동의 범위·보존 기간을 두며 사용자가 열람·수정·삭제할 수 있도록 제안합니다. 실제 구현에서는 데이터 최소화, 접근 제어, 로그의 민감정보 제거, 삭제 검증을 테스트해야 합니다.</w:t>
      </w:r>
    </w:p>
    <w:p>
      <w:pPr>
        <w:pStyle w:val="Heading2"/>
      </w:pPr>
      <w:r>
        <w:t>Q19. 제3자가 결과를 재현할 수 있나요?</w:t>
      </w:r>
    </w:p>
    <w:p>
      <w:r>
        <w:t>재현 가능성은 fresh clone 실행과 산출물 확인으로 입증해야 합니다. prereg-v1, 코드 커밋, 모델·프롬프트 해시, 스냅샷 체크섬, 시드, 실행 명령과 로그가 필요합니다. 현재는 이 항목들이 요구사항으로 명시되어 있으며 실행 성공을 확인한 증거는 별도 확보해야 합니다.</w:t>
      </w:r>
    </w:p>
    <w:p>
      <w:pPr>
        <w:pStyle w:val="Heading2"/>
      </w:pPr>
      <w:r>
        <w:t>Q20. 지금 단계에서 가장 큰 한계와 다음 단계는 무엇인가요?</w:t>
      </w:r>
    </w:p>
    <w:p>
      <w:r>
        <w:t>가장 큰 한계는 실측 결과와 현장 검증 증거가 아직 확인되지 않았다는 점입니다. 다음 단계는 사전등록과 데이터 동결, 통제 실험 실행, 평가자 신뢰도 측정, 사용자 파일럿, 성능·비용 테스트, 그리고 결과표와 로그의 재현성 검증입니다.</w:t>
      </w:r>
    </w:p>
    <w:p>
      <w:pPr>
        <w:pStyle w:val="Heading1"/>
      </w:pPr>
      <w:r>
        <w:t>6. 권장 답변 원칙</w:t>
      </w:r>
    </w:p>
    <w:p>
      <w:pPr>
        <w:pStyle w:val="ListBullet"/>
      </w:pPr>
      <w:r>
        <w:t>설계는 “제안했다/명세했다”, 구현은 “구현했고 테스트했다”, 성과는 “측정 결과에서 확인했다”로 동사를 구분한다.</w:t>
      </w:r>
    </w:p>
    <w:p>
      <w:pPr>
        <w:pStyle w:val="ListBullet"/>
      </w:pPr>
      <w:r>
        <w:t>수치가 없을 때는 “미측정”이라고 답하고, 어떤 실험과 로그가 있어야 답할 수 있는지 즉시 설명한다.</w:t>
      </w:r>
    </w:p>
    <w:p>
      <w:pPr>
        <w:pStyle w:val="ListBullet"/>
      </w:pPr>
      <w:r>
        <w:t>사용자 니즈·시장성·운영 효율은 사용자 조사나 파일럿 증거 없이 사실로 단정하지 않는다.</w:t>
      </w:r>
    </w:p>
    <w:p>
      <w:pPr>
        <w:pStyle w:val="ListBullet"/>
      </w:pPr>
      <w:r>
        <w:t>질문에 반박하기보다 한계를 인정하고, 통제 방법과 다음 검증 계획을 짧게 제시한다.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