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13166"/>
          <w:sz w:val="17"/>
        </w:rPr>
        <w:t>VIT-AP UNIVERSITY · SCHOOL OF ELECTRONICS &amp; COMPUTER SCIENCE · ENGINEERING CLINICS (ECS)</w:t>
      </w:r>
    </w:p>
    <w:p>
      <w:pPr>
        <w:spacing w:before="80" w:after="120"/>
      </w:pPr>
      <w:r>
        <w:rPr>
          <w:b/>
          <w:color w:val="0B0D17"/>
          <w:sz w:val="32"/>
        </w:rPr>
        <w:t>ASAFI: AUTONOMOUS SPACECRAFT AVIONICS FIRE INTERCEPTOR</w:t>
        <w:br/>
        <w:t>PAIR 3 PROGRESS &amp; COMPREHENSIVE CONTRIBUTION REPORT</w:t>
      </w:r>
    </w:p>
    <w:p>
      <w:pPr>
        <w:spacing w:after="280"/>
      </w:pPr>
      <w:r>
        <w:rPr>
          <w:i/>
          <w:color w:val="475569"/>
          <w:sz w:val="21"/>
        </w:rPr>
        <w:t>UI/UX Design Methodology, Interactive Web Architecture, NASA SP-2026 Technical Specification Portal Synthesis, and ECS Financial Reimbursement Audit</w:t>
      </w:r>
    </w:p>
    <w:tbl>
      <w:tblPr>
        <w:tblW w:type="auto" w:w="0"/>
        <w:jc w:val="center"/>
        <w:tblLayout w:type="fixed"/>
        <w:tblLook w:firstColumn="1" w:firstRow="1" w:lastColumn="0" w:lastRow="0" w:noHBand="0" w:noVBand="1" w:val="04A0"/>
      </w:tblPr>
      <w:tblGrid>
        <w:gridCol w:w="3168"/>
        <w:gridCol w:w="6192"/>
      </w:tblGrid>
      <w:tr>
        <w:tc>
          <w:tcPr>
            <w:tcW w:type="dxa" w:w="4680"/>
            <w:shd w:fill="F8FAFC"/>
            <w:tcMar>
              <w:top w:w="50" w:type="dxa"/>
              <w:bottom w:w="50" w:type="dxa"/>
              <w:left w:w="90" w:type="dxa"/>
              <w:right w:w="90" w:type="dxa"/>
            </w:tcMar>
          </w:tcPr>
          <w:p>
            <w:pPr>
              <w:spacing w:after="0"/>
            </w:pPr>
            <w:r>
              <w:rPr>
                <w:b/>
                <w:color w:val="334155"/>
                <w:sz w:val="18"/>
              </w:rPr>
              <w:t>Project Designation:</w:t>
            </w:r>
          </w:p>
        </w:tc>
        <w:tc>
          <w:tcPr>
            <w:tcW w:type="dxa" w:w="4680"/>
            <w:shd w:fill="FFFFFF"/>
            <w:tcMar>
              <w:top w:w="50" w:type="dxa"/>
              <w:bottom w:w="50" w:type="dxa"/>
              <w:left w:w="90" w:type="dxa"/>
              <w:right w:w="90" w:type="dxa"/>
            </w:tcMar>
          </w:tcPr>
          <w:p>
            <w:pPr>
              <w:spacing w:after="0"/>
            </w:pPr>
            <w:r>
              <w:rPr>
                <w:color w:val="1E293B"/>
                <w:sz w:val="18"/>
              </w:rPr>
              <w:t>ASAFI (Autonomous Spacecraft Avionics Fire Interceptor)</w:t>
            </w:r>
          </w:p>
        </w:tc>
      </w:tr>
      <w:tr>
        <w:tc>
          <w:tcPr>
            <w:tcW w:type="dxa" w:w="4680"/>
            <w:shd w:fill="F8FAFC"/>
            <w:tcMar>
              <w:top w:w="50" w:type="dxa"/>
              <w:bottom w:w="50" w:type="dxa"/>
              <w:left w:w="90" w:type="dxa"/>
              <w:right w:w="90" w:type="dxa"/>
            </w:tcMar>
          </w:tcPr>
          <w:p>
            <w:pPr>
              <w:spacing w:after="0"/>
            </w:pPr>
            <w:r>
              <w:rPr>
                <w:b/>
                <w:color w:val="334155"/>
                <w:sz w:val="18"/>
              </w:rPr>
              <w:t>Reporting Sub-Team:</w:t>
            </w:r>
          </w:p>
        </w:tc>
        <w:tc>
          <w:tcPr>
            <w:tcW w:type="dxa" w:w="4680"/>
            <w:shd w:fill="FFFFFF"/>
            <w:tcMar>
              <w:top w:w="50" w:type="dxa"/>
              <w:bottom w:w="50" w:type="dxa"/>
              <w:left w:w="90" w:type="dxa"/>
              <w:right w:w="90" w:type="dxa"/>
            </w:tcMar>
          </w:tcPr>
          <w:p>
            <w:pPr>
              <w:spacing w:after="0"/>
            </w:pPr>
            <w:r>
              <w:rPr>
                <w:b/>
                <w:color w:val="113166"/>
                <w:sz w:val="18"/>
              </w:rPr>
              <w:t>Pair 3: Front-End UI/UX, Documentation &amp; Financial Administration</w:t>
            </w:r>
          </w:p>
        </w:tc>
      </w:tr>
      <w:tr>
        <w:tc>
          <w:tcPr>
            <w:tcW w:type="dxa" w:w="4680"/>
            <w:shd w:fill="F8FAFC"/>
            <w:tcMar>
              <w:top w:w="50" w:type="dxa"/>
              <w:bottom w:w="50" w:type="dxa"/>
              <w:left w:w="90" w:type="dxa"/>
              <w:right w:w="90" w:type="dxa"/>
            </w:tcMar>
          </w:tcPr>
          <w:p>
            <w:pPr>
              <w:spacing w:after="0"/>
            </w:pPr>
            <w:r>
              <w:rPr>
                <w:b/>
                <w:color w:val="334155"/>
                <w:sz w:val="18"/>
              </w:rPr>
              <w:t>Team Members:</w:t>
            </w:r>
          </w:p>
        </w:tc>
        <w:tc>
          <w:tcPr>
            <w:tcW w:type="dxa" w:w="4680"/>
            <w:shd w:fill="FFFFFF"/>
            <w:tcMar>
              <w:top w:w="50" w:type="dxa"/>
              <w:bottom w:w="50" w:type="dxa"/>
              <w:left w:w="90" w:type="dxa"/>
              <w:right w:w="90" w:type="dxa"/>
            </w:tcMar>
          </w:tcPr>
          <w:p>
            <w:pPr>
              <w:spacing w:after="0"/>
            </w:pPr>
            <w:r>
              <w:rPr>
                <w:color w:val="1E293B"/>
                <w:sz w:val="18"/>
              </w:rPr>
              <w:t>Paakhi (Lead UI/UX Designer &amp; Finance Lead) &amp; Rahul (Lead Front-End Developer &amp; Tech Writer)</w:t>
            </w:r>
          </w:p>
        </w:tc>
      </w:tr>
      <w:tr>
        <w:tc>
          <w:tcPr>
            <w:tcW w:type="dxa" w:w="4680"/>
            <w:shd w:fill="F8FAFC"/>
            <w:tcMar>
              <w:top w:w="50" w:type="dxa"/>
              <w:bottom w:w="50" w:type="dxa"/>
              <w:left w:w="90" w:type="dxa"/>
              <w:right w:w="90" w:type="dxa"/>
            </w:tcMar>
          </w:tcPr>
          <w:p>
            <w:pPr>
              <w:spacing w:after="0"/>
            </w:pPr>
            <w:r>
              <w:rPr>
                <w:b/>
                <w:color w:val="334155"/>
                <w:sz w:val="18"/>
              </w:rPr>
              <w:t>Evaluation Context:</w:t>
            </w:r>
          </w:p>
        </w:tc>
        <w:tc>
          <w:tcPr>
            <w:tcW w:type="dxa" w:w="4680"/>
            <w:shd w:fill="FFFFFF"/>
            <w:tcMar>
              <w:top w:w="50" w:type="dxa"/>
              <w:bottom w:w="50" w:type="dxa"/>
              <w:left w:w="90" w:type="dxa"/>
              <w:right w:w="90" w:type="dxa"/>
            </w:tcMar>
          </w:tcPr>
          <w:p>
            <w:pPr>
              <w:spacing w:after="0"/>
            </w:pPr>
            <w:r>
              <w:rPr>
                <w:color w:val="1E293B"/>
                <w:sz w:val="18"/>
              </w:rPr>
              <w:t>Engineering Clinics (ECS) Final Milestone Evaluation &amp; Project Expo</w:t>
            </w:r>
          </w:p>
        </w:tc>
      </w:tr>
      <w:tr>
        <w:tc>
          <w:tcPr>
            <w:tcW w:type="dxa" w:w="4680"/>
            <w:shd w:fill="F8FAFC"/>
            <w:tcMar>
              <w:top w:w="50" w:type="dxa"/>
              <w:bottom w:w="50" w:type="dxa"/>
              <w:left w:w="90" w:type="dxa"/>
              <w:right w:w="90" w:type="dxa"/>
            </w:tcMar>
          </w:tcPr>
          <w:p>
            <w:pPr>
              <w:spacing w:after="0"/>
            </w:pPr>
            <w:r>
              <w:rPr>
                <w:b/>
                <w:color w:val="334155"/>
                <w:sz w:val="18"/>
              </w:rPr>
              <w:t>Live Web Portal:</w:t>
            </w:r>
          </w:p>
        </w:tc>
        <w:tc>
          <w:tcPr>
            <w:tcW w:type="dxa" w:w="4680"/>
            <w:shd w:fill="FFFFFF"/>
            <w:tcMar>
              <w:top w:w="50" w:type="dxa"/>
              <w:bottom w:w="50" w:type="dxa"/>
              <w:left w:w="90" w:type="dxa"/>
              <w:right w:w="90" w:type="dxa"/>
            </w:tcMar>
          </w:tcPr>
          <w:p>
            <w:pPr>
              <w:spacing w:after="0"/>
            </w:pPr>
            <w:r>
              <w:rPr>
                <w:b/>
                <w:color w:val="113166"/>
                <w:sz w:val="18"/>
              </w:rPr>
              <w:t>https://utpalakshi.github.io/asfai/ (Landing Page) &amp; doc.html (Technical Spec)</w:t>
            </w:r>
          </w:p>
        </w:tc>
      </w:tr>
      <w:tr>
        <w:tc>
          <w:tcPr>
            <w:tcW w:type="dxa" w:w="4680"/>
            <w:shd w:fill="F8FAFC"/>
            <w:tcMar>
              <w:top w:w="50" w:type="dxa"/>
              <w:bottom w:w="50" w:type="dxa"/>
              <w:left w:w="90" w:type="dxa"/>
              <w:right w:w="90" w:type="dxa"/>
            </w:tcMar>
          </w:tcPr>
          <w:p>
            <w:pPr>
              <w:spacing w:after="0"/>
            </w:pPr>
            <w:r>
              <w:rPr>
                <w:b/>
                <w:color w:val="334155"/>
                <w:sz w:val="18"/>
              </w:rPr>
              <w:t>Project Scope Statement:</w:t>
            </w:r>
          </w:p>
        </w:tc>
        <w:tc>
          <w:tcPr>
            <w:tcW w:type="dxa" w:w="4680"/>
            <w:shd w:fill="FFFFFF"/>
            <w:tcMar>
              <w:top w:w="50" w:type="dxa"/>
              <w:bottom w:w="50" w:type="dxa"/>
              <w:left w:w="90" w:type="dxa"/>
              <w:right w:w="90" w:type="dxa"/>
            </w:tcMar>
          </w:tcPr>
          <w:p>
            <w:pPr>
              <w:spacing w:after="0"/>
            </w:pPr>
            <w:r>
              <w:rPr>
                <w:color w:val="1E293B"/>
                <w:sz w:val="18"/>
              </w:rPr>
              <w:t>Strictly Non-Hardware / Non-Backend Core: Full Front-End Architecture, Visual Hierarchy, NASA SP Documentation Synthesis, and Financial Billing Compliance</w:t>
            </w:r>
          </w:p>
        </w:tc>
      </w:tr>
    </w:tbl>
    <w:p>
      <w:pPr>
        <w:spacing w:after="240"/>
      </w:pPr>
    </w:p>
    <w:p>
      <w:pPr>
        <w:pStyle w:val="Heading1"/>
      </w:pPr>
      <w:r>
        <w:rPr>
          <w:b/>
          <w:color w:val="113166"/>
          <w:sz w:val="26"/>
        </w:rPr>
        <w:t>SECTION 1: PROJECT OVERVIEW &amp; PAIR 3 ROLE DEFINITION</w:t>
      </w:r>
    </w:p>
    <w:p>
      <w:pPr>
        <w:pStyle w:val="Heading2"/>
      </w:pPr>
      <w:r>
        <w:rPr>
          <w:b/>
          <w:color w:val="1E293B"/>
          <w:sz w:val="22"/>
        </w:rPr>
        <w:t>1.1 Executive Summary</w:t>
      </w:r>
    </w:p>
    <w:p>
      <w:r>
        <w:t>The Autonomous Spacecraft Avionics Fire Interceptor (ASAFI) represents an advanced flight-safety payload conceived to address one of the most critical vulnerabilities in human and autonomous spaceflight: localized electrical ignition, arc tracking, and smoldering combustion within pressurized avionics bays and enclosed CubeSat enclosures. Operating in microgravity, where the complete absence of natural buoyant convection causes spherical, oxygen-starved flames to smolder undetected, ASAFI introduces a sub-second autonomous interception mechanism. By orchestrating a multi-spectral sensory loop—combining optical computer vision (30 FPS 720p ingestion) with Long-Wave Infrared (LWIR) thermography—and triggering a precision dual-axis pan-tilt gimbal armed with a cold-gas micro-pulse actuator, ASAFI achieves a verified end-to-end response cycle in under 1.5 seconds (&lt;1.5s), neutralizing ignition before thermal runaway occurs.</w:t>
      </w:r>
    </w:p>
    <w:p>
      <w:r>
        <w:t>Within the overarching multi-subsystem engineering structure of the ASAFI project, the technical labor was partitioned across specialized sub-teams:</w:t>
        <w:br/>
        <w:t>• Pair 1: Embedded AI Edge Pipeline &amp; Hardware Actuation Core (Raspberry Pi 5, Lepton 3.5 LWIR, OpenCV inference, solenoid mechanics).</w:t>
        <w:br/>
        <w:t>• Pair 2: Ground Station Telemetry Engine &amp; Backend Sensor Networking.</w:t>
        <w:br/>
        <w:t>• Pair 3 (Paakhi &amp; Rahul): Front-End User Experience (UI/UX), Interactive Web Architecture, NASA SP-2026 Documentation Synthesis, Public Presentation Infrastructure, and Financial Billing / ECS Reimbursement Compliance.</w:t>
        <w:br/>
        <w:br/>
        <w:t>Pair 3’s explicit mandate is non-hardware and non-backend core. Our entire operational scope centers on the front-end user experience, interactive digital platform development, aesthetic and visual brand identity, complex technical system synthesis into digestible digital media, and rigorous administrative compliance for the Engineering Clinics (ECS) evaluation panel.</w:t>
      </w: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Borders>
              <w:top w:val="none"/>
              <w:left w:val="single" w:sz="24" w:space="0" w:color="113166"/>
              <w:bottom w:val="none"/>
              <w:right w:val="none"/>
            </w:tcBorders>
          </w:tcPr>
          <w:p>
            <w:pPr>
              <w:spacing w:before="40" w:after="40"/>
            </w:pPr>
            <w:r>
              <w:rPr>
                <w:rFonts w:ascii="Arial" w:hAnsi="Arial"/>
                <w:b/>
                <w:color w:val="113166"/>
                <w:sz w:val="19"/>
              </w:rPr>
              <w:t xml:space="preserve">[MANDATE SPECIFICATION] </w:t>
            </w:r>
            <w:r>
              <w:rPr>
                <w:rFonts w:ascii="Arial" w:hAnsi="Arial"/>
                <w:color w:val="334155"/>
                <w:sz w:val="19"/>
              </w:rPr>
              <w:t>Pair 3 Mandate: Full ownership of the public-facing digital platform (index.html), the NASA SP-2026 Technical Specification Portal (doc.html), schematic and flowchart visual synthesis, demonstration media decks, and the formal GST invoice audit for institutional ECS reimbursement.</w:t>
            </w:r>
          </w:p>
        </w:tc>
      </w:tr>
    </w:tbl>
    <w:p>
      <w:pPr>
        <w:spacing w:after="80"/>
      </w:pPr>
    </w:p>
    <w:p>
      <w:pPr>
        <w:pStyle w:val="Heading2"/>
      </w:pPr>
      <w:r>
        <w:rPr>
          <w:b/>
          <w:color w:val="1E293B"/>
          <w:sz w:val="22"/>
        </w:rPr>
        <w:t>1.2 Division of Responsibilities (Pair 3: Paakhi &amp; Rahul)</w:t>
      </w:r>
    </w:p>
    <w:p>
      <w:r>
        <w:t>To ensure operational efficiency and exhaustive coverage of the evaluation criteria, labor within Pair 3 was precisely partitioned based on specialized skill sets while maintaining tight collaborative synchronization:</w:t>
      </w:r>
    </w:p>
    <w:p>
      <w:r>
        <w:rPr>
          <w:b/>
          <w:color w:val="113166"/>
        </w:rPr>
        <w:t>Paakhi — Lead UI/UX Designer, Visual Strategist &amp; Financial Documentation Manager:</w:t>
        <w:br/>
      </w:r>
      <w:r>
        <w:t>• Information Architecture &amp; Layout Strategy: Formulated the wireframe progression and user journey from initial text-cluttered prototypes to the final NASA Horizon-inspired editorial layout.</w:t>
        <w:br/>
        <w:t>• Design System Curation: Established the design token framework (Deep Space Navy, NASA Blue, Avionics Amber, Emergency Red), typography scales, glassmorphism overlays, and tactical HUD crosshair indicators.</w:t>
        <w:br/>
        <w:t>• Component Hierarchy &amp; Visual Assets: Planned the multi-spectral sensor inspection console, 3-stage visual intercept sequence, and high-impact presentation posters for the ECS Project Expo.</w:t>
        <w:br/>
        <w:t>• Financial &amp; Billing Management: Spearheaded the physical and digital collection, verification, and audit of all procurement receipts, tax invoices, and GST compliance logs to establish the formal ₹5,900 ECS reimbursement portfolio.</w:t>
      </w:r>
    </w:p>
    <w:p>
      <w:r>
        <w:rPr>
          <w:b/>
          <w:color w:val="113166"/>
        </w:rPr>
        <w:t>Rahul — Front-End Web Developer, Layout Implementer &amp; Technical Memorandum Compiler:</w:t>
        <w:br/>
      </w:r>
      <w:r>
        <w:t>• Front-End Code Implementation: Transformed Paakhi’s visual designs and wireframes into clean, semantic, responsive HTML5, CSS3, and JavaScript code.</w:t>
        <w:br/>
        <w:t>• Interactive Component Development: Programmed the interactive sensor array switcher (script.js), the asynchronous simulated cockpit HUD telemetry loop with real-time value fluctuations, and the high-resolution media lightbox modal.</w:t>
        <w:br/>
        <w:t>• Technical Documentation Synthesis: Authored and structured doc.html in strict alignment with NASA Special Publication (NASA SP-2026) standards, integrating SVG system flowcharts, pinout tables, and software state machines.</w:t>
        <w:br/>
        <w:t>• Responsive Optimization: Implemented mobile breakpoint styling, touch target optimization, and CSS grid scaling across desktop, tablet, and mobile displays.</w:t>
      </w:r>
    </w:p>
    <w:p>
      <w:r>
        <w:rPr>
          <w:b/>
        </w:rPr>
        <w:t>Shared Collaborative Deliverables:</w:t>
        <w:br/>
      </w:r>
      <w:r>
        <w:t>• Iterative Design Reviews: Conducted joint UX audit sessions to identify usability bottlenecks, eliminate cognitive clutter, and refine visual contrast.</w:t>
        <w:br/>
        <w:t>• ECS Expo Presentation Deck: Jointly authored the project slide deck, scripted demonstration flow, and exhibition pitch tailored for faculty evaluators.</w:t>
        <w:br/>
        <w:t>• Final Submission Verification: Executed cross-browser functional testing, GitHub Pages cloud deployment, and print-layout verification.</w:t>
      </w:r>
    </w:p>
    <w:p>
      <w:pPr>
        <w:pStyle w:val="Heading1"/>
      </w:pPr>
      <w:r>
        <w:rPr>
          <w:b/>
          <w:color w:val="113166"/>
          <w:sz w:val="26"/>
        </w:rPr>
        <w:t>SECTION 2: UI/UX DESIGN METHODOLOGY &amp; ITERATIVE WEB DEVELOPMENT</w:t>
      </w:r>
    </w:p>
    <w:p>
      <w:pPr>
        <w:pStyle w:val="Heading2"/>
      </w:pPr>
      <w:r>
        <w:rPr>
          <w:b/>
          <w:color w:val="1E293B"/>
          <w:sz w:val="22"/>
        </w:rPr>
        <w:t>2.1 Initial Design Vision &amp; Concept Ideation</w:t>
      </w:r>
    </w:p>
    <w:p>
      <w:r>
        <w:t>The primary design vision was to engineer a high-impact, responsive, web-based mission portal that transcended conventional academic website templates. Faculty evaluators, industry judges, and external engineering reviewers required an immediate, visceral understanding of ASAFI’s mission-critical capabilities. We established an aesthetic benchmark rooted in NASA’s official web ecosystem (NASA.gov) and the Horizon Design System, blending editorial visual storytelling with aerospace mission control precision.</w:t>
      </w:r>
    </w:p>
    <w:p>
      <w:r>
        <w:t>Core Design Tokens &amp; Aesthetic Specifications:</w:t>
        <w:br/>
        <w:t>• Color Palette:</w:t>
        <w:br/>
        <w:t xml:space="preserve">  - Deep Space Navy (#0b0d17): Base canvas background, evoking the vacuum of Low Earth Orbit and eliminating evaluator eye fatigue.</w:t>
        <w:br/>
        <w:t xml:space="preserve">  - NASA Blue (#113166) &amp; Bright Blue (#105bd8): Primary brand accents, action buttons, and active status indicators denoting institutional authority.</w:t>
        <w:br/>
        <w:t xml:space="preserve">  - Avionics Amber (#f39c12): Warning threshold indicators, thermal anomaly callouts, and sensor telemetry highlights.</w:t>
        <w:br/>
        <w:t xml:space="preserve">  - Emergency Signal Red (#e74c3c): Critical intervention alerts, solenoid fire pulse indicators, and the stylized vector chevron.</w:t>
        <w:br/>
        <w:t xml:space="preserve">  - Crisp Telemetry White (#f8f9fa): Primary typography layer engineered for ultra-high contrast against dark backgrounds.</w:t>
        <w:br/>
        <w:t>• Typography Hierarchy: Paired modern geometric sans-serif (Inter) for fluid editorial prose with monospace typefaces (JetBrains Mono, Consolas) for raw telemetry data, GPIO pinouts, and algorithmic execution timeframes.</w:t>
        <w:br/>
        <w:t>• Tactical Visual Language: Leveraged subtle glassmorphism (rgba background fills with backdrop-filter blur), precision 64px space grid overlays, sub-pixel high-contrast borders, animated status beacons, and tactical HUD targeting crosshairs.</w:t>
      </w:r>
    </w:p>
    <w:p>
      <w:pPr>
        <w:pStyle w:val="Heading2"/>
      </w:pPr>
      <w:r>
        <w:rPr>
          <w:b/>
          <w:color w:val="1E293B"/>
          <w:sz w:val="22"/>
        </w:rPr>
        <w:t>2.2 Core Structural Sections Developed</w:t>
      </w:r>
    </w:p>
    <w:p>
      <w:r>
        <w:t>Pair 3 engineered seven modular structural sections across the landing platform, each designed to resolve a specific user journey requirement:</w:t>
      </w:r>
    </w:p>
    <w:p>
      <w:r>
        <w:rPr>
          <w:b/>
          <w:color w:val="113166"/>
        </w:rPr>
        <w:t xml:space="preserve">1. Tactical HUD Header &amp; Navigation Bar: </w:t>
      </w:r>
      <w:r>
        <w:rPr>
          <w:color w:val="334155"/>
        </w:rPr>
        <w:t>Features the custom-crafted ASAFI Meatball emblem, a clean horizontal navigation menu, and dynamic status pills: '● LEO ORBIT READY' and 'TRL-5 VERIFIED'. Engineered with a sticky blur backdrop and accessible mobile drawer navigation.</w:t>
      </w:r>
    </w:p>
    <w:p>
      <w:r>
        <w:rPr>
          <w:b/>
          <w:color w:val="113166"/>
        </w:rPr>
        <w:t xml:space="preserve">2. Mission Briefing &amp; Problem Alignment: </w:t>
      </w:r>
      <w:r>
        <w:rPr>
          <w:color w:val="334155"/>
        </w:rPr>
        <w:t>Contextualizes ASAFI within NASA’s Spacecraft Fire Safety (Saffire) research program. Directly communicates the physics of microgravity combustion—the absence of buoyant convection and the catastrophic risks of whole-cabin flooding.</w:t>
      </w:r>
    </w:p>
    <w:p>
      <w:r>
        <w:rPr>
          <w:b/>
          <w:color w:val="113166"/>
        </w:rPr>
        <w:t xml:space="preserve">3. Key Performance Metrics Bar: </w:t>
      </w:r>
      <w:r>
        <w:rPr>
          <w:color w:val="334155"/>
        </w:rPr>
        <w:t>Four high-impact telemetry metric callouts featuring colored left borders: '&lt;1.5s Execution Cycle', '100% Clean N2 Gas', '360° × 180° Surveillance Dome', and 'TRL-5 Flight Qualified'.</w:t>
      </w:r>
    </w:p>
    <w:p>
      <w:r>
        <w:rPr>
          <w:b/>
          <w:color w:val="113166"/>
        </w:rPr>
        <w:t xml:space="preserve">4. Core System Architecture Walkthrough: </w:t>
      </w:r>
      <w:r>
        <w:rPr>
          <w:color w:val="334155"/>
        </w:rPr>
        <w:t>Transforms complex hardware schematics into clean visual story cards detailing Edge Perception, LWIR Radiometry, 2-Axis Gimbal Kinematics, and the Cold-Gas Solenoid Nozzle.</w:t>
      </w:r>
    </w:p>
    <w:p>
      <w:r>
        <w:rPr>
          <w:b/>
          <w:color w:val="113166"/>
        </w:rPr>
        <w:t xml:space="preserve">5. Interactive Multi-Spectral Sensor Inspector: </w:t>
      </w:r>
      <w:r>
        <w:rPr>
          <w:color w:val="334155"/>
        </w:rPr>
        <w:t>A signature interactive feature allowing reviewers to switch between the Optical 4K/720p Stream, the MLX90614 Thermal Radiometry view, and the Cold-Gas Nozzle Plume. Updates HUD targeting reticles, operating parameters, and specifications dynamically.</w:t>
      </w:r>
    </w:p>
    <w:p>
      <w:r>
        <w:rPr>
          <w:b/>
          <w:color w:val="113166"/>
        </w:rPr>
        <w:t xml:space="preserve">6. 3-Stage Closed-Loop Response Sequence: </w:t>
      </w:r>
      <w:r>
        <w:rPr>
          <w:color w:val="334155"/>
        </w:rPr>
        <w:t>Photographic cards breaking down the rapid response cycle: 01 DETECT (T+0.00s) -&gt; 02 ACQUIRE (T+0.05s) -&gt; 03 INTERCEPT (T+0.12s), highlighting the sub-second timeline.</w:t>
      </w:r>
    </w:p>
    <w:p>
      <w:r>
        <w:rPr>
          <w:b/>
          <w:color w:val="113166"/>
        </w:rPr>
        <w:t xml:space="preserve">7. Simulated Cockpit HUD &amp; Telemetry Console: </w:t>
      </w:r>
      <w:r>
        <w:rPr>
          <w:color w:val="334155"/>
        </w:rPr>
        <w:t>A live targeting radar canvas with an animated reticle, live fluctuating telemetry readouts (Azimuth, Elevation, Core Temperature, Pressure), and a real-time event log terminal.</w:t>
      </w:r>
    </w:p>
    <w:p>
      <w:r>
        <w:rPr>
          <w:b/>
          <w:color w:val="113166"/>
        </w:rPr>
        <w:t xml:space="preserve">8. Authentic Multi-Column NASA Footer: </w:t>
      </w:r>
      <w:r>
        <w:rPr>
          <w:color w:val="334155"/>
        </w:rPr>
        <w:t>Four structured link directories (Missions, Technology, Multimedia, Technical Docs), a functional Mission Alerts newsletter form, social links, and formal institutional/regulatory disclaimers.</w:t>
      </w:r>
    </w:p>
    <w:p>
      <w:pPr>
        <w:pStyle w:val="Heading2"/>
      </w:pPr>
      <w:r>
        <w:rPr>
          <w:b/>
          <w:color w:val="1E293B"/>
          <w:sz w:val="22"/>
        </w:rPr>
        <w:t>2.3 Iterative Improvements &amp; Trial-and-Error Process</w:t>
      </w:r>
    </w:p>
    <w:p>
      <w:r>
        <w:t>The current platform is the culmination of rigorous iterative design cycles. The initial prototype suffered from significant UX deficiencies:</w:t>
        <w:br/>
        <w:t>• Trial 1 (Early Wireframe Phase): The initial layout relied on text-heavy descriptions, raw code blocks, and an abstract 3D CSS cube labeled 'ASAFI'. Evaluator feedback indicated high cognitive fatigue, an inability to understand the sub-second timing, and lack of visual proof.</w:t>
        <w:br/>
        <w:t>• Iteration 2 (NASA Editorial Pivot): Paakhi conducted an in-depth audit of NASA.gov, extracting the 'Picture-First, Text-Lean' methodology. We eliminated verbose paragraphs in favor of bold 1-2 sentence captions, integrated curated high-resolution aerospace photography, and introduced distinct category badges.</w:t>
        <w:br/>
        <w:t>• Iteration 3 (Interactive Dynamics): Rahul developed the JavaScript state switcher for sensor comparisons, the full-screen media lightbox modal, and the asynchronous telemetry fluctuation loop, injecting realism into the demonstration.</w:t>
        <w:br/>
        <w:t>• Iteration 4 (Separation of Concerns): To ensure academic rigor without cluttering the landing page, we decoupled deep specifications into a separate dedicated portal: doc.html (NASA SP-2026 Technical Memorandum), complete with an interactive SVG architecture schematic and itemized BOM.</w:t>
      </w:r>
    </w:p>
    <w:p>
      <w:pPr>
        <w:pStyle w:val="Heading1"/>
      </w:pPr>
      <w:r>
        <w:rPr>
          <w:b/>
          <w:color w:val="113166"/>
          <w:sz w:val="26"/>
        </w:rPr>
        <w:t>SECTION 3: TECHNICAL DOCUMENTATION, FLOWCHARTS &amp; SCHEMATIC SYNTHESIS</w:t>
      </w:r>
    </w:p>
    <w:p>
      <w:pPr>
        <w:pStyle w:val="Heading2"/>
      </w:pPr>
      <w:r>
        <w:rPr>
          <w:b/>
          <w:color w:val="1E293B"/>
          <w:sz w:val="22"/>
        </w:rPr>
        <w:t>3.1 Visual Asset Creation &amp; System Diagrams</w:t>
      </w:r>
    </w:p>
    <w:p>
      <w:r>
        <w:t>A cornerstone of Pair 3’s role was acting as the translation bridge between raw engineering data (from Pair 1 and Pair 2) and polished visual assets. Technical schematics provided in hand-drawn notes or raw code were synthesized into professional graphic representations:</w:t>
        <w:br/>
        <w:t>• Interactive SVG System Architecture Diagram: Engineered an uncompressed, responsive vector diagram embedded directly in doc.html. Illustrates the complete dataflow: Optical Camera (MIPI-CSI) → Edge Computer Vision → MLX90614 IR Sensor (I2C) → Flight Computer Logic → 2-Axis Gimbal PWM &amp; 12V Solenoid MOSFET Gate Trigger.</w:t>
        <w:br/>
        <w:t>• Software State Machine Flowchart: Mapped the algorithmic transitions through States 0 to 4 (Surveillance → Candidate Anomaly → Thermal Slew &amp; Lock → Interception Pulse → Post-Action Cooling Verification) with color-coded logic paths and fail-safe watchdog timeouts.</w:t>
        <w:br/>
        <w:t>• Presentation Slide Deck &amp; Poster Assets: Formatted high-resolution 300 DPI graphics, typography banners, and project summary cards for the ECS Expo exhibition.</w:t>
      </w:r>
    </w:p>
    <w:p>
      <w:pPr>
        <w:pStyle w:val="Heading2"/>
      </w:pPr>
      <w:r>
        <w:rPr>
          <w:b/>
          <w:color w:val="1E293B"/>
          <w:sz w:val="22"/>
        </w:rPr>
        <w:t>3.2 Technical Memorandum Formatting (NASA SP-2026 Standards)</w:t>
      </w:r>
    </w:p>
    <w:p>
      <w:r>
        <w:t>To satisfy the academic evaluation criteria of VIT-AP Engineering Clinics, all written documentation was structured according to formal NASA Special Publication (NASA SP) standards. In doc.html, we established:</w:t>
        <w:br/>
        <w:t>• Formal Document Control Block: Series designation NASA SP-2026-09, distribution notice (PUBLIC RELEASE), project ID (ASAFI-LEO-01), and author attributions.</w:t>
        <w:br/>
        <w:t>• Subsystem Engineering Specifications: Detailed tabular specifications for the optical sensor (IMX219, 1080p60, 120° FOV), infrared radiometer (MLX90614, -70°C to +380°C, ±0.5°C accuracy), 2-axis servos (MG996R, 11 kg·cm torque, 0.16s/60°), and solenoid valve (12V DC, 150 PSI, &lt;12ms actuation).</w:t>
        <w:br/>
        <w:t>• Electrical Interfacing &amp; Pinout Reference Table: A comprehensive 5-column table mapping hardware devices, signal lines, controller GPIO pins, logic voltages, and operational functions.</w:t>
        <w:br/>
        <w:t>• Embedded Print Engine: Formatted dedicated CSS @media print stylesheets enabling evaluators to generate an immaculate paper or PDF report with a single click.</w:t>
      </w:r>
    </w:p>
    <w:p>
      <w:pPr>
        <w:pStyle w:val="Heading1"/>
      </w:pPr>
      <w:r>
        <w:rPr>
          <w:b/>
          <w:color w:val="113166"/>
          <w:sz w:val="26"/>
        </w:rPr>
        <w:t>SECTION 4: FINANCIAL BILLING, BOM &amp; ECS REIMBURSEMENT READINESS</w:t>
      </w:r>
    </w:p>
    <w:p>
      <w:pPr>
        <w:pStyle w:val="Heading2"/>
      </w:pPr>
      <w:r>
        <w:rPr>
          <w:b/>
          <w:color w:val="1E293B"/>
          <w:sz w:val="22"/>
        </w:rPr>
        <w:t>4.1 Bill of Materials (BOM) Verification</w:t>
      </w:r>
    </w:p>
    <w:p>
      <w:r>
        <w:t>Pair 3 undertook the exhaustive task of verifying, cataloging, and formatting the physical Bill of Materials (BOM) to ensure absolute financial transparency and audit-readiness for the Engineering Clinics evaluation committee. The table below represents the finalized, verified hardware breakdown:</w:t>
      </w:r>
    </w:p>
    <w:tbl>
      <w:tblPr>
        <w:tblW w:type="auto" w:w="0"/>
        <w:jc w:val="center"/>
        <w:tblLayout w:type="fixed"/>
        <w:tblLook w:firstColumn="1" w:firstRow="1" w:lastColumn="0" w:lastRow="0" w:noHBand="0" w:noVBand="1" w:val="04A0"/>
      </w:tblPr>
      <w:tblGrid>
        <w:gridCol w:w="1152"/>
        <w:gridCol w:w="2592"/>
        <w:gridCol w:w="2160"/>
        <w:gridCol w:w="720"/>
        <w:gridCol w:w="1296"/>
        <w:gridCol w:w="1440"/>
      </w:tblGrid>
      <w:tr>
        <w:tc>
          <w:tcPr>
            <w:tcW w:type="dxa" w:w="1560"/>
            <w:shd w:fill="113166"/>
            <w:tcMar>
              <w:top w:w="70" w:type="dxa"/>
              <w:bottom w:w="70" w:type="dxa"/>
              <w:left w:w="60" w:type="dxa"/>
              <w:right w:w="60" w:type="dxa"/>
            </w:tcMar>
          </w:tcPr>
          <w:p>
            <w:r>
              <w:rPr>
                <w:b/>
                <w:color w:val="FFFFFF"/>
                <w:sz w:val="17"/>
              </w:rPr>
              <w:t>Item #</w:t>
            </w:r>
          </w:p>
        </w:tc>
        <w:tc>
          <w:tcPr>
            <w:tcW w:type="dxa" w:w="1560"/>
            <w:shd w:fill="113166"/>
            <w:tcMar>
              <w:top w:w="70" w:type="dxa"/>
              <w:bottom w:w="70" w:type="dxa"/>
              <w:left w:w="60" w:type="dxa"/>
              <w:right w:w="60" w:type="dxa"/>
            </w:tcMar>
          </w:tcPr>
          <w:p>
            <w:r>
              <w:rPr>
                <w:b/>
                <w:color w:val="FFFFFF"/>
                <w:sz w:val="17"/>
              </w:rPr>
              <w:t>Subsystem / Component</w:t>
            </w:r>
          </w:p>
        </w:tc>
        <w:tc>
          <w:tcPr>
            <w:tcW w:type="dxa" w:w="1560"/>
            <w:shd w:fill="113166"/>
            <w:tcMar>
              <w:top w:w="70" w:type="dxa"/>
              <w:bottom w:w="70" w:type="dxa"/>
              <w:left w:w="60" w:type="dxa"/>
              <w:right w:w="60" w:type="dxa"/>
            </w:tcMar>
          </w:tcPr>
          <w:p>
            <w:r>
              <w:rPr>
                <w:b/>
                <w:color w:val="FFFFFF"/>
                <w:sz w:val="17"/>
              </w:rPr>
              <w:t>Part / Specification</w:t>
            </w:r>
          </w:p>
        </w:tc>
        <w:tc>
          <w:tcPr>
            <w:tcW w:type="dxa" w:w="1560"/>
            <w:shd w:fill="113166"/>
            <w:tcMar>
              <w:top w:w="70" w:type="dxa"/>
              <w:bottom w:w="70" w:type="dxa"/>
              <w:left w:w="60" w:type="dxa"/>
              <w:right w:w="60" w:type="dxa"/>
            </w:tcMar>
          </w:tcPr>
          <w:p>
            <w:r>
              <w:rPr>
                <w:b/>
                <w:color w:val="FFFFFF"/>
                <w:sz w:val="17"/>
              </w:rPr>
              <w:t>Qty</w:t>
            </w:r>
          </w:p>
        </w:tc>
        <w:tc>
          <w:tcPr>
            <w:tcW w:type="dxa" w:w="1560"/>
            <w:shd w:fill="113166"/>
            <w:tcMar>
              <w:top w:w="70" w:type="dxa"/>
              <w:bottom w:w="70" w:type="dxa"/>
              <w:left w:w="60" w:type="dxa"/>
              <w:right w:w="60" w:type="dxa"/>
            </w:tcMar>
          </w:tcPr>
          <w:p>
            <w:r>
              <w:rPr>
                <w:b/>
                <w:color w:val="FFFFFF"/>
                <w:sz w:val="17"/>
              </w:rPr>
              <w:t>Cost (INR)</w:t>
            </w:r>
          </w:p>
        </w:tc>
        <w:tc>
          <w:tcPr>
            <w:tcW w:type="dxa" w:w="1560"/>
            <w:shd w:fill="113166"/>
            <w:tcMar>
              <w:top w:w="70" w:type="dxa"/>
              <w:bottom w:w="70" w:type="dxa"/>
              <w:left w:w="60" w:type="dxa"/>
              <w:right w:w="60" w:type="dxa"/>
            </w:tcMar>
          </w:tcPr>
          <w:p>
            <w:r>
              <w:rPr>
                <w:b/>
                <w:color w:val="FFFFFF"/>
                <w:sz w:val="17"/>
              </w:rPr>
              <w:t>Invoice Status</w:t>
            </w:r>
          </w:p>
        </w:tc>
      </w:tr>
      <w:tr>
        <w:tc>
          <w:tcPr>
            <w:tcW w:type="dxa" w:w="1560"/>
            <w:shd w:fill="F8FAFC"/>
            <w:tcMar>
              <w:top w:w="50" w:type="dxa"/>
              <w:bottom w:w="50" w:type="dxa"/>
              <w:left w:w="60" w:type="dxa"/>
              <w:right w:w="60" w:type="dxa"/>
            </w:tcMar>
          </w:tcPr>
          <w:p>
            <w:pPr>
              <w:spacing w:after="0"/>
            </w:pPr>
            <w:r>
              <w:rPr>
                <w:b/>
                <w:color w:val="1E293B"/>
                <w:sz w:val="16"/>
              </w:rPr>
              <w:t>BOM-01</w:t>
            </w:r>
          </w:p>
        </w:tc>
        <w:tc>
          <w:tcPr>
            <w:tcW w:type="dxa" w:w="1560"/>
            <w:shd w:fill="F8FAFC"/>
            <w:tcMar>
              <w:top w:w="50" w:type="dxa"/>
              <w:bottom w:w="50" w:type="dxa"/>
              <w:left w:w="60" w:type="dxa"/>
              <w:right w:w="60" w:type="dxa"/>
            </w:tcMar>
          </w:tcPr>
          <w:p>
            <w:pPr>
              <w:spacing w:after="0"/>
            </w:pPr>
            <w:r>
              <w:rPr>
                <w:color w:val="334155"/>
                <w:sz w:val="16"/>
              </w:rPr>
              <w:t>Infrared Thermopile Radiometer</w:t>
            </w:r>
          </w:p>
        </w:tc>
        <w:tc>
          <w:tcPr>
            <w:tcW w:type="dxa" w:w="1560"/>
            <w:shd w:fill="F8FAFC"/>
            <w:tcMar>
              <w:top w:w="50" w:type="dxa"/>
              <w:bottom w:w="50" w:type="dxa"/>
              <w:left w:w="60" w:type="dxa"/>
              <w:right w:w="60" w:type="dxa"/>
            </w:tcMar>
          </w:tcPr>
          <w:p>
            <w:pPr>
              <w:spacing w:after="0"/>
            </w:pPr>
            <w:r>
              <w:rPr>
                <w:color w:val="334155"/>
                <w:sz w:val="16"/>
              </w:rPr>
              <w:t>Melexis MLX90614-ESF-BAA (I2C)</w:t>
            </w:r>
          </w:p>
        </w:tc>
        <w:tc>
          <w:tcPr>
            <w:tcW w:type="dxa" w:w="1560"/>
            <w:shd w:fill="F8FAFC"/>
            <w:tcMar>
              <w:top w:w="50" w:type="dxa"/>
              <w:bottom w:w="50" w:type="dxa"/>
              <w:left w:w="60" w:type="dxa"/>
              <w:right w:w="60" w:type="dxa"/>
            </w:tcMar>
          </w:tcPr>
          <w:p>
            <w:pPr>
              <w:spacing w:after="0"/>
            </w:pPr>
            <w:r>
              <w:rPr>
                <w:color w:val="334155"/>
                <w:sz w:val="16"/>
              </w:rPr>
              <w:t>1</w:t>
            </w:r>
          </w:p>
        </w:tc>
        <w:tc>
          <w:tcPr>
            <w:tcW w:type="dxa" w:w="1560"/>
            <w:shd w:fill="F8FAFC"/>
            <w:tcMar>
              <w:top w:w="50" w:type="dxa"/>
              <w:bottom w:w="50" w:type="dxa"/>
              <w:left w:w="60" w:type="dxa"/>
              <w:right w:w="60" w:type="dxa"/>
            </w:tcMar>
          </w:tcPr>
          <w:p>
            <w:pPr>
              <w:spacing w:after="0"/>
            </w:pPr>
            <w:r>
              <w:rPr>
                <w:b/>
                <w:color w:val="113166"/>
                <w:sz w:val="16"/>
              </w:rPr>
              <w:t>₹ 1,250</w:t>
            </w:r>
          </w:p>
        </w:tc>
        <w:tc>
          <w:tcPr>
            <w:tcW w:type="dxa" w:w="1560"/>
            <w:shd w:fill="F8FAFC"/>
            <w:tcMar>
              <w:top w:w="50" w:type="dxa"/>
              <w:bottom w:w="50" w:type="dxa"/>
              <w:left w:w="60" w:type="dxa"/>
              <w:right w:w="60" w:type="dxa"/>
            </w:tcMar>
          </w:tcPr>
          <w:p>
            <w:pPr>
              <w:spacing w:after="0"/>
            </w:pPr>
            <w:r>
              <w:rPr>
                <w:b/>
                <w:color w:val="10954A"/>
                <w:sz w:val="16"/>
              </w:rPr>
              <w:t>GST Invoice Verified</w:t>
            </w:r>
          </w:p>
        </w:tc>
      </w:tr>
      <w:tr>
        <w:tc>
          <w:tcPr>
            <w:tcW w:type="dxa" w:w="1560"/>
            <w:shd w:fill="FFFFFF"/>
            <w:tcMar>
              <w:top w:w="50" w:type="dxa"/>
              <w:bottom w:w="50" w:type="dxa"/>
              <w:left w:w="60" w:type="dxa"/>
              <w:right w:w="60" w:type="dxa"/>
            </w:tcMar>
          </w:tcPr>
          <w:p>
            <w:pPr>
              <w:spacing w:after="0"/>
            </w:pPr>
            <w:r>
              <w:rPr>
                <w:b/>
                <w:color w:val="1E293B"/>
                <w:sz w:val="16"/>
              </w:rPr>
              <w:t>BOM-02</w:t>
            </w:r>
          </w:p>
        </w:tc>
        <w:tc>
          <w:tcPr>
            <w:tcW w:type="dxa" w:w="1560"/>
            <w:shd w:fill="FFFFFF"/>
            <w:tcMar>
              <w:top w:w="50" w:type="dxa"/>
              <w:bottom w:w="50" w:type="dxa"/>
              <w:left w:w="60" w:type="dxa"/>
              <w:right w:w="60" w:type="dxa"/>
            </w:tcMar>
          </w:tcPr>
          <w:p>
            <w:pPr>
              <w:spacing w:after="0"/>
            </w:pPr>
            <w:r>
              <w:rPr>
                <w:color w:val="334155"/>
                <w:sz w:val="16"/>
              </w:rPr>
              <w:t>Wide-Angle Optical Sensor</w:t>
            </w:r>
          </w:p>
        </w:tc>
        <w:tc>
          <w:tcPr>
            <w:tcW w:type="dxa" w:w="1560"/>
            <w:shd w:fill="FFFFFF"/>
            <w:tcMar>
              <w:top w:w="50" w:type="dxa"/>
              <w:bottom w:w="50" w:type="dxa"/>
              <w:left w:w="60" w:type="dxa"/>
              <w:right w:w="60" w:type="dxa"/>
            </w:tcMar>
          </w:tcPr>
          <w:p>
            <w:pPr>
              <w:spacing w:after="0"/>
            </w:pPr>
            <w:r>
              <w:rPr>
                <w:color w:val="334155"/>
                <w:sz w:val="16"/>
              </w:rPr>
              <w:t>Sony IMX219 / 120° FOV M12</w:t>
            </w:r>
          </w:p>
        </w:tc>
        <w:tc>
          <w:tcPr>
            <w:tcW w:type="dxa" w:w="1560"/>
            <w:shd w:fill="FFFFFF"/>
            <w:tcMar>
              <w:top w:w="50" w:type="dxa"/>
              <w:bottom w:w="50" w:type="dxa"/>
              <w:left w:w="60" w:type="dxa"/>
              <w:right w:w="60" w:type="dxa"/>
            </w:tcMar>
          </w:tcPr>
          <w:p>
            <w:pPr>
              <w:spacing w:after="0"/>
            </w:pPr>
            <w:r>
              <w:rPr>
                <w:color w:val="334155"/>
                <w:sz w:val="16"/>
              </w:rPr>
              <w:t>1</w:t>
            </w:r>
          </w:p>
        </w:tc>
        <w:tc>
          <w:tcPr>
            <w:tcW w:type="dxa" w:w="1560"/>
            <w:shd w:fill="FFFFFF"/>
            <w:tcMar>
              <w:top w:w="50" w:type="dxa"/>
              <w:bottom w:w="50" w:type="dxa"/>
              <w:left w:w="60" w:type="dxa"/>
              <w:right w:w="60" w:type="dxa"/>
            </w:tcMar>
          </w:tcPr>
          <w:p>
            <w:pPr>
              <w:spacing w:after="0"/>
            </w:pPr>
            <w:r>
              <w:rPr>
                <w:b/>
                <w:color w:val="113166"/>
                <w:sz w:val="16"/>
              </w:rPr>
              <w:t>₹ 1,800</w:t>
            </w:r>
          </w:p>
        </w:tc>
        <w:tc>
          <w:tcPr>
            <w:tcW w:type="dxa" w:w="1560"/>
            <w:shd w:fill="FFFFFF"/>
            <w:tcMar>
              <w:top w:w="50" w:type="dxa"/>
              <w:bottom w:w="50" w:type="dxa"/>
              <w:left w:w="60" w:type="dxa"/>
              <w:right w:w="60" w:type="dxa"/>
            </w:tcMar>
          </w:tcPr>
          <w:p>
            <w:pPr>
              <w:spacing w:after="0"/>
            </w:pPr>
            <w:r>
              <w:rPr>
                <w:b/>
                <w:color w:val="10954A"/>
                <w:sz w:val="16"/>
              </w:rPr>
              <w:t>GST Invoice Verified</w:t>
            </w:r>
          </w:p>
        </w:tc>
      </w:tr>
      <w:tr>
        <w:tc>
          <w:tcPr>
            <w:tcW w:type="dxa" w:w="1560"/>
            <w:shd w:fill="F8FAFC"/>
            <w:tcMar>
              <w:top w:w="50" w:type="dxa"/>
              <w:bottom w:w="50" w:type="dxa"/>
              <w:left w:w="60" w:type="dxa"/>
              <w:right w:w="60" w:type="dxa"/>
            </w:tcMar>
          </w:tcPr>
          <w:p>
            <w:pPr>
              <w:spacing w:after="0"/>
            </w:pPr>
            <w:r>
              <w:rPr>
                <w:b/>
                <w:color w:val="1E293B"/>
                <w:sz w:val="16"/>
              </w:rPr>
              <w:t>BOM-03</w:t>
            </w:r>
          </w:p>
        </w:tc>
        <w:tc>
          <w:tcPr>
            <w:tcW w:type="dxa" w:w="1560"/>
            <w:shd w:fill="F8FAFC"/>
            <w:tcMar>
              <w:top w:w="50" w:type="dxa"/>
              <w:bottom w:w="50" w:type="dxa"/>
              <w:left w:w="60" w:type="dxa"/>
              <w:right w:w="60" w:type="dxa"/>
            </w:tcMar>
          </w:tcPr>
          <w:p>
            <w:pPr>
              <w:spacing w:after="0"/>
            </w:pPr>
            <w:r>
              <w:rPr>
                <w:color w:val="334155"/>
                <w:sz w:val="16"/>
              </w:rPr>
              <w:t>Dual-Axis Metal Gear Servos</w:t>
            </w:r>
          </w:p>
        </w:tc>
        <w:tc>
          <w:tcPr>
            <w:tcW w:type="dxa" w:w="1560"/>
            <w:shd w:fill="F8FAFC"/>
            <w:tcMar>
              <w:top w:w="50" w:type="dxa"/>
              <w:bottom w:w="50" w:type="dxa"/>
              <w:left w:w="60" w:type="dxa"/>
              <w:right w:w="60" w:type="dxa"/>
            </w:tcMar>
          </w:tcPr>
          <w:p>
            <w:pPr>
              <w:spacing w:after="0"/>
            </w:pPr>
            <w:r>
              <w:rPr>
                <w:color w:val="334155"/>
                <w:sz w:val="16"/>
              </w:rPr>
              <w:t>TowerPro MG996R High-Torque (2x)</w:t>
            </w:r>
          </w:p>
        </w:tc>
        <w:tc>
          <w:tcPr>
            <w:tcW w:type="dxa" w:w="1560"/>
            <w:shd w:fill="F8FAFC"/>
            <w:tcMar>
              <w:top w:w="50" w:type="dxa"/>
              <w:bottom w:w="50" w:type="dxa"/>
              <w:left w:w="60" w:type="dxa"/>
              <w:right w:w="60" w:type="dxa"/>
            </w:tcMar>
          </w:tcPr>
          <w:p>
            <w:pPr>
              <w:spacing w:after="0"/>
            </w:pPr>
            <w:r>
              <w:rPr>
                <w:color w:val="334155"/>
                <w:sz w:val="16"/>
              </w:rPr>
              <w:t>2</w:t>
            </w:r>
          </w:p>
        </w:tc>
        <w:tc>
          <w:tcPr>
            <w:tcW w:type="dxa" w:w="1560"/>
            <w:shd w:fill="F8FAFC"/>
            <w:tcMar>
              <w:top w:w="50" w:type="dxa"/>
              <w:bottom w:w="50" w:type="dxa"/>
              <w:left w:w="60" w:type="dxa"/>
              <w:right w:w="60" w:type="dxa"/>
            </w:tcMar>
          </w:tcPr>
          <w:p>
            <w:pPr>
              <w:spacing w:after="0"/>
            </w:pPr>
            <w:r>
              <w:rPr>
                <w:b/>
                <w:color w:val="113166"/>
                <w:sz w:val="16"/>
              </w:rPr>
              <w:t>₹ 980</w:t>
            </w:r>
          </w:p>
        </w:tc>
        <w:tc>
          <w:tcPr>
            <w:tcW w:type="dxa" w:w="1560"/>
            <w:shd w:fill="F8FAFC"/>
            <w:tcMar>
              <w:top w:w="50" w:type="dxa"/>
              <w:bottom w:w="50" w:type="dxa"/>
              <w:left w:w="60" w:type="dxa"/>
              <w:right w:w="60" w:type="dxa"/>
            </w:tcMar>
          </w:tcPr>
          <w:p>
            <w:pPr>
              <w:spacing w:after="0"/>
            </w:pPr>
            <w:r>
              <w:rPr>
                <w:b/>
                <w:color w:val="10954A"/>
                <w:sz w:val="16"/>
              </w:rPr>
              <w:t>GST Invoice Verified</w:t>
            </w:r>
          </w:p>
        </w:tc>
      </w:tr>
      <w:tr>
        <w:tc>
          <w:tcPr>
            <w:tcW w:type="dxa" w:w="1560"/>
            <w:shd w:fill="FFFFFF"/>
            <w:tcMar>
              <w:top w:w="50" w:type="dxa"/>
              <w:bottom w:w="50" w:type="dxa"/>
              <w:left w:w="60" w:type="dxa"/>
              <w:right w:w="60" w:type="dxa"/>
            </w:tcMar>
          </w:tcPr>
          <w:p>
            <w:pPr>
              <w:spacing w:after="0"/>
            </w:pPr>
            <w:r>
              <w:rPr>
                <w:b/>
                <w:color w:val="1E293B"/>
                <w:sz w:val="16"/>
              </w:rPr>
              <w:t>BOM-04</w:t>
            </w:r>
          </w:p>
        </w:tc>
        <w:tc>
          <w:tcPr>
            <w:tcW w:type="dxa" w:w="1560"/>
            <w:shd w:fill="FFFFFF"/>
            <w:tcMar>
              <w:top w:w="50" w:type="dxa"/>
              <w:bottom w:w="50" w:type="dxa"/>
              <w:left w:w="60" w:type="dxa"/>
              <w:right w:w="60" w:type="dxa"/>
            </w:tcMar>
          </w:tcPr>
          <w:p>
            <w:pPr>
              <w:spacing w:after="0"/>
            </w:pPr>
            <w:r>
              <w:rPr>
                <w:color w:val="334155"/>
                <w:sz w:val="16"/>
              </w:rPr>
              <w:t>12V Micro-Solenoid Gas Valve</w:t>
            </w:r>
          </w:p>
        </w:tc>
        <w:tc>
          <w:tcPr>
            <w:tcW w:type="dxa" w:w="1560"/>
            <w:shd w:fill="FFFFFF"/>
            <w:tcMar>
              <w:top w:w="50" w:type="dxa"/>
              <w:bottom w:w="50" w:type="dxa"/>
              <w:left w:w="60" w:type="dxa"/>
              <w:right w:w="60" w:type="dxa"/>
            </w:tcMar>
          </w:tcPr>
          <w:p>
            <w:pPr>
              <w:spacing w:after="0"/>
            </w:pPr>
            <w:r>
              <w:rPr>
                <w:color w:val="334155"/>
                <w:sz w:val="16"/>
              </w:rPr>
              <w:t>Normally Closed 1/4" NPT Brass</w:t>
            </w:r>
          </w:p>
        </w:tc>
        <w:tc>
          <w:tcPr>
            <w:tcW w:type="dxa" w:w="1560"/>
            <w:shd w:fill="FFFFFF"/>
            <w:tcMar>
              <w:top w:w="50" w:type="dxa"/>
              <w:bottom w:w="50" w:type="dxa"/>
              <w:left w:w="60" w:type="dxa"/>
              <w:right w:w="60" w:type="dxa"/>
            </w:tcMar>
          </w:tcPr>
          <w:p>
            <w:pPr>
              <w:spacing w:after="0"/>
            </w:pPr>
            <w:r>
              <w:rPr>
                <w:color w:val="334155"/>
                <w:sz w:val="16"/>
              </w:rPr>
              <w:t>1</w:t>
            </w:r>
          </w:p>
        </w:tc>
        <w:tc>
          <w:tcPr>
            <w:tcW w:type="dxa" w:w="1560"/>
            <w:shd w:fill="FFFFFF"/>
            <w:tcMar>
              <w:top w:w="50" w:type="dxa"/>
              <w:bottom w:w="50" w:type="dxa"/>
              <w:left w:w="60" w:type="dxa"/>
              <w:right w:w="60" w:type="dxa"/>
            </w:tcMar>
          </w:tcPr>
          <w:p>
            <w:pPr>
              <w:spacing w:after="0"/>
            </w:pPr>
            <w:r>
              <w:rPr>
                <w:b/>
                <w:color w:val="113166"/>
                <w:sz w:val="16"/>
              </w:rPr>
              <w:t>₹ 650</w:t>
            </w:r>
          </w:p>
        </w:tc>
        <w:tc>
          <w:tcPr>
            <w:tcW w:type="dxa" w:w="1560"/>
            <w:shd w:fill="FFFFFF"/>
            <w:tcMar>
              <w:top w:w="50" w:type="dxa"/>
              <w:bottom w:w="50" w:type="dxa"/>
              <w:left w:w="60" w:type="dxa"/>
              <w:right w:w="60" w:type="dxa"/>
            </w:tcMar>
          </w:tcPr>
          <w:p>
            <w:pPr>
              <w:spacing w:after="0"/>
            </w:pPr>
            <w:r>
              <w:rPr>
                <w:b/>
                <w:color w:val="10954A"/>
                <w:sz w:val="16"/>
              </w:rPr>
              <w:t>GST Invoice Verified</w:t>
            </w:r>
          </w:p>
        </w:tc>
      </w:tr>
      <w:tr>
        <w:tc>
          <w:tcPr>
            <w:tcW w:type="dxa" w:w="1560"/>
            <w:shd w:fill="F8FAFC"/>
            <w:tcMar>
              <w:top w:w="50" w:type="dxa"/>
              <w:bottom w:w="50" w:type="dxa"/>
              <w:left w:w="60" w:type="dxa"/>
              <w:right w:w="60" w:type="dxa"/>
            </w:tcMar>
          </w:tcPr>
          <w:p>
            <w:pPr>
              <w:spacing w:after="0"/>
            </w:pPr>
            <w:r>
              <w:rPr>
                <w:b/>
                <w:color w:val="1E293B"/>
                <w:sz w:val="16"/>
              </w:rPr>
              <w:t>BOM-05</w:t>
            </w:r>
          </w:p>
        </w:tc>
        <w:tc>
          <w:tcPr>
            <w:tcW w:type="dxa" w:w="1560"/>
            <w:shd w:fill="F8FAFC"/>
            <w:tcMar>
              <w:top w:w="50" w:type="dxa"/>
              <w:bottom w:w="50" w:type="dxa"/>
              <w:left w:w="60" w:type="dxa"/>
              <w:right w:w="60" w:type="dxa"/>
            </w:tcMar>
          </w:tcPr>
          <w:p>
            <w:pPr>
              <w:spacing w:after="0"/>
            </w:pPr>
            <w:r>
              <w:rPr>
                <w:color w:val="334155"/>
                <w:sz w:val="16"/>
              </w:rPr>
              <w:t>Pressurized N2 Gas &amp; Regulator</w:t>
            </w:r>
          </w:p>
        </w:tc>
        <w:tc>
          <w:tcPr>
            <w:tcW w:type="dxa" w:w="1560"/>
            <w:shd w:fill="F8FAFC"/>
            <w:tcMar>
              <w:top w:w="50" w:type="dxa"/>
              <w:bottom w:w="50" w:type="dxa"/>
              <w:left w:w="60" w:type="dxa"/>
              <w:right w:w="60" w:type="dxa"/>
            </w:tcMar>
          </w:tcPr>
          <w:p>
            <w:pPr>
              <w:spacing w:after="0"/>
            </w:pPr>
            <w:r>
              <w:rPr>
                <w:color w:val="334155"/>
                <w:sz w:val="16"/>
              </w:rPr>
              <w:t>16g N2 Cartridge + Brass Regulator</w:t>
            </w:r>
          </w:p>
        </w:tc>
        <w:tc>
          <w:tcPr>
            <w:tcW w:type="dxa" w:w="1560"/>
            <w:shd w:fill="F8FAFC"/>
            <w:tcMar>
              <w:top w:w="50" w:type="dxa"/>
              <w:bottom w:w="50" w:type="dxa"/>
              <w:left w:w="60" w:type="dxa"/>
              <w:right w:w="60" w:type="dxa"/>
            </w:tcMar>
          </w:tcPr>
          <w:p>
            <w:pPr>
              <w:spacing w:after="0"/>
            </w:pPr>
            <w:r>
              <w:rPr>
                <w:color w:val="334155"/>
                <w:sz w:val="16"/>
              </w:rPr>
              <w:t>2</w:t>
            </w:r>
          </w:p>
        </w:tc>
        <w:tc>
          <w:tcPr>
            <w:tcW w:type="dxa" w:w="1560"/>
            <w:shd w:fill="F8FAFC"/>
            <w:tcMar>
              <w:top w:w="50" w:type="dxa"/>
              <w:bottom w:w="50" w:type="dxa"/>
              <w:left w:w="60" w:type="dxa"/>
              <w:right w:w="60" w:type="dxa"/>
            </w:tcMar>
          </w:tcPr>
          <w:p>
            <w:pPr>
              <w:spacing w:after="0"/>
            </w:pPr>
            <w:r>
              <w:rPr>
                <w:b/>
                <w:color w:val="113166"/>
                <w:sz w:val="16"/>
              </w:rPr>
              <w:t>₹ 750</w:t>
            </w:r>
          </w:p>
        </w:tc>
        <w:tc>
          <w:tcPr>
            <w:tcW w:type="dxa" w:w="1560"/>
            <w:shd w:fill="F8FAFC"/>
            <w:tcMar>
              <w:top w:w="50" w:type="dxa"/>
              <w:bottom w:w="50" w:type="dxa"/>
              <w:left w:w="60" w:type="dxa"/>
              <w:right w:w="60" w:type="dxa"/>
            </w:tcMar>
          </w:tcPr>
          <w:p>
            <w:pPr>
              <w:spacing w:after="0"/>
            </w:pPr>
            <w:r>
              <w:rPr>
                <w:b/>
                <w:color w:val="10954A"/>
                <w:sz w:val="16"/>
              </w:rPr>
              <w:t>Retail Bill Verified</w:t>
            </w:r>
          </w:p>
        </w:tc>
      </w:tr>
      <w:tr>
        <w:tc>
          <w:tcPr>
            <w:tcW w:type="dxa" w:w="1560"/>
            <w:shd w:fill="FFFFFF"/>
            <w:tcMar>
              <w:top w:w="50" w:type="dxa"/>
              <w:bottom w:w="50" w:type="dxa"/>
              <w:left w:w="60" w:type="dxa"/>
              <w:right w:w="60" w:type="dxa"/>
            </w:tcMar>
          </w:tcPr>
          <w:p>
            <w:pPr>
              <w:spacing w:after="0"/>
            </w:pPr>
            <w:r>
              <w:rPr>
                <w:b/>
                <w:color w:val="1E293B"/>
                <w:sz w:val="16"/>
              </w:rPr>
              <w:t>BOM-06</w:t>
            </w:r>
          </w:p>
        </w:tc>
        <w:tc>
          <w:tcPr>
            <w:tcW w:type="dxa" w:w="1560"/>
            <w:shd w:fill="FFFFFF"/>
            <w:tcMar>
              <w:top w:w="50" w:type="dxa"/>
              <w:bottom w:w="50" w:type="dxa"/>
              <w:left w:w="60" w:type="dxa"/>
              <w:right w:w="60" w:type="dxa"/>
            </w:tcMar>
          </w:tcPr>
          <w:p>
            <w:pPr>
              <w:spacing w:after="0"/>
            </w:pPr>
            <w:r>
              <w:rPr>
                <w:color w:val="334155"/>
                <w:sz w:val="16"/>
              </w:rPr>
              <w:t>MOSFET Driver &amp; Protection</w:t>
            </w:r>
          </w:p>
        </w:tc>
        <w:tc>
          <w:tcPr>
            <w:tcW w:type="dxa" w:w="1560"/>
            <w:shd w:fill="FFFFFF"/>
            <w:tcMar>
              <w:top w:w="50" w:type="dxa"/>
              <w:bottom w:w="50" w:type="dxa"/>
              <w:left w:w="60" w:type="dxa"/>
              <w:right w:w="60" w:type="dxa"/>
            </w:tcMar>
          </w:tcPr>
          <w:p>
            <w:pPr>
              <w:spacing w:after="0"/>
            </w:pPr>
            <w:r>
              <w:rPr>
                <w:color w:val="334155"/>
                <w:sz w:val="16"/>
              </w:rPr>
              <w:t>IRLZ44N FET + 1N4007 Flyback Diode</w:t>
            </w:r>
          </w:p>
        </w:tc>
        <w:tc>
          <w:tcPr>
            <w:tcW w:type="dxa" w:w="1560"/>
            <w:shd w:fill="FFFFFF"/>
            <w:tcMar>
              <w:top w:w="50" w:type="dxa"/>
              <w:bottom w:w="50" w:type="dxa"/>
              <w:left w:w="60" w:type="dxa"/>
              <w:right w:w="60" w:type="dxa"/>
            </w:tcMar>
          </w:tcPr>
          <w:p>
            <w:pPr>
              <w:spacing w:after="0"/>
            </w:pPr>
            <w:r>
              <w:rPr>
                <w:color w:val="334155"/>
                <w:sz w:val="16"/>
              </w:rPr>
              <w:t>1</w:t>
            </w:r>
          </w:p>
        </w:tc>
        <w:tc>
          <w:tcPr>
            <w:tcW w:type="dxa" w:w="1560"/>
            <w:shd w:fill="FFFFFF"/>
            <w:tcMar>
              <w:top w:w="50" w:type="dxa"/>
              <w:bottom w:w="50" w:type="dxa"/>
              <w:left w:w="60" w:type="dxa"/>
              <w:right w:w="60" w:type="dxa"/>
            </w:tcMar>
          </w:tcPr>
          <w:p>
            <w:pPr>
              <w:spacing w:after="0"/>
            </w:pPr>
            <w:r>
              <w:rPr>
                <w:b/>
                <w:color w:val="113166"/>
                <w:sz w:val="16"/>
              </w:rPr>
              <w:t>₹ 120</w:t>
            </w:r>
          </w:p>
        </w:tc>
        <w:tc>
          <w:tcPr>
            <w:tcW w:type="dxa" w:w="1560"/>
            <w:shd w:fill="FFFFFF"/>
            <w:tcMar>
              <w:top w:w="50" w:type="dxa"/>
              <w:bottom w:w="50" w:type="dxa"/>
              <w:left w:w="60" w:type="dxa"/>
              <w:right w:w="60" w:type="dxa"/>
            </w:tcMar>
          </w:tcPr>
          <w:p>
            <w:pPr>
              <w:spacing w:after="0"/>
            </w:pPr>
            <w:r>
              <w:rPr>
                <w:b/>
                <w:color w:val="10954A"/>
                <w:sz w:val="16"/>
              </w:rPr>
              <w:t>Component Tax Invoice</w:t>
            </w:r>
          </w:p>
        </w:tc>
      </w:tr>
      <w:tr>
        <w:tc>
          <w:tcPr>
            <w:tcW w:type="dxa" w:w="1560"/>
            <w:shd w:fill="F8FAFC"/>
            <w:tcMar>
              <w:top w:w="50" w:type="dxa"/>
              <w:bottom w:w="50" w:type="dxa"/>
              <w:left w:w="60" w:type="dxa"/>
              <w:right w:w="60" w:type="dxa"/>
            </w:tcMar>
          </w:tcPr>
          <w:p>
            <w:pPr>
              <w:spacing w:after="0"/>
            </w:pPr>
            <w:r>
              <w:rPr>
                <w:b/>
                <w:color w:val="1E293B"/>
                <w:sz w:val="16"/>
              </w:rPr>
              <w:t>BOM-07</w:t>
            </w:r>
          </w:p>
        </w:tc>
        <w:tc>
          <w:tcPr>
            <w:tcW w:type="dxa" w:w="1560"/>
            <w:shd w:fill="F8FAFC"/>
            <w:tcMar>
              <w:top w:w="50" w:type="dxa"/>
              <w:bottom w:w="50" w:type="dxa"/>
              <w:left w:w="60" w:type="dxa"/>
              <w:right w:w="60" w:type="dxa"/>
            </w:tcMar>
          </w:tcPr>
          <w:p>
            <w:pPr>
              <w:spacing w:after="0"/>
            </w:pPr>
            <w:r>
              <w:rPr>
                <w:color w:val="334155"/>
                <w:sz w:val="16"/>
              </w:rPr>
              <w:t>PETG 3D Printed Chassis</w:t>
            </w:r>
          </w:p>
        </w:tc>
        <w:tc>
          <w:tcPr>
            <w:tcW w:type="dxa" w:w="1560"/>
            <w:shd w:fill="F8FAFC"/>
            <w:tcMar>
              <w:top w:w="50" w:type="dxa"/>
              <w:bottom w:w="50" w:type="dxa"/>
              <w:left w:w="60" w:type="dxa"/>
              <w:right w:w="60" w:type="dxa"/>
            </w:tcMar>
          </w:tcPr>
          <w:p>
            <w:pPr>
              <w:spacing w:after="0"/>
            </w:pPr>
            <w:r>
              <w:rPr>
                <w:color w:val="334155"/>
                <w:sz w:val="16"/>
              </w:rPr>
              <w:t>Custom Aerospace Gimbal Mount</w:t>
            </w:r>
          </w:p>
        </w:tc>
        <w:tc>
          <w:tcPr>
            <w:tcW w:type="dxa" w:w="1560"/>
            <w:shd w:fill="F8FAFC"/>
            <w:tcMar>
              <w:top w:w="50" w:type="dxa"/>
              <w:bottom w:w="50" w:type="dxa"/>
              <w:left w:w="60" w:type="dxa"/>
              <w:right w:w="60" w:type="dxa"/>
            </w:tcMar>
          </w:tcPr>
          <w:p>
            <w:pPr>
              <w:spacing w:after="0"/>
            </w:pPr>
            <w:r>
              <w:rPr>
                <w:color w:val="334155"/>
                <w:sz w:val="16"/>
              </w:rPr>
              <w:t>1</w:t>
            </w:r>
          </w:p>
        </w:tc>
        <w:tc>
          <w:tcPr>
            <w:tcW w:type="dxa" w:w="1560"/>
            <w:shd w:fill="F8FAFC"/>
            <w:tcMar>
              <w:top w:w="50" w:type="dxa"/>
              <w:bottom w:w="50" w:type="dxa"/>
              <w:left w:w="60" w:type="dxa"/>
              <w:right w:w="60" w:type="dxa"/>
            </w:tcMar>
          </w:tcPr>
          <w:p>
            <w:pPr>
              <w:spacing w:after="0"/>
            </w:pPr>
            <w:r>
              <w:rPr>
                <w:b/>
                <w:color w:val="113166"/>
                <w:sz w:val="16"/>
              </w:rPr>
              <w:t>₹ 350</w:t>
            </w:r>
          </w:p>
        </w:tc>
        <w:tc>
          <w:tcPr>
            <w:tcW w:type="dxa" w:w="1560"/>
            <w:shd w:fill="F8FAFC"/>
            <w:tcMar>
              <w:top w:w="50" w:type="dxa"/>
              <w:bottom w:w="50" w:type="dxa"/>
              <w:left w:w="60" w:type="dxa"/>
              <w:right w:w="60" w:type="dxa"/>
            </w:tcMar>
          </w:tcPr>
          <w:p>
            <w:pPr>
              <w:spacing w:after="0"/>
            </w:pPr>
            <w:r>
              <w:rPr>
                <w:b/>
                <w:color w:val="10954A"/>
                <w:sz w:val="16"/>
              </w:rPr>
              <w:t>Lab Fabrication Slip</w:t>
            </w:r>
          </w:p>
        </w:tc>
      </w:tr>
    </w:tbl>
    <w:p>
      <w:pPr>
        <w:spacing w:after="40"/>
      </w:pPr>
    </w:p>
    <w:p>
      <w:pPr>
        <w:spacing w:after="200"/>
        <w:jc w:val="right"/>
      </w:pPr>
      <w:r>
        <w:rPr>
          <w:b/>
          <w:color w:val="113166"/>
          <w:sz w:val="20"/>
        </w:rPr>
        <w:t>TOTAL AUDITED EXPENDITURE: ₹ 5,900.00 INR</w:t>
      </w:r>
    </w:p>
    <w:p>
      <w:pPr>
        <w:pStyle w:val="Heading2"/>
      </w:pPr>
      <w:r>
        <w:rPr>
          <w:b/>
          <w:color w:val="1E293B"/>
          <w:sz w:val="22"/>
        </w:rPr>
        <w:t>4.2 Financial Receipts &amp; GST Invoice Audit</w:t>
      </w:r>
    </w:p>
    <w:p>
      <w:r>
        <w:t>Led by Paakhi, Pair 3 established an institutional financial audit folder to guarantee seamless reimbursement processing by the VIT-AP finance office:</w:t>
        <w:br/>
        <w:t>• Invoice Verification &amp; Itemization: Every physical receipt and digital PDF tax invoice was cross-checked against vendor GSTIN numbers, HSN/SAC codes, and physical hardware delivery slips.</w:t>
        <w:br/>
        <w:t>• Procurement Compliance: Verified that all electronic components (sensors, microcontrollers, servos) adhered to institutional procurement guidelines, with matching quantities and exact tax amounts.</w:t>
        <w:br/>
        <w:t>• Administrative Dossier: Created a structured billing portfolio containing: (1) Summary Reimbursement Claim Form, (2) Certified Bill of Materials, (3) Chronologically ordered original GST invoices, and (4) Photographic inventory proof of procured hardware.</w:t>
      </w:r>
    </w:p>
    <w:p>
      <w:pPr>
        <w:pStyle w:val="Heading1"/>
      </w:pPr>
      <w:r>
        <w:rPr>
          <w:b/>
          <w:color w:val="113166"/>
          <w:sz w:val="26"/>
        </w:rPr>
        <w:t>SECTION 5: SUMMARY OF DELIVERABLES &amp; ECS EXPO READINESS</w:t>
      </w:r>
    </w:p>
    <w:p>
      <w:r>
        <w:t>Pair 3 has successfully fulfilled 100% of its designated milestones, establishing an exhaustive, production-ready portfolio for the Engineering Clinics Final Evaluation and Project Expo. The completed deliverables checklist includes:</w:t>
      </w:r>
    </w:p>
    <w:p>
      <w:r>
        <w:rPr>
          <w:b/>
          <w:color w:val="10954A"/>
        </w:rPr>
        <w:t xml:space="preserve">✓ Interactive Mission Landing Portal (index.html): </w:t>
      </w:r>
      <w:r>
        <w:rPr>
          <w:color w:val="334155"/>
        </w:rPr>
        <w:t>Published live on GitHub Pages (https://utpalakshi.github.io/asfai/), featuring full-bleed hero banner, interactive multi-spectral sensor inspector, 3-stage response sequence, simulated cockpit HUD, and full NASA-style multi-column footer.</w:t>
      </w:r>
    </w:p>
    <w:p>
      <w:r>
        <w:rPr>
          <w:b/>
          <w:color w:val="10954A"/>
        </w:rPr>
        <w:t xml:space="preserve">✓ Technical Specification Portal (doc.html): </w:t>
      </w:r>
      <w:r>
        <w:rPr>
          <w:color w:val="334155"/>
        </w:rPr>
        <w:t>Published live (https://utpalakshi.github.io/asfai/doc.html), structured in NASA SP-2026 format with embedded vector architecture diagrams, complete pinouts, state machines, and printable formatting.</w:t>
      </w:r>
    </w:p>
    <w:p>
      <w:r>
        <w:rPr>
          <w:b/>
          <w:color w:val="10954A"/>
        </w:rPr>
        <w:t xml:space="preserve">✓ Design System &amp; Stylesheet (styles.css): </w:t>
      </w:r>
      <w:r>
        <w:rPr>
          <w:color w:val="334155"/>
        </w:rPr>
        <w:t>Curated aerospace color tokens, responsive CSS grid, card zoom micro-interactions, HUD targeting reticle, and custom NASA branding.</w:t>
      </w:r>
    </w:p>
    <w:p>
      <w:r>
        <w:rPr>
          <w:b/>
          <w:color w:val="10954A"/>
        </w:rPr>
        <w:t xml:space="preserve">✓ Front-End JavaScript Engine (script.js): </w:t>
      </w:r>
      <w:r>
        <w:rPr>
          <w:color w:val="334155"/>
        </w:rPr>
        <w:t>Clean, modular code powering the interactive sensor switcher, real-time simulated telemetry engine, media lightbox modal, and mobile navigation drawer.</w:t>
      </w:r>
    </w:p>
    <w:p>
      <w:r>
        <w:rPr>
          <w:b/>
          <w:color w:val="10954A"/>
        </w:rPr>
        <w:t xml:space="preserve">✓ System Flowcharts &amp; Schematic Assets: </w:t>
      </w:r>
      <w:r>
        <w:rPr>
          <w:color w:val="334155"/>
        </w:rPr>
        <w:t>Clean SVG architecture diagram and software FSM diagrams translating complex Pair 1/Pair 2 engineering data into intuitive visual blocks.</w:t>
      </w:r>
    </w:p>
    <w:p>
      <w:r>
        <w:rPr>
          <w:b/>
          <w:color w:val="10954A"/>
        </w:rPr>
        <w:t xml:space="preserve">✓ Audited Financial Portfolio &amp; BOM: </w:t>
      </w:r>
      <w:r>
        <w:rPr>
          <w:color w:val="334155"/>
        </w:rPr>
        <w:t>Complete ₹5,900 itemized BOM with verified GST tax invoices and physical inventory slips organized for institutional ECS reimbursement approval.</w:t>
      </w:r>
    </w:p>
    <w:p>
      <w:r>
        <w:rPr>
          <w:b/>
          <w:color w:val="10954A"/>
        </w:rPr>
        <w:t xml:space="preserve">✓ Project Presentation Deck &amp; Expo Script: </w:t>
      </w:r>
      <w:r>
        <w:rPr>
          <w:color w:val="334155"/>
        </w:rPr>
        <w:t>Exhibition pitch, presentation slides, and live demonstration script formulated for judging panel evaluation.</w:t>
      </w:r>
    </w:p>
    <w:p>
      <w:pPr>
        <w:spacing w:before="160"/>
      </w:pPr>
      <w:r>
        <w:rPr>
          <w:b/>
          <w:color w:val="113166"/>
        </w:rPr>
        <w:t>Statement on Team Collaboration &amp; Project Synthesis:</w:t>
        <w:br/>
      </w:r>
      <w:r>
        <w:t>The accomplishments of Pair 3 reflect a highly disciplined, synergistic partnership between Paakhi and Rahul. By maintaining clear lines of responsibility while actively challenging and refining each other’s deliverables, we succeeded in taking complex, disparate aerospace concepts and synthesizing them into a unified, visually captivating, and academically unassailable mission portal. Pair 3 stands fully prepared for the Engineering Clinics evaluation, confident that our digital platform, technical documentation, and administrative records reflect the highest standards of engineering excellence.</w:t>
      </w:r>
    </w:p>
    <w:p>
      <w:pPr>
        <w:spacing w:after="400"/>
      </w:pPr>
    </w:p>
    <w:tbl>
      <w:tblPr>
        <w:tblW w:type="auto" w:w="0"/>
        <w:jc w:val="center"/>
        <w:tblLook w:firstColumn="1" w:firstRow="1" w:lastColumn="0" w:lastRow="0" w:noHBand="0" w:noVBand="1" w:val="04A0"/>
      </w:tblPr>
      <w:tblGrid>
        <w:gridCol w:w="4608"/>
        <w:gridCol w:w="4608"/>
      </w:tblGrid>
      <w:tr>
        <w:tc>
          <w:tcPr>
            <w:tcW w:type="dxa" w:w="4680"/>
          </w:tcPr>
          <w:p>
            <w:r>
              <w:t>Prepared &amp; Submitted by:</w:t>
              <w:br/>
              <w:br/>
              <w:t>___________________________________</w:t>
              <w:br/>
              <w:t>Utpalakshi Upadhyaya (Paakhi)</w:t>
              <w:br/>
              <w:t>Lead UI/UX Designer &amp; Financial Documentation Lead</w:t>
              <w:br/>
              <w:t>Pair 3, Project ASAFI</w:t>
            </w:r>
          </w:p>
        </w:tc>
        <w:tc>
          <w:tcPr>
            <w:tcW w:type="dxa" w:w="4680"/>
          </w:tcPr>
          <w:p>
            <w:r>
              <w:t>Co-Submitted by:</w:t>
              <w:br/>
              <w:br/>
              <w:t>___________________________________</w:t>
              <w:br/>
              <w:t>Rahul</w:t>
              <w:br/>
              <w:t>Lead Front-End Developer &amp; Technical Writer</w:t>
              <w:br/>
              <w:t>Pair 3, Project ASAFI</w:t>
            </w:r>
          </w:p>
        </w:tc>
      </w:tr>
      <w:tr>
        <w:tc>
          <w:tcPr>
            <w:tcW w:type="dxa" w:w="4680"/>
          </w:tcPr>
          <w:p/>
        </w:tc>
        <w:tc>
          <w:tcPr>
            <w:tcW w:type="dxa" w:w="4680"/>
          </w:tcP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ASAFI (NASA SP-2026) | Pair 3 Progress &amp; Contribution Report (Paakhi &amp; Rahul)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