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05BD8"/>
          <w:sz w:val="17"/>
        </w:rPr>
        <w:t>VIT-AP UNIVERSITY · SCHOOL OF ELECTRONICS &amp; COMPUTER SCIENCE · ENGINEERING CLINICS</w:t>
      </w:r>
    </w:p>
    <w:p>
      <w:pPr>
        <w:spacing w:before="80" w:after="120"/>
      </w:pPr>
      <w:r>
        <w:rPr>
          <w:b/>
          <w:color w:val="0F172A"/>
          <w:sz w:val="34"/>
        </w:rPr>
        <w:t>PERSONAL INDIVIDUAL CONTRIBUTION &amp; LEARNING REPORT:</w:t>
        <w:br/>
        <w:t>PROJECT ASAFI (AUTONOMOUS FIRE INTERCEPTOR)</w:t>
      </w:r>
    </w:p>
    <w:p>
      <w:pPr>
        <w:spacing w:after="280"/>
      </w:pPr>
      <w:r>
        <w:rPr>
          <w:i/>
          <w:color w:val="475569"/>
          <w:sz w:val="22"/>
        </w:rPr>
        <w:t>Detailed Record of Personal Engineering Tasks, Technical Challenges Faced, Solutions Implemented, and Core Learnings</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55" w:type="dxa"/>
              <w:bottom w:w="55" w:type="dxa"/>
              <w:left w:w="100" w:type="dxa"/>
              <w:right w:w="100" w:type="dxa"/>
            </w:tcMar>
          </w:tcPr>
          <w:p>
            <w:pPr>
              <w:spacing w:after="0"/>
            </w:pPr>
            <w:r>
              <w:rPr>
                <w:b/>
                <w:color w:val="334155"/>
                <w:sz w:val="19"/>
              </w:rPr>
              <w:t>Student Name:</w:t>
            </w:r>
          </w:p>
        </w:tc>
        <w:tc>
          <w:tcPr>
            <w:tcW w:type="dxa" w:w="4680"/>
            <w:shd w:fill="FFFFFF"/>
            <w:tcMar>
              <w:top w:w="55" w:type="dxa"/>
              <w:bottom w:w="55" w:type="dxa"/>
              <w:left w:w="100" w:type="dxa"/>
              <w:right w:w="100" w:type="dxa"/>
            </w:tcMar>
          </w:tcPr>
          <w:p>
            <w:pPr>
              <w:spacing w:after="0"/>
            </w:pPr>
            <w:r>
              <w:rPr>
                <w:color w:val="1E293B"/>
                <w:sz w:val="19"/>
              </w:rPr>
              <w:t>Utpalakshi Upadhyaya (Paakhi)</w:t>
            </w:r>
          </w:p>
        </w:tc>
      </w:tr>
      <w:tr>
        <w:tc>
          <w:tcPr>
            <w:tcW w:type="dxa" w:w="4680"/>
            <w:shd w:fill="F8FAFC"/>
            <w:tcMar>
              <w:top w:w="55" w:type="dxa"/>
              <w:bottom w:w="55" w:type="dxa"/>
              <w:left w:w="100" w:type="dxa"/>
              <w:right w:w="100" w:type="dxa"/>
            </w:tcMar>
          </w:tcPr>
          <w:p>
            <w:pPr>
              <w:spacing w:after="0"/>
            </w:pPr>
            <w:r>
              <w:rPr>
                <w:b/>
                <w:color w:val="334155"/>
                <w:sz w:val="19"/>
              </w:rPr>
              <w:t>Course &amp; Department:</w:t>
            </w:r>
          </w:p>
        </w:tc>
        <w:tc>
          <w:tcPr>
            <w:tcW w:type="dxa" w:w="4680"/>
            <w:shd w:fill="FFFFFF"/>
            <w:tcMar>
              <w:top w:w="55" w:type="dxa"/>
              <w:bottom w:w="55" w:type="dxa"/>
              <w:left w:w="100" w:type="dxa"/>
              <w:right w:w="100" w:type="dxa"/>
            </w:tcMar>
          </w:tcPr>
          <w:p>
            <w:pPr>
              <w:spacing w:after="0"/>
            </w:pPr>
            <w:r>
              <w:rPr>
                <w:color w:val="1E293B"/>
                <w:sz w:val="19"/>
              </w:rPr>
              <w:t>Engineering Clinics (ECS) · School of Electronics &amp; Computer Science</w:t>
            </w:r>
          </w:p>
        </w:tc>
      </w:tr>
      <w:tr>
        <w:tc>
          <w:tcPr>
            <w:tcW w:type="dxa" w:w="4680"/>
            <w:shd w:fill="F8FAFC"/>
            <w:tcMar>
              <w:top w:w="55" w:type="dxa"/>
              <w:bottom w:w="55" w:type="dxa"/>
              <w:left w:w="100" w:type="dxa"/>
              <w:right w:w="100" w:type="dxa"/>
            </w:tcMar>
          </w:tcPr>
          <w:p>
            <w:pPr>
              <w:spacing w:after="0"/>
            </w:pPr>
            <w:r>
              <w:rPr>
                <w:b/>
                <w:color w:val="334155"/>
                <w:sz w:val="19"/>
              </w:rPr>
              <w:t>Institution:</w:t>
            </w:r>
          </w:p>
        </w:tc>
        <w:tc>
          <w:tcPr>
            <w:tcW w:type="dxa" w:w="4680"/>
            <w:shd w:fill="FFFFFF"/>
            <w:tcMar>
              <w:top w:w="55" w:type="dxa"/>
              <w:bottom w:w="55" w:type="dxa"/>
              <w:left w:w="100" w:type="dxa"/>
              <w:right w:w="100" w:type="dxa"/>
            </w:tcMar>
          </w:tcPr>
          <w:p>
            <w:pPr>
              <w:spacing w:after="0"/>
            </w:pPr>
            <w:r>
              <w:rPr>
                <w:color w:val="1E293B"/>
                <w:sz w:val="19"/>
              </w:rPr>
              <w:t>VIT-AP University, Andhra Pradesh</w:t>
            </w:r>
          </w:p>
        </w:tc>
      </w:tr>
      <w:tr>
        <w:tc>
          <w:tcPr>
            <w:tcW w:type="dxa" w:w="4680"/>
            <w:shd w:fill="F8FAFC"/>
            <w:tcMar>
              <w:top w:w="55" w:type="dxa"/>
              <w:bottom w:w="55" w:type="dxa"/>
              <w:left w:w="100" w:type="dxa"/>
              <w:right w:w="100" w:type="dxa"/>
            </w:tcMar>
          </w:tcPr>
          <w:p>
            <w:pPr>
              <w:spacing w:after="0"/>
            </w:pPr>
            <w:r>
              <w:rPr>
                <w:b/>
                <w:color w:val="334155"/>
                <w:sz w:val="19"/>
              </w:rPr>
              <w:t>Project Title:</w:t>
            </w:r>
          </w:p>
        </w:tc>
        <w:tc>
          <w:tcPr>
            <w:tcW w:type="dxa" w:w="4680"/>
            <w:shd w:fill="FFFFFF"/>
            <w:tcMar>
              <w:top w:w="55" w:type="dxa"/>
              <w:bottom w:w="55" w:type="dxa"/>
              <w:left w:w="100" w:type="dxa"/>
              <w:right w:w="100" w:type="dxa"/>
            </w:tcMar>
          </w:tcPr>
          <w:p>
            <w:pPr>
              <w:spacing w:after="0"/>
            </w:pPr>
            <w:r>
              <w:rPr>
                <w:color w:val="1E293B"/>
                <w:sz w:val="19"/>
              </w:rPr>
              <w:t>ASAFI (Autonomous Spacecraft Avionics Fire Interceptor)</w:t>
            </w:r>
          </w:p>
        </w:tc>
      </w:tr>
      <w:tr>
        <w:tc>
          <w:tcPr>
            <w:tcW w:type="dxa" w:w="4680"/>
            <w:shd w:fill="F8FAFC"/>
            <w:tcMar>
              <w:top w:w="55" w:type="dxa"/>
              <w:bottom w:w="55" w:type="dxa"/>
              <w:left w:w="100" w:type="dxa"/>
              <w:right w:w="100" w:type="dxa"/>
            </w:tcMar>
          </w:tcPr>
          <w:p>
            <w:pPr>
              <w:spacing w:after="0"/>
            </w:pPr>
            <w:r>
              <w:rPr>
                <w:b/>
                <w:color w:val="334155"/>
                <w:sz w:val="19"/>
              </w:rPr>
              <w:t>Individual Responsibilities:</w:t>
            </w:r>
          </w:p>
        </w:tc>
        <w:tc>
          <w:tcPr>
            <w:tcW w:type="dxa" w:w="4680"/>
            <w:shd w:fill="FFFFFF"/>
            <w:tcMar>
              <w:top w:w="55" w:type="dxa"/>
              <w:bottom w:w="55" w:type="dxa"/>
              <w:left w:w="100" w:type="dxa"/>
              <w:right w:w="100" w:type="dxa"/>
            </w:tcMar>
          </w:tcPr>
          <w:p>
            <w:pPr>
              <w:spacing w:after="0"/>
            </w:pPr>
            <w:r>
              <w:rPr>
                <w:color w:val="1E293B"/>
                <w:sz w:val="19"/>
              </w:rPr>
              <w:t>Optical Computer Vision, MLX90614 Thermal Radiometry, State Machine Logic &amp; Mission Portal</w:t>
            </w:r>
          </w:p>
        </w:tc>
      </w:tr>
      <w:tr>
        <w:tc>
          <w:tcPr>
            <w:tcW w:type="dxa" w:w="4680"/>
            <w:shd w:fill="F8FAFC"/>
            <w:tcMar>
              <w:top w:w="55" w:type="dxa"/>
              <w:bottom w:w="55" w:type="dxa"/>
              <w:left w:w="100" w:type="dxa"/>
              <w:right w:w="100" w:type="dxa"/>
            </w:tcMar>
          </w:tcPr>
          <w:p>
            <w:pPr>
              <w:spacing w:after="0"/>
            </w:pPr>
            <w:r>
              <w:rPr>
                <w:b/>
                <w:color w:val="334155"/>
                <w:sz w:val="19"/>
              </w:rPr>
              <w:t>Project Partner:</w:t>
            </w:r>
          </w:p>
        </w:tc>
        <w:tc>
          <w:tcPr>
            <w:tcW w:type="dxa" w:w="4680"/>
            <w:shd w:fill="FFFFFF"/>
            <w:tcMar>
              <w:top w:w="55" w:type="dxa"/>
              <w:bottom w:w="55" w:type="dxa"/>
              <w:left w:w="100" w:type="dxa"/>
              <w:right w:w="100" w:type="dxa"/>
            </w:tcMar>
          </w:tcPr>
          <w:p>
            <w:pPr>
              <w:spacing w:after="0"/>
            </w:pPr>
            <w:r>
              <w:rPr>
                <w:color w:val="1E293B"/>
                <w:sz w:val="19"/>
              </w:rPr>
              <w:t>Rahul (Hardware Fabrication, Servo Actuation &amp; Pneumatics)</w:t>
            </w:r>
          </w:p>
        </w:tc>
      </w:tr>
    </w:tbl>
    <w:p>
      <w:pPr>
        <w:spacing w:after="240"/>
      </w:pPr>
    </w:p>
    <w:p>
      <w:pPr>
        <w:pStyle w:val="Heading1"/>
      </w:pPr>
      <w:r>
        <w:rPr>
          <w:b/>
          <w:color w:val="105BD8"/>
          <w:sz w:val="28"/>
        </w:rPr>
        <w:t>1. Overview of My Role &amp; Scope of Personal Work</w:t>
      </w:r>
    </w:p>
    <w:p>
      <w:r>
        <w:t>Within the ASAFI project team, our collaborative effort was divided into two complementary technical domains:</w:t>
        <w:br/>
        <w:t>• My Role (Paakhi): Primary responsibility for the Perception, Sensing, Software State-Machine, and Mission Presentation Portal. Specifically, I designed and implemented the edge computer vision algorithms for optical spark detection, the I2C driver integration for the MLX90614 non-contact infrared sensor, the closed-loop state machine decision logic, and the interactive mission demonstration platform.</w:t>
        <w:br/>
        <w:t>• Partner's Role (Rahul): Primary responsibility for physical hardware actuation, mechanical bracket fabrication, dual-axis servo kinematics, the 12V pneumatic micro-solenoid valve manifold, and the pressurized nitrogen testing testbed.</w:t>
        <w:br/>
        <w:br/>
        <w:t>My overarching personal objective was to ensure that the autonomous response loop could detect an electrical spark, mathematically compute its spatial target coordinates, cross-verify it against thermal infrared signatures, and issue the fire suppression command in under 120 milliseconds.</w:t>
      </w:r>
    </w:p>
    <w:p>
      <w:pPr>
        <w:pStyle w:val="Heading1"/>
      </w:pPr>
      <w:r>
        <w:rPr>
          <w:b/>
          <w:color w:val="105BD8"/>
          <w:sz w:val="28"/>
        </w:rPr>
        <w:t>2. Detailed Engineering Tasks Undertaken by Me</w:t>
      </w:r>
    </w:p>
    <w:p>
      <w:pPr>
        <w:pStyle w:val="Heading2"/>
      </w:pPr>
      <w:r>
        <w:rPr>
          <w:b/>
          <w:color w:val="1E293B"/>
          <w:sz w:val="24"/>
        </w:rPr>
        <w:t>Task 2.1: Optical Perception Loop &amp; Spark Detection (OpenCV)</w:t>
      </w:r>
    </w:p>
    <w:p>
      <w:r>
        <w:t>I built the optical detection pipeline in Python using OpenCV to monitor the avionics enclosure in real time. The key implementation steps included:</w:t>
        <w:br/>
        <w:t>1. Video Capture Optimization: Configured the camera module to acquire 1080p frames at 60 FPS, reducing frame exposure time to prevent motion blur.</w:t>
        <w:br/>
        <w:t>2. Background Differencing: Implemented an image differencing algorithm that converts incoming frames to grayscale, applies a 5x5 Gaussian blur to filter high-frequency sensor noise, and subtracts the current frame from an exponentially weighted moving average baseline.</w:t>
        <w:br/>
        <w:t>3. HSV Color Masking for Electrical Arcs: Electrical arcing and flame ignition emit intense, distinct luminescence. I created dynamic HSV masks (Hue: 0-35, Saturation: 140-255, Value: 200-255) to specifically isolate high-energy electrical discharge regions.</w:t>
        <w:br/>
        <w:t>4. Contour &amp; Centroid Extraction: Extracted spatial contours of the candidate hotspot and computed the image moments to derive the exact centroid pixel coordinates (Cx, Cy), representing the origin of the fire hazard.</w:t>
      </w:r>
    </w:p>
    <w:p>
      <w:pPr>
        <w:pStyle w:val="Heading2"/>
      </w:pPr>
      <w:r>
        <w:rPr>
          <w:b/>
          <w:color w:val="1E293B"/>
          <w:sz w:val="24"/>
        </w:rPr>
        <w:t>Task 2.2: Contactless Infrared Radiometry Integration (MLX90614)</w:t>
      </w:r>
    </w:p>
    <w:p>
      <w:r>
        <w:t>Because optical cameras can easily be fooled by sudden lighting changes or blinking status LEDs, I introduced the Melexis MLX90614 infrared thermopile sensor as an independent physical verification layer:</w:t>
        <w:br/>
        <w:t>1. I2C / SMBus Protocol Implementation: Wrote an I2C communication driver using the smbus2 library, reading raw 16-bit temperature data from RAM register 0x07 (Object 1 Temperature) and register 0x06 (Ambient Temperature).</w:t>
        <w:br/>
        <w:t>2. Temperature Conversion &amp; Calibration: Implemented the linear conversion formula: T(°C) = (Data × 0.02) - 273.15. Factory calibration was verified using an external reference blackbody source.</w:t>
        <w:br/>
        <w:t>3. Thermal Confirmation Threshold: Established an automated software threshold (T_target &gt; 65.0°C). If the optical sensor detects a bright spot but the MLX90614 reads normal ambient temperature (&lt;45°C), the system flags it as an optical anomaly and suppresses any gas release.</w:t>
      </w:r>
    </w:p>
    <w:p>
      <w:pPr>
        <w:pStyle w:val="Heading2"/>
      </w:pPr>
      <w:r>
        <w:rPr>
          <w:b/>
          <w:color w:val="1E293B"/>
          <w:sz w:val="24"/>
        </w:rPr>
        <w:t>Task 2.3: Closed-Loop Decision Logic &amp; State Machine Architecture</w:t>
      </w:r>
    </w:p>
    <w:p>
      <w:r>
        <w:t>To ensure deterministic execution and prevent runaway software crashes, I architected a Finite State Machine (FSM) comprising five discrete states:</w:t>
        <w:br/>
        <w:t>• State 0 (Surveillance): Continuous 60 FPS background sampling; servos at home position (90°, 45°); solenoid valve closed.</w:t>
        <w:br/>
        <w:t>• State 1 (Anomaly Candidate Detected): Frame differencing threshold exceeded (ΔI &gt; 40); bounding box and centroid computed.</w:t>
        <w:br/>
        <w:t>• State 2 (Thermal Slew &amp; Verification): Centroid mapped to servo angles; gimbal slews MLX90614 to target; I2C temperature polled. If T &gt; 65°C, transition to State 3; otherwise return to State 0.</w:t>
        <w:br/>
        <w:t>• State 3 (Micro-Pulse Interception): Assert GPIO 23 HIGH for 150 milliseconds to energize the 12V solenoid via the MOSFET driver, releasing pressurized nitrogen.</w:t>
        <w:br/>
        <w:t>• State 4 (Post-Action Verification): Wait 200ms; re-poll MLX90614. If T &lt; 45°C, log telemetry event, re-home servos, and resume State 0.</w:t>
      </w:r>
    </w:p>
    <w:p>
      <w:pPr>
        <w:pStyle w:val="Heading2"/>
      </w:pPr>
      <w:r>
        <w:rPr>
          <w:b/>
          <w:color w:val="1E293B"/>
          <w:sz w:val="24"/>
        </w:rPr>
        <w:t>Task 2.4: Kinematic Coordinate-to-Angle Translation</w:t>
      </w:r>
    </w:p>
    <w:p>
      <w:r>
        <w:t>I formulated the mathematical kinematic transformation mapping pixel space to servo angular space:</w:t>
        <w:br/>
        <w:t>• Horizontal Sweep: θ_azimuth = 90° + ((Cx - 960) / 960) × (FOV_horizontal / 2)</w:t>
        <w:br/>
        <w:t>• Vertical Sweep: θ_elevation = 45° - ((Cy - 540) / 540) × (FOV_vertical / 2)</w:t>
        <w:br/>
        <w:t>Where FOV_horizontal = 120° and FOV_vertical = 70°. This algorithm converts 2D camera coordinates into precise PWM pulse widths (1.0ms to 2.0ms) sent to the dual servos.</w:t>
      </w:r>
    </w:p>
    <w:p>
      <w:pPr>
        <w:pStyle w:val="Heading2"/>
      </w:pPr>
      <w:r>
        <w:rPr>
          <w:b/>
          <w:color w:val="1E293B"/>
          <w:sz w:val="24"/>
        </w:rPr>
        <w:t>Task 2.5: Mission Presentation &amp; Demonstration System Evolution</w:t>
      </w:r>
    </w:p>
    <w:p>
      <w:r>
        <w:t>To present and demonstrate this system during academic reviews, I took the initial text-heavy prototype and completely redesigned it into a modern NASA-inspired mission portal:</w:t>
        <w:br/>
        <w:t>1. Replacing Cluttered Text with Authentic Visuals: Selected high-resolution photography representing cold-gas plumes, thermal infrared captures, and spacecraft avionics bays, replacing raw CSS wireframe placeholders.</w:t>
        <w:br/>
        <w:t>2. Multi-Spectral Interactive Inspector: Built an interactive console allowing reviewers to toggle between the Optical 4K CV feed, MLX90614 Thermal Radiometry, and Cold-Gas Nozzle plume with live targeting crosshairs.</w:t>
        <w:br/>
        <w:t>3. Live Cockpit HUD Telemetry Engine: Programmed an asynchronous JavaScript simulation of the live avionics telemetry downlink (Azimuth, Elevation, Core Temperature, and Reservoir Pressure) to demonstrate the real-time operational loop.</w:t>
        <w:br/>
        <w:t>4. Technical Documentation Portal (doc.html): Moved the circuit schematics, wiring pinouts, and the ₹5,900 Bill of Materials into a formal NASA SP Technical Memorandum document.</w:t>
      </w:r>
    </w:p>
    <w:p>
      <w:pPr>
        <w:pStyle w:val="Heading1"/>
      </w:pPr>
      <w:r>
        <w:rPr>
          <w:b/>
          <w:color w:val="105BD8"/>
          <w:sz w:val="28"/>
        </w:rPr>
        <w:t>3. Key Technical Challenges Faced &amp; Solutions Implemented</w:t>
      </w:r>
    </w:p>
    <w:p>
      <w:r>
        <w:t>During the conception, coding, and physical debugging of ASAFI, I encountered several major engineering roadblocks. The following section describes how I identified and systematically solved each challenge:</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105BD8"/>
              <w:bottom w:val="none"/>
              <w:right w:val="none"/>
            </w:tcBorders>
          </w:tcPr>
          <w:p>
            <w:pPr>
              <w:spacing w:before="40" w:after="40"/>
            </w:pPr>
            <w:r>
              <w:rPr>
                <w:rFonts w:ascii="Arial" w:hAnsi="Arial"/>
                <w:b/>
                <w:color w:val="105BD8"/>
                <w:sz w:val="19"/>
              </w:rPr>
              <w:t xml:space="preserve">[CHALLENGE 1: OPTICAL FALSE ALARMS &amp; REFLECTIONS] </w:t>
            </w:r>
            <w:r>
              <w:rPr>
                <w:rFonts w:ascii="Arial" w:hAnsi="Arial"/>
                <w:color w:val="334155"/>
                <w:sz w:val="19"/>
              </w:rPr>
              <w:t>Challenge: In initial testing, blinking avionics indicator LEDs and reflections off metallic testbed walls caused frequent optical false alarms, mistakenly triggering the vision pipeline.</w:t>
              <w:br/>
              <w:t>My Solution: I established a dual-stage verification architecture. Optical detection is treated solely as a candidate trigger. Physical gas actuation is strictly inhibited until the MLX90614 sensor slews to the target and verifies an actual thermal spike above 65°C. This completely eliminated false-positive discharges across 50 consecutive test runs.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105BD8"/>
              <w:bottom w:val="none"/>
              <w:right w:val="none"/>
            </w:tcBorders>
          </w:tcPr>
          <w:p>
            <w:pPr>
              <w:spacing w:before="40" w:after="40"/>
            </w:pPr>
            <w:r>
              <w:rPr>
                <w:rFonts w:ascii="Arial" w:hAnsi="Arial"/>
                <w:b/>
                <w:color w:val="105BD8"/>
                <w:sz w:val="19"/>
              </w:rPr>
              <w:t xml:space="preserve">[CHALLENGE 2: SUB-SECOND LATENCY BOTTLENECK (&lt;120ms TARGET)] </w:t>
            </w:r>
            <w:r>
              <w:rPr>
                <w:rFonts w:ascii="Arial" w:hAnsi="Arial"/>
                <w:color w:val="334155"/>
                <w:sz w:val="19"/>
              </w:rPr>
              <w:t>Challenge: The total closed-loop latency (Optical capture + OpenCV contour processing + I2C reading + Servo slewing + Valve actuation) initially measured ~260ms, violating our sub-120ms safety target.</w:t>
              <w:br/>
              <w:t>My Solution: I optimized the OpenCV pipeline by downscaling processing frames to an active 640×360 Region of Interest (ROI) while preserving the 1080p display stream. Furthermore, I optimized I2C bus clock speed from standard 100 kHz to 400 kHz Fast-Mode and parallelized servo slewing during the thermal verification window. This compressed the total reaction latency to 116ms.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105BD8"/>
              <w:bottom w:val="none"/>
              <w:right w:val="none"/>
            </w:tcBorders>
          </w:tcPr>
          <w:p>
            <w:pPr>
              <w:spacing w:before="40" w:after="40"/>
            </w:pPr>
            <w:r>
              <w:rPr>
                <w:rFonts w:ascii="Arial" w:hAnsi="Arial"/>
                <w:b/>
                <w:color w:val="105BD8"/>
                <w:sz w:val="19"/>
              </w:rPr>
              <w:t xml:space="preserve">[CHALLENGE 3: SENSOR PARALLAX &amp; AIMING ERROR] </w:t>
            </w:r>
            <w:r>
              <w:rPr>
                <w:rFonts w:ascii="Arial" w:hAnsi="Arial"/>
                <w:color w:val="334155"/>
                <w:sz w:val="19"/>
              </w:rPr>
              <w:t>Challenge: The optical camera lens and the MLX90614 sensor were physically separated by 22 mm on the bracket, causing optical parallax error at short target distances (&lt;40 cm), resulting in the cold-gas jet hitting 2 cm off-target.</w:t>
              <w:br/>
              <w:t>My Solution: I derived and implemented a software parallax offset calibration matrix in the kinematic solver. By factoring in the focal distance and physical baseline offset, the servo aiming calculation automatically compensates for the 22mm parallax, achieving a targeting accuracy of ±1.5 mm.</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105BD8"/>
              <w:bottom w:val="none"/>
              <w:right w:val="none"/>
            </w:tcBorders>
          </w:tcPr>
          <w:p>
            <w:pPr>
              <w:spacing w:before="40" w:after="40"/>
            </w:pPr>
            <w:r>
              <w:rPr>
                <w:rFonts w:ascii="Arial" w:hAnsi="Arial"/>
                <w:b/>
                <w:color w:val="105BD8"/>
                <w:sz w:val="19"/>
              </w:rPr>
              <w:t xml:space="preserve">[CHALLENGE 4: PROJECT DEMONSTRATION &amp; SCIENTIFIC COMMUNICATION] </w:t>
            </w:r>
            <w:r>
              <w:rPr>
                <w:rFonts w:ascii="Arial" w:hAnsi="Arial"/>
                <w:color w:val="334155"/>
                <w:sz w:val="19"/>
              </w:rPr>
              <w:t>Challenge: During initial faculty demonstrations, static slides and text-heavy wireframe web pages failed to convey the sub-second reactivity and physical reality of microgravity fire suppression.</w:t>
              <w:br/>
              <w:t>My Solution: I redesigned the project portal using NASA Horizon design principles, incorporating an interactive multi-spectral inspector (Optical vs. Thermal vs. Cold Gas) and a live telemetry HUD that visually simulated the real-time targeting and fire suppression sequence.</w:t>
            </w:r>
          </w:p>
        </w:tc>
      </w:tr>
    </w:tbl>
    <w:p>
      <w:pPr>
        <w:spacing w:after="80"/>
      </w:pPr>
    </w:p>
    <w:p>
      <w:pPr>
        <w:pStyle w:val="Heading1"/>
      </w:pPr>
      <w:r>
        <w:rPr>
          <w:b/>
          <w:color w:val="105BD8"/>
          <w:sz w:val="28"/>
        </w:rPr>
        <w:t>4. Experimental Testing, Validation &amp; Results Achieved</w:t>
      </w:r>
    </w:p>
    <w:p>
      <w:r>
        <w:t>I conducted systematic laboratory verification using a controlled 60cm × 60cm × 60cm enclosed testbed equipped with nichrome wire heating elements and electrical arc simulators. The experimental results achieved under my testing protocol are summarized below:</w:t>
      </w:r>
    </w:p>
    <w:tbl>
      <w:tblPr>
        <w:tblW w:type="auto" w:w="0"/>
        <w:jc w:val="center"/>
        <w:tblLayout w:type="fixed"/>
        <w:tblLook w:firstColumn="1" w:firstRow="1" w:lastColumn="0" w:lastRow="0" w:noHBand="0" w:noVBand="1" w:val="04A0"/>
      </w:tblPr>
      <w:tblGrid>
        <w:gridCol w:w="3168"/>
        <w:gridCol w:w="2880"/>
        <w:gridCol w:w="3312"/>
      </w:tblGrid>
      <w:tr>
        <w:tc>
          <w:tcPr>
            <w:tcW w:type="dxa" w:w="3120"/>
            <w:shd w:fill="105BD8"/>
            <w:tcMar>
              <w:top w:w="70" w:type="dxa"/>
              <w:bottom w:w="70" w:type="dxa"/>
              <w:left w:w="80" w:type="dxa"/>
              <w:right w:w="80" w:type="dxa"/>
            </w:tcMar>
          </w:tcPr>
          <w:p>
            <w:r>
              <w:rPr>
                <w:b/>
                <w:color w:val="FFFFFF"/>
                <w:sz w:val="18"/>
              </w:rPr>
              <w:t>Performance Metric</w:t>
            </w:r>
          </w:p>
        </w:tc>
        <w:tc>
          <w:tcPr>
            <w:tcW w:type="dxa" w:w="3120"/>
            <w:shd w:fill="105BD8"/>
            <w:tcMar>
              <w:top w:w="70" w:type="dxa"/>
              <w:bottom w:w="70" w:type="dxa"/>
              <w:left w:w="80" w:type="dxa"/>
              <w:right w:w="80" w:type="dxa"/>
            </w:tcMar>
          </w:tcPr>
          <w:p>
            <w:r>
              <w:rPr>
                <w:b/>
                <w:color w:val="FFFFFF"/>
                <w:sz w:val="18"/>
              </w:rPr>
              <w:t>Target Specification</w:t>
            </w:r>
          </w:p>
        </w:tc>
        <w:tc>
          <w:tcPr>
            <w:tcW w:type="dxa" w:w="3120"/>
            <w:shd w:fill="105BD8"/>
            <w:tcMar>
              <w:top w:w="70" w:type="dxa"/>
              <w:bottom w:w="70" w:type="dxa"/>
              <w:left w:w="80" w:type="dxa"/>
              <w:right w:w="80" w:type="dxa"/>
            </w:tcMar>
          </w:tcPr>
          <w:p>
            <w:r>
              <w:rPr>
                <w:b/>
                <w:color w:val="FFFFFF"/>
                <w:sz w:val="18"/>
              </w:rPr>
              <w:t>Achieved Test Result</w:t>
            </w:r>
          </w:p>
        </w:tc>
      </w:tr>
      <w:tr>
        <w:tc>
          <w:tcPr>
            <w:tcW w:type="dxa" w:w="3120"/>
            <w:shd w:fill="F8FAFC"/>
            <w:tcMar>
              <w:top w:w="55" w:type="dxa"/>
              <w:bottom w:w="55" w:type="dxa"/>
              <w:left w:w="80" w:type="dxa"/>
              <w:right w:w="80" w:type="dxa"/>
            </w:tcMar>
          </w:tcPr>
          <w:p>
            <w:pPr>
              <w:spacing w:after="0"/>
            </w:pPr>
            <w:r>
              <w:rPr>
                <w:b/>
                <w:color w:val="1E293B"/>
                <w:sz w:val="17"/>
              </w:rPr>
              <w:t>Optical Detection Accuracy</w:t>
            </w:r>
          </w:p>
        </w:tc>
        <w:tc>
          <w:tcPr>
            <w:tcW w:type="dxa" w:w="3120"/>
            <w:shd w:fill="F8FAFC"/>
            <w:tcMar>
              <w:top w:w="55" w:type="dxa"/>
              <w:bottom w:w="55" w:type="dxa"/>
              <w:left w:w="80" w:type="dxa"/>
              <w:right w:w="80" w:type="dxa"/>
            </w:tcMar>
          </w:tcPr>
          <w:p>
            <w:pPr>
              <w:spacing w:after="0"/>
            </w:pPr>
            <w:r>
              <w:rPr>
                <w:color w:val="475569"/>
                <w:sz w:val="17"/>
              </w:rPr>
              <w:t>&gt; 95.0% of sparks</w:t>
            </w:r>
          </w:p>
        </w:tc>
        <w:tc>
          <w:tcPr>
            <w:tcW w:type="dxa" w:w="3120"/>
            <w:shd w:fill="F8FAFC"/>
            <w:tcMar>
              <w:top w:w="55" w:type="dxa"/>
              <w:bottom w:w="55" w:type="dxa"/>
              <w:left w:w="80" w:type="dxa"/>
              <w:right w:w="80" w:type="dxa"/>
            </w:tcMar>
          </w:tcPr>
          <w:p>
            <w:pPr>
              <w:spacing w:after="0"/>
            </w:pPr>
            <w:r>
              <w:rPr>
                <w:b/>
                <w:color w:val="10954A"/>
                <w:sz w:val="17"/>
              </w:rPr>
              <w:t>98.0% across 50 trials</w:t>
            </w:r>
          </w:p>
        </w:tc>
      </w:tr>
      <w:tr>
        <w:tc>
          <w:tcPr>
            <w:tcW w:type="dxa" w:w="3120"/>
            <w:shd w:fill="FFFFFF"/>
            <w:tcMar>
              <w:top w:w="55" w:type="dxa"/>
              <w:bottom w:w="55" w:type="dxa"/>
              <w:left w:w="80" w:type="dxa"/>
              <w:right w:w="80" w:type="dxa"/>
            </w:tcMar>
          </w:tcPr>
          <w:p>
            <w:pPr>
              <w:spacing w:after="0"/>
            </w:pPr>
            <w:r>
              <w:rPr>
                <w:b/>
                <w:color w:val="1E293B"/>
                <w:sz w:val="17"/>
              </w:rPr>
              <w:t>Thermal Discrimination Rate</w:t>
            </w:r>
          </w:p>
        </w:tc>
        <w:tc>
          <w:tcPr>
            <w:tcW w:type="dxa" w:w="3120"/>
            <w:shd w:fill="FFFFFF"/>
            <w:tcMar>
              <w:top w:w="55" w:type="dxa"/>
              <w:bottom w:w="55" w:type="dxa"/>
              <w:left w:w="80" w:type="dxa"/>
              <w:right w:w="80" w:type="dxa"/>
            </w:tcMar>
          </w:tcPr>
          <w:p>
            <w:pPr>
              <w:spacing w:after="0"/>
            </w:pPr>
            <w:r>
              <w:rPr>
                <w:color w:val="475569"/>
                <w:sz w:val="17"/>
              </w:rPr>
              <w:t>0 False Positives</w:t>
            </w:r>
          </w:p>
        </w:tc>
        <w:tc>
          <w:tcPr>
            <w:tcW w:type="dxa" w:w="3120"/>
            <w:shd w:fill="FFFFFF"/>
            <w:tcMar>
              <w:top w:w="55" w:type="dxa"/>
              <w:bottom w:w="55" w:type="dxa"/>
              <w:left w:w="80" w:type="dxa"/>
              <w:right w:w="80" w:type="dxa"/>
            </w:tcMar>
          </w:tcPr>
          <w:p>
            <w:pPr>
              <w:spacing w:after="0"/>
            </w:pPr>
            <w:r>
              <w:rPr>
                <w:b/>
                <w:color w:val="10954A"/>
                <w:sz w:val="17"/>
              </w:rPr>
              <w:t>100% rejection of status LEDs</w:t>
            </w:r>
          </w:p>
        </w:tc>
      </w:tr>
      <w:tr>
        <w:tc>
          <w:tcPr>
            <w:tcW w:type="dxa" w:w="3120"/>
            <w:shd w:fill="F8FAFC"/>
            <w:tcMar>
              <w:top w:w="55" w:type="dxa"/>
              <w:bottom w:w="55" w:type="dxa"/>
              <w:left w:w="80" w:type="dxa"/>
              <w:right w:w="80" w:type="dxa"/>
            </w:tcMar>
          </w:tcPr>
          <w:p>
            <w:pPr>
              <w:spacing w:after="0"/>
            </w:pPr>
            <w:r>
              <w:rPr>
                <w:b/>
                <w:color w:val="1E293B"/>
                <w:sz w:val="17"/>
              </w:rPr>
              <w:t>Total Closed-Loop Reaction Time</w:t>
            </w:r>
          </w:p>
        </w:tc>
        <w:tc>
          <w:tcPr>
            <w:tcW w:type="dxa" w:w="3120"/>
            <w:shd w:fill="F8FAFC"/>
            <w:tcMar>
              <w:top w:w="55" w:type="dxa"/>
              <w:bottom w:w="55" w:type="dxa"/>
              <w:left w:w="80" w:type="dxa"/>
              <w:right w:w="80" w:type="dxa"/>
            </w:tcMar>
          </w:tcPr>
          <w:p>
            <w:pPr>
              <w:spacing w:after="0"/>
            </w:pPr>
            <w:r>
              <w:rPr>
                <w:color w:val="475569"/>
                <w:sz w:val="17"/>
              </w:rPr>
              <w:t>&lt; 120 milliseconds</w:t>
            </w:r>
          </w:p>
        </w:tc>
        <w:tc>
          <w:tcPr>
            <w:tcW w:type="dxa" w:w="3120"/>
            <w:shd w:fill="F8FAFC"/>
            <w:tcMar>
              <w:top w:w="55" w:type="dxa"/>
              <w:bottom w:w="55" w:type="dxa"/>
              <w:left w:w="80" w:type="dxa"/>
              <w:right w:w="80" w:type="dxa"/>
            </w:tcMar>
          </w:tcPr>
          <w:p>
            <w:pPr>
              <w:spacing w:after="0"/>
            </w:pPr>
            <w:r>
              <w:rPr>
                <w:b/>
                <w:color w:val="10954A"/>
                <w:sz w:val="17"/>
              </w:rPr>
              <w:t>116 milliseconds average</w:t>
            </w:r>
          </w:p>
        </w:tc>
      </w:tr>
      <w:tr>
        <w:tc>
          <w:tcPr>
            <w:tcW w:type="dxa" w:w="3120"/>
            <w:shd w:fill="FFFFFF"/>
            <w:tcMar>
              <w:top w:w="55" w:type="dxa"/>
              <w:bottom w:w="55" w:type="dxa"/>
              <w:left w:w="80" w:type="dxa"/>
              <w:right w:w="80" w:type="dxa"/>
            </w:tcMar>
          </w:tcPr>
          <w:p>
            <w:pPr>
              <w:spacing w:after="0"/>
            </w:pPr>
            <w:r>
              <w:rPr>
                <w:b/>
                <w:color w:val="1E293B"/>
                <w:sz w:val="17"/>
              </w:rPr>
              <w:t>Targeting Accuracy at 40cm</w:t>
            </w:r>
          </w:p>
        </w:tc>
        <w:tc>
          <w:tcPr>
            <w:tcW w:type="dxa" w:w="3120"/>
            <w:shd w:fill="FFFFFF"/>
            <w:tcMar>
              <w:top w:w="55" w:type="dxa"/>
              <w:bottom w:w="55" w:type="dxa"/>
              <w:left w:w="80" w:type="dxa"/>
              <w:right w:w="80" w:type="dxa"/>
            </w:tcMar>
          </w:tcPr>
          <w:p>
            <w:pPr>
              <w:spacing w:after="0"/>
            </w:pPr>
            <w:r>
              <w:rPr>
                <w:color w:val="475569"/>
                <w:sz w:val="17"/>
              </w:rPr>
              <w:t>± 3.0 mm</w:t>
            </w:r>
          </w:p>
        </w:tc>
        <w:tc>
          <w:tcPr>
            <w:tcW w:type="dxa" w:w="3120"/>
            <w:shd w:fill="FFFFFF"/>
            <w:tcMar>
              <w:top w:w="55" w:type="dxa"/>
              <w:bottom w:w="55" w:type="dxa"/>
              <w:left w:w="80" w:type="dxa"/>
              <w:right w:w="80" w:type="dxa"/>
            </w:tcMar>
          </w:tcPr>
          <w:p>
            <w:pPr>
              <w:spacing w:after="0"/>
            </w:pPr>
            <w:r>
              <w:rPr>
                <w:b/>
                <w:color w:val="10954A"/>
                <w:sz w:val="17"/>
              </w:rPr>
              <w:t>± 1.5 mm with parallax compensation</w:t>
            </w:r>
          </w:p>
        </w:tc>
      </w:tr>
      <w:tr>
        <w:tc>
          <w:tcPr>
            <w:tcW w:type="dxa" w:w="3120"/>
            <w:shd w:fill="F8FAFC"/>
            <w:tcMar>
              <w:top w:w="55" w:type="dxa"/>
              <w:bottom w:w="55" w:type="dxa"/>
              <w:left w:w="80" w:type="dxa"/>
              <w:right w:w="80" w:type="dxa"/>
            </w:tcMar>
          </w:tcPr>
          <w:p>
            <w:pPr>
              <w:spacing w:after="0"/>
            </w:pPr>
            <w:r>
              <w:rPr>
                <w:b/>
                <w:color w:val="1E293B"/>
                <w:sz w:val="17"/>
              </w:rPr>
              <w:t>Flame Quenching &amp; Cooling Rate</w:t>
            </w:r>
          </w:p>
        </w:tc>
        <w:tc>
          <w:tcPr>
            <w:tcW w:type="dxa" w:w="3120"/>
            <w:shd w:fill="F8FAFC"/>
            <w:tcMar>
              <w:top w:w="55" w:type="dxa"/>
              <w:bottom w:w="55" w:type="dxa"/>
              <w:left w:w="80" w:type="dxa"/>
              <w:right w:w="80" w:type="dxa"/>
            </w:tcMar>
          </w:tcPr>
          <w:p>
            <w:pPr>
              <w:spacing w:after="0"/>
            </w:pPr>
            <w:r>
              <w:rPr>
                <w:color w:val="475569"/>
                <w:sz w:val="17"/>
              </w:rPr>
              <w:t>Extinguish flame &amp; drop T &lt; 45°C</w:t>
            </w:r>
          </w:p>
        </w:tc>
        <w:tc>
          <w:tcPr>
            <w:tcW w:type="dxa" w:w="3120"/>
            <w:shd w:fill="F8FAFC"/>
            <w:tcMar>
              <w:top w:w="55" w:type="dxa"/>
              <w:bottom w:w="55" w:type="dxa"/>
              <w:left w:w="80" w:type="dxa"/>
              <w:right w:w="80" w:type="dxa"/>
            </w:tcMar>
          </w:tcPr>
          <w:p>
            <w:pPr>
              <w:spacing w:after="0"/>
            </w:pPr>
            <w:r>
              <w:rPr>
                <w:b/>
                <w:color w:val="10954A"/>
                <w:sz w:val="17"/>
              </w:rPr>
              <w:t>100% flame out; T dropped to 38°C in 1.8s</w:t>
            </w:r>
          </w:p>
        </w:tc>
      </w:tr>
    </w:tbl>
    <w:p>
      <w:pPr>
        <w:spacing w:after="240"/>
      </w:pPr>
    </w:p>
    <w:p>
      <w:pPr>
        <w:pStyle w:val="Heading1"/>
      </w:pPr>
      <w:r>
        <w:rPr>
          <w:b/>
          <w:color w:val="105BD8"/>
          <w:sz w:val="28"/>
        </w:rPr>
        <w:t>5. Individual Key Learnings &amp; Engineering Competencies</w:t>
      </w:r>
    </w:p>
    <w:p>
      <w:r>
        <w:t>Working through the development of ASAFI provided immense growth across both embedded engineering and systems design:</w:t>
        <w:br/>
        <w:br/>
        <w:t>1. Real-Time Embedded Vision: I gained hands-on expertise in tuning OpenCV algorithms for low-latency embedded processors, understanding how frame downscaling, ROI cropping, and Gaussian filtering balance processing speed against spatial resolution.</w:t>
        <w:br/>
        <w:br/>
        <w:t>2. Sensor Fusion &amp; Multi-Spectral Discrimination: I learned that no single sensor modality is sufficient for life-safety systems. Combining fast optical detection with physically grounded infrared radiometry proved to be the single most effective design choice in the project.</w:t>
        <w:br/>
        <w:br/>
        <w:t>3. Hardware-Software Interfacing: I mastered low-level hardware communication protocols, including I2C/SMBus register addressing, hardware-timed PWM generation, and MOSFET gate switching.</w:t>
        <w:br/>
        <w:br/>
        <w:t>4. Scientific Presentation &amp; Technical Writing: Designing the NASA-inspired mission portal and authoring the NASA SP technical memorandum taught me how to distill dense engineering schematics into accessible, high-impact scientific documentation that effectively communicates value.</w:t>
      </w:r>
    </w:p>
    <w:p>
      <w:pPr>
        <w:pStyle w:val="Heading1"/>
      </w:pPr>
      <w:r>
        <w:rPr>
          <w:b/>
          <w:color w:val="105BD8"/>
          <w:sz w:val="28"/>
        </w:rPr>
        <w:t>6. Self-Evaluation &amp; Future Enhancements</w:t>
      </w:r>
    </w:p>
    <w:p>
      <w:r>
        <w:t>• Self-Assessment: I successfully fulfilled all of my assigned technical milestones—delivering an optical-thermal perception loop that meets the sub-120ms timing budget with 98% accuracy, while creating an authoritative NASA-inspired mission portal for demonstration.</w:t>
        <w:br/>
        <w:br/>
        <w:t>• What I Would Improve in Future Iterations:</w:t>
        <w:br/>
        <w:t xml:space="preserve">  1. Hardware Acceleration via FPGA: Transitioning the OpenCV contour algorithm from a CPU Python runtime to a Xilinx Zynq FPGA would reduce perception latency from 16ms down to under 2ms.</w:t>
        <w:br/>
        <w:t xml:space="preserve">  2. Multi-Target Tracking: Enhancing the state machine to track and prioritize multiple simultaneous fire seeds across different avionics bays.</w:t>
        <w:br/>
        <w:t xml:space="preserve">  3. Radiation-Tolerant Components: Replacing commercial off-the-shelf (COTS) ICs with space-qualified, radiation-hardened components for deep-space flight.</w:t>
      </w:r>
    </w:p>
    <w:p>
      <w:pPr>
        <w:pStyle w:val="Heading1"/>
      </w:pPr>
      <w:r>
        <w:rPr>
          <w:b/>
          <w:color w:val="105BD8"/>
          <w:sz w:val="28"/>
        </w:rPr>
        <w:t>7. Formal Declaration &amp; Sign-off</w:t>
      </w:r>
    </w:p>
    <w:p>
      <w:r>
        <w:t>I hereby declare that this report represents an authentic and accurate account of my individual contributions, engineering tasks, technical challenges, and experimental results completed for Project ASAFI under the Engineering Clinics curriculum at VIT-AP University.</w:t>
      </w:r>
    </w:p>
    <w:p>
      <w:pPr>
        <w:spacing w:after="480"/>
      </w:pPr>
    </w:p>
    <w:tbl>
      <w:tblPr>
        <w:tblW w:type="auto" w:w="0"/>
        <w:jc w:val="center"/>
        <w:tblLook w:firstColumn="1" w:firstRow="1" w:lastColumn="0" w:lastRow="0" w:noHBand="0" w:noVBand="1" w:val="04A0"/>
      </w:tblPr>
      <w:tblGrid>
        <w:gridCol w:w="4608"/>
        <w:gridCol w:w="4608"/>
      </w:tblGrid>
      <w:tr>
        <w:tc>
          <w:tcPr>
            <w:tcW w:type="dxa" w:w="4680"/>
          </w:tcPr>
          <w:p>
            <w:r>
              <w:t>Student Contributor:</w:t>
              <w:br/>
              <w:br/>
              <w:t>___________________________________</w:t>
              <w:br/>
              <w:t>Utpalakshi Upadhyaya (Paakhi)</w:t>
              <w:br/>
              <w:t>Lead Perception &amp; Systems Integration</w:t>
            </w:r>
          </w:p>
        </w:tc>
        <w:tc>
          <w:tcPr>
            <w:tcW w:type="dxa" w:w="4680"/>
          </w:tcPr>
          <w:p>
            <w:r>
              <w:t>Project Partner:</w:t>
              <w:br/>
              <w:br/>
              <w:t>___________________________________</w:t>
              <w:br/>
              <w:t>Rahul</w:t>
              <w:br/>
              <w:t>Hardware Actuation &amp; Pneumatics Lead</w:t>
            </w:r>
          </w:p>
        </w:tc>
      </w:tr>
      <w:tr>
        <w:tc>
          <w:tcPr>
            <w:tcW w:type="dxa" w:w="4680"/>
          </w:tcPr>
          <w:p/>
        </w:tc>
        <w:tc>
          <w:tcPr>
            <w:tcW w:type="dxa" w:w="4680"/>
          </w:tcP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ASAFI — Personal Individual Contribution &amp; Learning Report | Paakhi (Utpalakshi)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