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w:hAnsi="Aptos" w:eastAsia="Aptos"/>
          <w:b/>
          <w:color w:val="161A22"/>
          <w:sz w:val="56"/>
        </w:rPr>
        <w:t>Ignite DEX</w:t>
      </w:r>
    </w:p>
    <w:p>
      <w:pPr>
        <w:jc w:val="center"/>
      </w:pPr>
      <w:r>
        <w:rPr>
          <w:rFonts w:ascii="Aptos" w:hAnsi="Aptos" w:eastAsia="Aptos"/>
          <w:b/>
          <w:color w:val="105BC8"/>
          <w:sz w:val="36"/>
        </w:rPr>
        <w:t>Platform Documentation Framework</w:t>
      </w:r>
    </w:p>
    <w:p>
      <w:pPr>
        <w:spacing w:before="360"/>
        <w:jc w:val="center"/>
      </w:pPr>
      <w:r>
        <w:rPr>
          <w:rFonts w:ascii="Aptos" w:hAnsi="Aptos" w:eastAsia="Aptos"/>
          <w:color w:val="5A6370"/>
          <w:sz w:val="22"/>
        </w:rPr>
        <w:t>Built by benchmarking Hyperliquid’s public docs and adapting them to verified Ignite DEX inputs</w:t>
      </w:r>
    </w:p>
    <w:tbl>
      <w:tblPr>
        <w:tblW w:type="auto" w:w="0"/>
        <w:jc w:val="center"/>
        <w:tblLook w:firstColumn="1" w:firstRow="1" w:lastColumn="0" w:lastRow="0" w:noHBand="0" w:noVBand="1" w:val="04A0"/>
      </w:tblPr>
      <w:tblGrid>
        <w:gridCol w:w="9746"/>
      </w:tblGrid>
      <w:tr>
        <w:tc>
          <w:tcPr>
            <w:tcW w:type="dxa" w:w="9746"/>
            <w:shd w:fill="F3F7FC"/>
            <w:vAlign w:val="center"/>
          </w:tcPr>
          <w:p>
            <w:pPr>
              <w:spacing w:after="0"/>
            </w:pPr>
            <w:r/>
            <w:r>
              <w:rPr>
                <w:rFonts w:ascii="Aptos" w:hAnsi="Aptos" w:eastAsia="Aptos"/>
                <w:b w:val="0"/>
                <w:sz w:val="20"/>
              </w:rPr>
              <w:t>Document purpose: provide a complete operating documentation baseline for Ignite DEX, including architecture, product behavior, token utility, APIs, security, and operations.</w:t>
            </w:r>
          </w:p>
        </w:tc>
      </w:tr>
      <w:tr>
        <w:tc>
          <w:tcPr>
            <w:tcW w:type="dxa" w:w="9746"/>
            <w:shd w:fill="F3F7FC"/>
            <w:vAlign w:val="center"/>
          </w:tcPr>
          <w:p>
            <w:pPr>
              <w:spacing w:after="0"/>
            </w:pPr>
            <w:r/>
            <w:r>
              <w:rPr>
                <w:rFonts w:ascii="Aptos" w:hAnsi="Aptos" w:eastAsia="Aptos"/>
                <w:b w:val="0"/>
                <w:sz w:val="20"/>
              </w:rPr>
              <w:t>Documentation method: where Ignite facts are already confirmed, this document labels them as Verified Ignite Inputs. Where the Ignite whitepaper content could not be extracted programmatically from the site, the document provides Recommended Design decisions inspired by Hyperliquid’s documented approach.</w:t>
            </w:r>
          </w:p>
        </w:tc>
      </w:tr>
      <w:tr>
        <w:tc>
          <w:tcPr>
            <w:tcW w:type="dxa" w:w="9746"/>
            <w:shd w:fill="EEF6F1"/>
            <w:vAlign w:val="center"/>
          </w:tcPr>
          <w:p>
            <w:pPr>
              <w:spacing w:after="0"/>
            </w:pPr>
            <w:r/>
            <w:r>
              <w:rPr>
                <w:rFonts w:ascii="Aptos" w:hAnsi="Aptos" w:eastAsia="Aptos"/>
                <w:b w:val="0"/>
                <w:sz w:val="20"/>
              </w:rPr>
              <w:t>Version date: 7 April 2026</w:t>
            </w:r>
          </w:p>
        </w:tc>
      </w:tr>
    </w:tbl>
    <w:p>
      <w:r>
        <w:br w:type="page"/>
      </w:r>
    </w:p>
    <w:p>
      <w:pPr>
        <w:pStyle w:val="Heading1"/>
      </w:pPr>
      <w:r>
        <w:t>Contents</w:t>
      </w:r>
    </w:p>
    <w:p>
      <w:pPr>
        <w:pStyle w:val="ListBullet"/>
        <w:spacing w:after="60"/>
        <w:ind w:left="340"/>
      </w:pPr>
      <w:r>
        <w:rPr>
          <w:rFonts w:ascii="Aptos" w:hAnsi="Aptos" w:eastAsia="Aptos"/>
          <w:sz w:val="21"/>
        </w:rPr>
        <w:t>1. Documentation principles</w:t>
      </w:r>
    </w:p>
    <w:p>
      <w:pPr>
        <w:pStyle w:val="ListBullet"/>
        <w:spacing w:after="60"/>
        <w:ind w:left="340"/>
      </w:pPr>
      <w:r>
        <w:rPr>
          <w:rFonts w:ascii="Aptos" w:hAnsi="Aptos" w:eastAsia="Aptos"/>
          <w:sz w:val="21"/>
        </w:rPr>
        <w:t>2. Verified Ignite facts and assumptions</w:t>
      </w:r>
    </w:p>
    <w:p>
      <w:pPr>
        <w:pStyle w:val="ListBullet"/>
        <w:spacing w:after="60"/>
        <w:ind w:left="340"/>
      </w:pPr>
      <w:r>
        <w:rPr>
          <w:rFonts w:ascii="Aptos" w:hAnsi="Aptos" w:eastAsia="Aptos"/>
          <w:sz w:val="21"/>
        </w:rPr>
        <w:t>3. Product scope and positioning</w:t>
      </w:r>
    </w:p>
    <w:p>
      <w:pPr>
        <w:pStyle w:val="ListBullet"/>
        <w:spacing w:after="60"/>
        <w:ind w:left="340"/>
      </w:pPr>
      <w:r>
        <w:rPr>
          <w:rFonts w:ascii="Aptos" w:hAnsi="Aptos" w:eastAsia="Aptos"/>
          <w:sz w:val="21"/>
        </w:rPr>
        <w:t>4. High-level system architecture</w:t>
      </w:r>
    </w:p>
    <w:p>
      <w:pPr>
        <w:pStyle w:val="ListBullet"/>
        <w:spacing w:after="60"/>
        <w:ind w:left="340"/>
      </w:pPr>
      <w:r>
        <w:rPr>
          <w:rFonts w:ascii="Aptos" w:hAnsi="Aptos" w:eastAsia="Aptos"/>
          <w:sz w:val="21"/>
        </w:rPr>
        <w:t>5. Matching engine, order books, and execution</w:t>
      </w:r>
    </w:p>
    <w:p>
      <w:pPr>
        <w:pStyle w:val="ListBullet"/>
        <w:spacing w:after="60"/>
        <w:ind w:left="340"/>
      </w:pPr>
      <w:r>
        <w:rPr>
          <w:rFonts w:ascii="Aptos" w:hAnsi="Aptos" w:eastAsia="Aptos"/>
          <w:sz w:val="21"/>
        </w:rPr>
        <w:t>6. Margin, collateral, funding, and liquidation</w:t>
      </w:r>
    </w:p>
    <w:p>
      <w:pPr>
        <w:pStyle w:val="ListBullet"/>
        <w:spacing w:after="60"/>
        <w:ind w:left="340"/>
      </w:pPr>
      <w:r>
        <w:rPr>
          <w:rFonts w:ascii="Aptos" w:hAnsi="Aptos" w:eastAsia="Aptos"/>
          <w:sz w:val="21"/>
        </w:rPr>
        <w:t>7. Fees, referrals, and IGNT token utility</w:t>
      </w:r>
    </w:p>
    <w:p>
      <w:pPr>
        <w:pStyle w:val="ListBullet"/>
        <w:spacing w:after="60"/>
        <w:ind w:left="340"/>
      </w:pPr>
      <w:r>
        <w:rPr>
          <w:rFonts w:ascii="Aptos" w:hAnsi="Aptos" w:eastAsia="Aptos"/>
          <w:sz w:val="21"/>
        </w:rPr>
        <w:t>8. Multichain token model</w:t>
      </w:r>
    </w:p>
    <w:p>
      <w:pPr>
        <w:pStyle w:val="ListBullet"/>
        <w:spacing w:after="60"/>
        <w:ind w:left="340"/>
      </w:pPr>
      <w:r>
        <w:rPr>
          <w:rFonts w:ascii="Aptos" w:hAnsi="Aptos" w:eastAsia="Aptos"/>
          <w:sz w:val="21"/>
        </w:rPr>
        <w:t>9. API and integration design</w:t>
      </w:r>
    </w:p>
    <w:p>
      <w:pPr>
        <w:pStyle w:val="ListBullet"/>
        <w:spacing w:after="60"/>
        <w:ind w:left="340"/>
      </w:pPr>
      <w:r>
        <w:rPr>
          <w:rFonts w:ascii="Aptos" w:hAnsi="Aptos" w:eastAsia="Aptos"/>
          <w:sz w:val="21"/>
        </w:rPr>
        <w:t>10. Frontend and user workflows</w:t>
      </w:r>
    </w:p>
    <w:p>
      <w:pPr>
        <w:pStyle w:val="ListBullet"/>
        <w:spacing w:after="60"/>
        <w:ind w:left="340"/>
      </w:pPr>
      <w:r>
        <w:rPr>
          <w:rFonts w:ascii="Aptos" w:hAnsi="Aptos" w:eastAsia="Aptos"/>
          <w:sz w:val="21"/>
        </w:rPr>
        <w:t>11. Operations, reliability, and observability</w:t>
      </w:r>
    </w:p>
    <w:p>
      <w:pPr>
        <w:pStyle w:val="ListBullet"/>
        <w:spacing w:after="60"/>
        <w:ind w:left="340"/>
      </w:pPr>
      <w:r>
        <w:rPr>
          <w:rFonts w:ascii="Aptos" w:hAnsi="Aptos" w:eastAsia="Aptos"/>
          <w:sz w:val="21"/>
        </w:rPr>
        <w:t>12. Security, compliance, and governance</w:t>
      </w:r>
    </w:p>
    <w:p>
      <w:pPr>
        <w:pStyle w:val="ListBullet"/>
        <w:spacing w:after="60"/>
        <w:ind w:left="340"/>
      </w:pPr>
      <w:r>
        <w:rPr>
          <w:rFonts w:ascii="Aptos" w:hAnsi="Aptos" w:eastAsia="Aptos"/>
          <w:sz w:val="21"/>
        </w:rPr>
        <w:t>13. Comparison matrix: Hyperliquid vs Ignite DEX</w:t>
      </w:r>
    </w:p>
    <w:p>
      <w:pPr>
        <w:pStyle w:val="ListBullet"/>
        <w:spacing w:after="60"/>
        <w:ind w:left="340"/>
      </w:pPr>
      <w:r>
        <w:rPr>
          <w:rFonts w:ascii="Aptos" w:hAnsi="Aptos" w:eastAsia="Aptos"/>
          <w:sz w:val="21"/>
        </w:rPr>
        <w:t>14. Rollout plan and documentation backlog</w:t>
      </w:r>
    </w:p>
    <w:p>
      <w:pPr>
        <w:pStyle w:val="ListBullet"/>
        <w:spacing w:after="60"/>
        <w:ind w:left="340"/>
      </w:pPr>
      <w:r>
        <w:rPr>
          <w:rFonts w:ascii="Aptos" w:hAnsi="Aptos" w:eastAsia="Aptos"/>
          <w:sz w:val="21"/>
        </w:rPr>
        <w:t>15. Source notes</w:t>
      </w:r>
    </w:p>
    <w:p>
      <w:r>
        <w:br w:type="page"/>
      </w:r>
    </w:p>
    <w:p>
      <w:pPr>
        <w:pStyle w:val="Heading1"/>
      </w:pPr>
      <w:r>
        <w:t>1. Documentation principles</w:t>
      </w:r>
    </w:p>
    <w:p>
      <w:pPr>
        <w:spacing w:after="120"/>
      </w:pPr>
      <w:r>
        <w:rPr>
          <w:rFonts w:ascii="Aptos" w:hAnsi="Aptos" w:eastAsia="Aptos"/>
        </w:rPr>
        <w:t>This manual is written to be directly usable by product, engineering, DevOps, growth, listings, and ecosystem teams. It deliberately separates what is already decided for Ignite from what should be specified next. That prevents accidental invention of protocol rules while still giving Ignite a production-grade documentation set to build from.</w:t>
      </w:r>
    </w:p>
    <w:p>
      <w:pPr>
        <w:pStyle w:val="ListBullet"/>
        <w:spacing w:after="60"/>
        <w:ind w:left="340"/>
      </w:pPr>
      <w:r>
        <w:rPr>
          <w:rFonts w:ascii="Aptos" w:hAnsi="Aptos" w:eastAsia="Aptos"/>
          <w:sz w:val="21"/>
        </w:rPr>
        <w:t>Verified Ignite Inputs: facts supplied in the project requirements and earlier Ignite planning notes.</w:t>
      </w:r>
    </w:p>
    <w:p>
      <w:pPr>
        <w:pStyle w:val="ListBullet"/>
        <w:spacing w:after="60"/>
        <w:ind w:left="340"/>
      </w:pPr>
      <w:r>
        <w:rPr>
          <w:rFonts w:ascii="Aptos" w:hAnsi="Aptos" w:eastAsia="Aptos"/>
          <w:sz w:val="21"/>
        </w:rPr>
        <w:t>External Benchmarks: Hyperliquid public documentation used as a reference for exchange design, API shape, perpetuals behavior, fee routing, and builder tooling.</w:t>
      </w:r>
    </w:p>
    <w:p>
      <w:pPr>
        <w:pStyle w:val="ListBullet"/>
        <w:spacing w:after="60"/>
        <w:ind w:left="340"/>
      </w:pPr>
      <w:r>
        <w:rPr>
          <w:rFonts w:ascii="Aptos" w:hAnsi="Aptos" w:eastAsia="Aptos"/>
          <w:sz w:val="21"/>
        </w:rPr>
        <w:t>Recommended Design: proposed Ignite-standard behavior where a final whitepaper value or rule was not machine-readable from the provided site.</w:t>
      </w:r>
    </w:p>
    <w:p>
      <w:pPr>
        <w:pStyle w:val="Heading1"/>
      </w:pPr>
      <w:r>
        <w:t>2. Verified Ignite facts and assumptions</w:t>
      </w:r>
    </w:p>
    <w:p>
      <w:pPr>
        <w:spacing w:after="120"/>
      </w:pPr>
      <w:r>
        <w:rPr>
          <w:rFonts w:ascii="Aptos" w:hAnsi="Aptos" w:eastAsia="Aptos"/>
        </w:rPr>
        <w:t>The table below lists the Ignite facts that were explicitly available and used as hard constraints for this document.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CE6F8"/>
            <w:vAlign w:val="center"/>
          </w:tcPr>
          <w:p>
            <w:pPr>
              <w:spacing w:after="0"/>
            </w:pPr>
            <w:r/>
            <w:r>
              <w:rPr>
                <w:rFonts w:ascii="Aptos" w:hAnsi="Aptos" w:eastAsia="Aptos"/>
                <w:b/>
                <w:color w:val="161A22"/>
                <w:sz w:val="20"/>
              </w:rPr>
              <w:t>Area</w:t>
            </w:r>
          </w:p>
        </w:tc>
        <w:tc>
          <w:tcPr>
            <w:tcW w:type="dxa" w:w="3249"/>
            <w:shd w:fill="DCE6F8"/>
            <w:vAlign w:val="center"/>
          </w:tcPr>
          <w:p>
            <w:pPr>
              <w:spacing w:after="0"/>
            </w:pPr>
            <w:r/>
            <w:r>
              <w:rPr>
                <w:rFonts w:ascii="Aptos" w:hAnsi="Aptos" w:eastAsia="Aptos"/>
                <w:b/>
                <w:color w:val="161A22"/>
                <w:sz w:val="20"/>
              </w:rPr>
              <w:t>Verified Ignite input</w:t>
            </w:r>
          </w:p>
        </w:tc>
        <w:tc>
          <w:tcPr>
            <w:tcW w:type="dxa" w:w="3249"/>
            <w:shd w:fill="DCE6F8"/>
            <w:vAlign w:val="center"/>
          </w:tcPr>
          <w:p>
            <w:pPr>
              <w:spacing w:after="0"/>
            </w:pPr>
            <w:r/>
            <w:r>
              <w:rPr>
                <w:rFonts w:ascii="Aptos" w:hAnsi="Aptos" w:eastAsia="Aptos"/>
                <w:b/>
                <w:color w:val="161A22"/>
                <w:sz w:val="20"/>
              </w:rPr>
              <w:t>Documentation consequence</w:t>
            </w:r>
          </w:p>
        </w:tc>
      </w:tr>
      <w:tr>
        <w:tc>
          <w:tcPr>
            <w:tcW w:type="dxa" w:w="3249"/>
            <w:vAlign w:val="center"/>
          </w:tcPr>
          <w:p>
            <w:pPr>
              <w:spacing w:after="0"/>
            </w:pPr>
            <w:r/>
            <w:r>
              <w:rPr>
                <w:rFonts w:ascii="Aptos" w:hAnsi="Aptos" w:eastAsia="Aptos"/>
                <w:b w:val="0"/>
                <w:sz w:val="19"/>
              </w:rPr>
              <w:t>Fee token</w:t>
            </w:r>
          </w:p>
        </w:tc>
        <w:tc>
          <w:tcPr>
            <w:tcW w:type="dxa" w:w="3249"/>
            <w:vAlign w:val="center"/>
          </w:tcPr>
          <w:p>
            <w:pPr>
              <w:spacing w:after="0"/>
            </w:pPr>
            <w:r/>
            <w:r>
              <w:rPr>
                <w:rFonts w:ascii="Aptos" w:hAnsi="Aptos" w:eastAsia="Aptos"/>
                <w:b w:val="0"/>
                <w:sz w:val="19"/>
              </w:rPr>
              <w:t>IGNT is the platform token and is to be used for Ignite fees.</w:t>
            </w:r>
          </w:p>
        </w:tc>
        <w:tc>
          <w:tcPr>
            <w:tcW w:type="dxa" w:w="3249"/>
            <w:vAlign w:val="center"/>
          </w:tcPr>
          <w:p>
            <w:pPr>
              <w:spacing w:after="0"/>
            </w:pPr>
            <w:r/>
            <w:r>
              <w:rPr>
                <w:rFonts w:ascii="Aptos" w:hAnsi="Aptos" w:eastAsia="Aptos"/>
                <w:b w:val="0"/>
                <w:sz w:val="19"/>
              </w:rPr>
              <w:t>All fee architecture, discounts, rebates, and ecosystem rewards should route through IGNT.</w:t>
            </w:r>
          </w:p>
        </w:tc>
      </w:tr>
      <w:tr>
        <w:tc>
          <w:tcPr>
            <w:tcW w:type="dxa" w:w="3249"/>
            <w:vAlign w:val="center"/>
          </w:tcPr>
          <w:p>
            <w:pPr>
              <w:spacing w:after="0"/>
            </w:pPr>
            <w:r/>
            <w:r>
              <w:rPr>
                <w:rFonts w:ascii="Aptos" w:hAnsi="Aptos" w:eastAsia="Aptos"/>
                <w:b w:val="0"/>
                <w:sz w:val="19"/>
              </w:rPr>
              <w:t>Multichain fee token</w:t>
            </w:r>
          </w:p>
        </w:tc>
        <w:tc>
          <w:tcPr>
            <w:tcW w:type="dxa" w:w="3249"/>
            <w:vAlign w:val="center"/>
          </w:tcPr>
          <w:p>
            <w:pPr>
              <w:spacing w:after="0"/>
            </w:pPr>
            <w:r/>
            <w:r>
              <w:rPr>
                <w:rFonts w:ascii="Aptos" w:hAnsi="Aptos" w:eastAsia="Aptos"/>
                <w:b w:val="0"/>
                <w:sz w:val="19"/>
              </w:rPr>
              <w:t>ERC-20 IGNT on BNB Chain and Base should be used for Ignite fees; LEP100 IGNT and Arbitrum IGNT should be used for fees on their respective networks.</w:t>
            </w:r>
          </w:p>
        </w:tc>
        <w:tc>
          <w:tcPr>
            <w:tcW w:type="dxa" w:w="3249"/>
            <w:vAlign w:val="center"/>
          </w:tcPr>
          <w:p>
            <w:pPr>
              <w:spacing w:after="0"/>
            </w:pPr>
            <w:r/>
            <w:r>
              <w:rPr>
                <w:rFonts w:ascii="Aptos" w:hAnsi="Aptos" w:eastAsia="Aptos"/>
                <w:b w:val="0"/>
                <w:sz w:val="19"/>
              </w:rPr>
              <w:t>Ignite should publish a canonical multichain token registry and network-specific fee settlement rules.</w:t>
            </w:r>
          </w:p>
        </w:tc>
      </w:tr>
      <w:tr>
        <w:tc>
          <w:tcPr>
            <w:tcW w:type="dxa" w:w="3249"/>
            <w:vAlign w:val="center"/>
          </w:tcPr>
          <w:p>
            <w:pPr>
              <w:spacing w:after="0"/>
            </w:pPr>
            <w:r/>
            <w:r>
              <w:rPr>
                <w:rFonts w:ascii="Aptos" w:hAnsi="Aptos" w:eastAsia="Aptos"/>
                <w:b w:val="0"/>
                <w:sz w:val="19"/>
              </w:rPr>
              <w:t>Database</w:t>
            </w:r>
          </w:p>
        </w:tc>
        <w:tc>
          <w:tcPr>
            <w:tcW w:type="dxa" w:w="3249"/>
            <w:vAlign w:val="center"/>
          </w:tcPr>
          <w:p>
            <w:pPr>
              <w:spacing w:after="0"/>
            </w:pPr>
            <w:r/>
            <w:r>
              <w:rPr>
                <w:rFonts w:ascii="Aptos" w:hAnsi="Aptos" w:eastAsia="Aptos"/>
                <w:b w:val="0"/>
                <w:sz w:val="19"/>
              </w:rPr>
              <w:t>PostgreSQL server: 194.99.22.7</w:t>
            </w:r>
          </w:p>
        </w:tc>
        <w:tc>
          <w:tcPr>
            <w:tcW w:type="dxa" w:w="3249"/>
            <w:vAlign w:val="center"/>
          </w:tcPr>
          <w:p>
            <w:pPr>
              <w:spacing w:after="0"/>
            </w:pPr>
            <w:r/>
            <w:r>
              <w:rPr>
                <w:rFonts w:ascii="Aptos" w:hAnsi="Aptos" w:eastAsia="Aptos"/>
                <w:b w:val="0"/>
                <w:sz w:val="19"/>
              </w:rPr>
              <w:t>Primary source of truth for user state, orders, ledgers, and operational metadata.</w:t>
            </w:r>
          </w:p>
        </w:tc>
      </w:tr>
      <w:tr>
        <w:tc>
          <w:tcPr>
            <w:tcW w:type="dxa" w:w="3249"/>
            <w:vAlign w:val="center"/>
          </w:tcPr>
          <w:p>
            <w:pPr>
              <w:spacing w:after="0"/>
            </w:pPr>
            <w:r/>
            <w:r>
              <w:rPr>
                <w:rFonts w:ascii="Aptos" w:hAnsi="Aptos" w:eastAsia="Aptos"/>
                <w:b w:val="0"/>
                <w:sz w:val="19"/>
              </w:rPr>
              <w:t>Matching engine</w:t>
            </w:r>
          </w:p>
        </w:tc>
        <w:tc>
          <w:tcPr>
            <w:tcW w:type="dxa" w:w="3249"/>
            <w:vAlign w:val="center"/>
          </w:tcPr>
          <w:p>
            <w:pPr>
              <w:spacing w:after="0"/>
            </w:pPr>
            <w:r/>
            <w:r>
              <w:rPr>
                <w:rFonts w:ascii="Aptos" w:hAnsi="Aptos" w:eastAsia="Aptos"/>
                <w:b w:val="0"/>
                <w:sz w:val="19"/>
              </w:rPr>
              <w:t>Matching engine server: 89.38.131.38</w:t>
            </w:r>
          </w:p>
        </w:tc>
        <w:tc>
          <w:tcPr>
            <w:tcW w:type="dxa" w:w="3249"/>
            <w:vAlign w:val="center"/>
          </w:tcPr>
          <w:p>
            <w:pPr>
              <w:spacing w:after="0"/>
            </w:pPr>
            <w:r/>
            <w:r>
              <w:rPr>
                <w:rFonts w:ascii="Aptos" w:hAnsi="Aptos" w:eastAsia="Aptos"/>
                <w:b w:val="0"/>
                <w:sz w:val="19"/>
              </w:rPr>
              <w:t>Dedicated low-latency execution service isolated from web traffic.</w:t>
            </w:r>
          </w:p>
        </w:tc>
      </w:tr>
      <w:tr>
        <w:tc>
          <w:tcPr>
            <w:tcW w:type="dxa" w:w="3249"/>
            <w:vAlign w:val="center"/>
          </w:tcPr>
          <w:p>
            <w:pPr>
              <w:spacing w:after="0"/>
            </w:pPr>
            <w:r/>
            <w:r>
              <w:rPr>
                <w:rFonts w:ascii="Aptos" w:hAnsi="Aptos" w:eastAsia="Aptos"/>
                <w:b w:val="0"/>
                <w:sz w:val="19"/>
              </w:rPr>
              <w:t>Risk and liquidation</w:t>
            </w:r>
          </w:p>
        </w:tc>
        <w:tc>
          <w:tcPr>
            <w:tcW w:type="dxa" w:w="3249"/>
            <w:vAlign w:val="center"/>
          </w:tcPr>
          <w:p>
            <w:pPr>
              <w:spacing w:after="0"/>
            </w:pPr>
            <w:r/>
            <w:r>
              <w:rPr>
                <w:rFonts w:ascii="Aptos" w:hAnsi="Aptos" w:eastAsia="Aptos"/>
                <w:b w:val="0"/>
                <w:sz w:val="19"/>
              </w:rPr>
              <w:t>Risk/liquidation server: 72.61.158.30</w:t>
            </w:r>
          </w:p>
        </w:tc>
        <w:tc>
          <w:tcPr>
            <w:tcW w:type="dxa" w:w="3249"/>
            <w:vAlign w:val="center"/>
          </w:tcPr>
          <w:p>
            <w:pPr>
              <w:spacing w:after="0"/>
            </w:pPr>
            <w:r/>
            <w:r>
              <w:rPr>
                <w:rFonts w:ascii="Aptos" w:hAnsi="Aptos" w:eastAsia="Aptos"/>
                <w:b w:val="0"/>
                <w:sz w:val="19"/>
              </w:rPr>
              <w:t>Independent risk computation and liquidation workflow service.</w:t>
            </w:r>
          </w:p>
        </w:tc>
      </w:tr>
      <w:tr>
        <w:tc>
          <w:tcPr>
            <w:tcW w:type="dxa" w:w="3249"/>
            <w:vAlign w:val="center"/>
          </w:tcPr>
          <w:p>
            <w:pPr>
              <w:spacing w:after="0"/>
            </w:pPr>
            <w:r/>
            <w:r>
              <w:rPr>
                <w:rFonts w:ascii="Aptos" w:hAnsi="Aptos" w:eastAsia="Aptos"/>
                <w:b w:val="0"/>
                <w:sz w:val="19"/>
              </w:rPr>
              <w:t>Web/API/Realtime</w:t>
            </w:r>
          </w:p>
        </w:tc>
        <w:tc>
          <w:tcPr>
            <w:tcW w:type="dxa" w:w="3249"/>
            <w:vAlign w:val="center"/>
          </w:tcPr>
          <w:p>
            <w:pPr>
              <w:spacing w:after="0"/>
            </w:pPr>
            <w:r/>
            <w:r>
              <w:rPr>
                <w:rFonts w:ascii="Aptos" w:hAnsi="Aptos" w:eastAsia="Aptos"/>
                <w:b w:val="0"/>
                <w:sz w:val="19"/>
              </w:rPr>
              <w:t>Web + API + realtime/WebSocket on 187.124.184.170</w:t>
            </w:r>
          </w:p>
        </w:tc>
        <w:tc>
          <w:tcPr>
            <w:tcW w:type="dxa" w:w="3249"/>
            <w:vAlign w:val="center"/>
          </w:tcPr>
          <w:p>
            <w:pPr>
              <w:spacing w:after="0"/>
            </w:pPr>
            <w:r/>
            <w:r>
              <w:rPr>
                <w:rFonts w:ascii="Aptos" w:hAnsi="Aptos" w:eastAsia="Aptos"/>
                <w:b w:val="0"/>
                <w:sz w:val="19"/>
              </w:rPr>
              <w:t>Ingress, auth, REST, and streaming responsibilities consolidated on one host.</w:t>
            </w:r>
          </w:p>
        </w:tc>
      </w:tr>
      <w:tr>
        <w:tc>
          <w:tcPr>
            <w:tcW w:type="dxa" w:w="3249"/>
            <w:vAlign w:val="center"/>
          </w:tcPr>
          <w:p>
            <w:pPr>
              <w:spacing w:after="0"/>
            </w:pPr>
            <w:r/>
            <w:r>
              <w:rPr>
                <w:rFonts w:ascii="Aptos" w:hAnsi="Aptos" w:eastAsia="Aptos"/>
                <w:b w:val="0"/>
                <w:sz w:val="19"/>
              </w:rPr>
              <w:t>Redis/message bus/monitoring</w:t>
            </w:r>
          </w:p>
        </w:tc>
        <w:tc>
          <w:tcPr>
            <w:tcW w:type="dxa" w:w="3249"/>
            <w:vAlign w:val="center"/>
          </w:tcPr>
          <w:p>
            <w:pPr>
              <w:spacing w:after="0"/>
            </w:pPr>
            <w:r/>
            <w:r>
              <w:rPr>
                <w:rFonts w:ascii="Aptos" w:hAnsi="Aptos" w:eastAsia="Aptos"/>
                <w:b w:val="0"/>
                <w:sz w:val="19"/>
              </w:rPr>
              <w:t>95.169.204.96 and 95.169.205.114</w:t>
            </w:r>
          </w:p>
        </w:tc>
        <w:tc>
          <w:tcPr>
            <w:tcW w:type="dxa" w:w="3249"/>
            <w:vAlign w:val="center"/>
          </w:tcPr>
          <w:p>
            <w:pPr>
              <w:spacing w:after="0"/>
            </w:pPr>
            <w:r/>
            <w:r>
              <w:rPr>
                <w:rFonts w:ascii="Aptos" w:hAnsi="Aptos" w:eastAsia="Aptos"/>
                <w:b w:val="0"/>
                <w:sz w:val="19"/>
              </w:rPr>
              <w:t>Redis, internal eventing, and monitoring should be split across these two machines for resilience.</w:t>
            </w:r>
          </w:p>
        </w:tc>
      </w:tr>
      <w:tr>
        <w:tc>
          <w:tcPr>
            <w:tcW w:type="dxa" w:w="3249"/>
            <w:vAlign w:val="center"/>
          </w:tcPr>
          <w:p>
            <w:pPr>
              <w:spacing w:after="0"/>
            </w:pPr>
            <w:r/>
            <w:r>
              <w:rPr>
                <w:rFonts w:ascii="Aptos" w:hAnsi="Aptos" w:eastAsia="Aptos"/>
                <w:b w:val="0"/>
                <w:sz w:val="19"/>
              </w:rPr>
              <w:t>Blockchain connectivity</w:t>
            </w:r>
          </w:p>
        </w:tc>
        <w:tc>
          <w:tcPr>
            <w:tcW w:type="dxa" w:w="3249"/>
            <w:vAlign w:val="center"/>
          </w:tcPr>
          <w:p>
            <w:pPr>
              <w:spacing w:after="0"/>
            </w:pPr>
            <w:r/>
            <w:r>
              <w:rPr>
                <w:rFonts w:ascii="Aptos" w:hAnsi="Aptos" w:eastAsia="Aptos"/>
                <w:b w:val="0"/>
                <w:sz w:val="19"/>
              </w:rPr>
              <w:t>Ignite will use available RPCs and live network nodes including LITHO nodes; no proprietary blockchain server is planned.</w:t>
            </w:r>
          </w:p>
        </w:tc>
        <w:tc>
          <w:tcPr>
            <w:tcW w:type="dxa" w:w="3249"/>
            <w:vAlign w:val="center"/>
          </w:tcPr>
          <w:p>
            <w:pPr>
              <w:spacing w:after="0"/>
            </w:pPr>
            <w:r/>
            <w:r>
              <w:rPr>
                <w:rFonts w:ascii="Aptos" w:hAnsi="Aptos" w:eastAsia="Aptos"/>
                <w:b w:val="0"/>
                <w:sz w:val="19"/>
              </w:rPr>
              <w:t>Chain abstraction should depend on resilient RPC routing, health checks, and fallback providers rather than self-hosted consensus nodes.</w:t>
            </w:r>
          </w:p>
        </w:tc>
      </w:tr>
    </w:tbl>
    <w:p/>
    <w:p>
      <w:pPr>
        <w:pStyle w:val="Heading1"/>
      </w:pPr>
      <w:r>
        <w:t>3. Product scope and positioning</w:t>
      </w:r>
    </w:p>
    <w:p>
      <w:pPr>
        <w:spacing w:after="120"/>
      </w:pPr>
      <w:r>
        <w:rPr>
          <w:rFonts w:ascii="Aptos" w:hAnsi="Aptos" w:eastAsia="Aptos"/>
        </w:rPr>
        <w:t>Ignite DEX should be documented as a performance-focused derivatives exchange with a multichain fee-token system and a modular offchain execution / onchain settlement architecture. Hyperliquid’s public docs show the value of clear separation between product behavior, exchange APIs, and chain-level primitives. Ignite should adopt that clarity even if its internal stack differs.</w:t>
      </w:r>
    </w:p>
    <w:p>
      <w:pPr>
        <w:pStyle w:val="ListBullet"/>
        <w:spacing w:after="60"/>
        <w:ind w:left="340"/>
      </w:pPr>
      <w:r>
        <w:rPr>
          <w:rFonts w:ascii="Aptos" w:hAnsi="Aptos" w:eastAsia="Aptos"/>
          <w:sz w:val="21"/>
        </w:rPr>
        <w:t>Primary product: perpetual futures exchange with professional trading workflows.</w:t>
      </w:r>
    </w:p>
    <w:p>
      <w:pPr>
        <w:pStyle w:val="ListBullet"/>
        <w:spacing w:after="60"/>
        <w:ind w:left="340"/>
      </w:pPr>
      <w:r>
        <w:rPr>
          <w:rFonts w:ascii="Aptos" w:hAnsi="Aptos" w:eastAsia="Aptos"/>
          <w:sz w:val="21"/>
        </w:rPr>
        <w:t>Secondary product surface: ecosystem token utility, referrals, builder and partner integrations, and optional spot expansion.</w:t>
      </w:r>
    </w:p>
    <w:p>
      <w:pPr>
        <w:pStyle w:val="ListBullet"/>
        <w:spacing w:after="60"/>
        <w:ind w:left="340"/>
      </w:pPr>
      <w:r>
        <w:rPr>
          <w:rFonts w:ascii="Aptos" w:hAnsi="Aptos" w:eastAsia="Aptos"/>
          <w:sz w:val="21"/>
        </w:rPr>
        <w:t>Core promise: exchange-grade speed with transparent, documented risk controls and a consistent multichain fee token.</w:t>
      </w:r>
    </w:p>
    <w:p>
      <w:pPr>
        <w:pStyle w:val="ListBullet"/>
        <w:spacing w:after="60"/>
        <w:ind w:left="340"/>
      </w:pPr>
      <w:r>
        <w:rPr>
          <w:rFonts w:ascii="Aptos" w:hAnsi="Aptos" w:eastAsia="Aptos"/>
          <w:sz w:val="21"/>
        </w:rPr>
        <w:t>Design stance: simple instrument specs, clear risk rules, and unambiguous API documentation beat feature sprawl.</w:t>
      </w:r>
    </w:p>
    <w:p>
      <w:pPr>
        <w:pStyle w:val="Heading1"/>
      </w:pPr>
      <w:r>
        <w:t>4. High-level system architecture</w:t>
      </w:r>
    </w:p>
    <w:p>
      <w:pPr>
        <w:spacing w:after="120"/>
      </w:pPr>
      <w:r>
        <w:rPr>
          <w:rFonts w:ascii="Aptos" w:hAnsi="Aptos" w:eastAsia="Aptos"/>
        </w:rPr>
        <w:t>Ignite’s architecture is already materially defined by the supplied server layout. The recommended documentation model is to describe the platform as six layers: client layer, API gateway, matching layer, risk layer, state layer, chain access layer, and observability layer.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CE6F8"/>
            <w:vAlign w:val="center"/>
          </w:tcPr>
          <w:p>
            <w:pPr>
              <w:spacing w:after="0"/>
            </w:pPr>
            <w:r/>
            <w:r>
              <w:rPr>
                <w:rFonts w:ascii="Aptos" w:hAnsi="Aptos" w:eastAsia="Aptos"/>
                <w:b/>
                <w:sz w:val="20"/>
              </w:rPr>
              <w:t>Layer</w:t>
            </w:r>
          </w:p>
        </w:tc>
        <w:tc>
          <w:tcPr>
            <w:tcW w:type="dxa" w:w="2436"/>
            <w:shd w:fill="DCE6F8"/>
            <w:vAlign w:val="center"/>
          </w:tcPr>
          <w:p>
            <w:pPr>
              <w:spacing w:after="0"/>
            </w:pPr>
            <w:r/>
            <w:r>
              <w:rPr>
                <w:rFonts w:ascii="Aptos" w:hAnsi="Aptos" w:eastAsia="Aptos"/>
                <w:b/>
                <w:sz w:val="20"/>
              </w:rPr>
              <w:t>Main responsibility</w:t>
            </w:r>
          </w:p>
        </w:tc>
        <w:tc>
          <w:tcPr>
            <w:tcW w:type="dxa" w:w="2436"/>
            <w:shd w:fill="DCE6F8"/>
            <w:vAlign w:val="center"/>
          </w:tcPr>
          <w:p>
            <w:pPr>
              <w:spacing w:after="0"/>
            </w:pPr>
            <w:r/>
            <w:r>
              <w:rPr>
                <w:rFonts w:ascii="Aptos" w:hAnsi="Aptos" w:eastAsia="Aptos"/>
                <w:b/>
                <w:sz w:val="20"/>
              </w:rPr>
              <w:t>Current host(s)</w:t>
            </w:r>
          </w:p>
        </w:tc>
        <w:tc>
          <w:tcPr>
            <w:tcW w:type="dxa" w:w="2436"/>
            <w:shd w:fill="DCE6F8"/>
            <w:vAlign w:val="center"/>
          </w:tcPr>
          <w:p>
            <w:pPr>
              <w:spacing w:after="0"/>
            </w:pPr>
            <w:r/>
            <w:r>
              <w:rPr>
                <w:rFonts w:ascii="Aptos" w:hAnsi="Aptos" w:eastAsia="Aptos"/>
                <w:b/>
                <w:sz w:val="20"/>
              </w:rPr>
              <w:t>Recommended notes</w:t>
            </w:r>
          </w:p>
        </w:tc>
      </w:tr>
      <w:tr>
        <w:tc>
          <w:tcPr>
            <w:tcW w:type="dxa" w:w="2436"/>
            <w:vAlign w:val="center"/>
          </w:tcPr>
          <w:p>
            <w:pPr>
              <w:spacing w:after="0"/>
            </w:pPr>
            <w:r/>
            <w:r>
              <w:rPr>
                <w:rFonts w:ascii="Aptos" w:hAnsi="Aptos" w:eastAsia="Aptos"/>
                <w:b w:val="0"/>
                <w:sz w:val="18"/>
              </w:rPr>
              <w:t>Client layer</w:t>
            </w:r>
          </w:p>
        </w:tc>
        <w:tc>
          <w:tcPr>
            <w:tcW w:type="dxa" w:w="2436"/>
            <w:vAlign w:val="center"/>
          </w:tcPr>
          <w:p>
            <w:pPr>
              <w:spacing w:after="0"/>
            </w:pPr>
            <w:r/>
            <w:r>
              <w:rPr>
                <w:rFonts w:ascii="Aptos" w:hAnsi="Aptos" w:eastAsia="Aptos"/>
                <w:b w:val="0"/>
                <w:sz w:val="18"/>
              </w:rPr>
              <w:t>Web app, mobile web, trading UI, account management</w:t>
            </w:r>
          </w:p>
        </w:tc>
        <w:tc>
          <w:tcPr>
            <w:tcW w:type="dxa" w:w="2436"/>
            <w:vAlign w:val="center"/>
          </w:tcPr>
          <w:p>
            <w:pPr>
              <w:spacing w:after="0"/>
            </w:pPr>
            <w:r/>
            <w:r>
              <w:rPr>
                <w:rFonts w:ascii="Aptos" w:hAnsi="Aptos" w:eastAsia="Aptos"/>
                <w:b w:val="0"/>
                <w:sz w:val="18"/>
              </w:rPr>
              <w:t>Public-facing frontend via 187.124.184.170</w:t>
            </w:r>
          </w:p>
        </w:tc>
        <w:tc>
          <w:tcPr>
            <w:tcW w:type="dxa" w:w="2436"/>
            <w:vAlign w:val="center"/>
          </w:tcPr>
          <w:p>
            <w:pPr>
              <w:spacing w:after="0"/>
            </w:pPr>
            <w:r/>
            <w:r>
              <w:rPr>
                <w:rFonts w:ascii="Aptos" w:hAnsi="Aptos" w:eastAsia="Aptos"/>
                <w:b w:val="0"/>
                <w:sz w:val="18"/>
              </w:rPr>
              <w:t>Document latency budgets and degraded-mode UX for chain slowdowns.</w:t>
            </w:r>
          </w:p>
        </w:tc>
      </w:tr>
      <w:tr>
        <w:tc>
          <w:tcPr>
            <w:tcW w:type="dxa" w:w="2436"/>
            <w:vAlign w:val="center"/>
          </w:tcPr>
          <w:p>
            <w:pPr>
              <w:spacing w:after="0"/>
            </w:pPr>
            <w:r/>
            <w:r>
              <w:rPr>
                <w:rFonts w:ascii="Aptos" w:hAnsi="Aptos" w:eastAsia="Aptos"/>
                <w:b w:val="0"/>
                <w:sz w:val="18"/>
              </w:rPr>
              <w:t>API gateway</w:t>
            </w:r>
          </w:p>
        </w:tc>
        <w:tc>
          <w:tcPr>
            <w:tcW w:type="dxa" w:w="2436"/>
            <w:vAlign w:val="center"/>
          </w:tcPr>
          <w:p>
            <w:pPr>
              <w:spacing w:after="0"/>
            </w:pPr>
            <w:r/>
            <w:r>
              <w:rPr>
                <w:rFonts w:ascii="Aptos" w:hAnsi="Aptos" w:eastAsia="Aptos"/>
                <w:b w:val="0"/>
                <w:sz w:val="18"/>
              </w:rPr>
              <w:t>REST APIs, auth, rate limits, WebSocket fan-out</w:t>
            </w:r>
          </w:p>
        </w:tc>
        <w:tc>
          <w:tcPr>
            <w:tcW w:type="dxa" w:w="2436"/>
            <w:vAlign w:val="center"/>
          </w:tcPr>
          <w:p>
            <w:pPr>
              <w:spacing w:after="0"/>
            </w:pPr>
            <w:r/>
            <w:r>
              <w:rPr>
                <w:rFonts w:ascii="Aptos" w:hAnsi="Aptos" w:eastAsia="Aptos"/>
                <w:b w:val="0"/>
                <w:sz w:val="18"/>
              </w:rPr>
              <w:t>187.124.184.170</w:t>
            </w:r>
          </w:p>
        </w:tc>
        <w:tc>
          <w:tcPr>
            <w:tcW w:type="dxa" w:w="2436"/>
            <w:vAlign w:val="center"/>
          </w:tcPr>
          <w:p>
            <w:pPr>
              <w:spacing w:after="0"/>
            </w:pPr>
            <w:r/>
            <w:r>
              <w:rPr>
                <w:rFonts w:ascii="Aptos" w:hAnsi="Aptos" w:eastAsia="Aptos"/>
                <w:b w:val="0"/>
                <w:sz w:val="18"/>
              </w:rPr>
              <w:t>Keep stateless where possible; sessions and queues externalized.</w:t>
            </w:r>
          </w:p>
        </w:tc>
      </w:tr>
      <w:tr>
        <w:tc>
          <w:tcPr>
            <w:tcW w:type="dxa" w:w="2436"/>
            <w:vAlign w:val="center"/>
          </w:tcPr>
          <w:p>
            <w:pPr>
              <w:spacing w:after="0"/>
            </w:pPr>
            <w:r/>
            <w:r>
              <w:rPr>
                <w:rFonts w:ascii="Aptos" w:hAnsi="Aptos" w:eastAsia="Aptos"/>
                <w:b w:val="0"/>
                <w:sz w:val="18"/>
              </w:rPr>
              <w:t>Matching layer</w:t>
            </w:r>
          </w:p>
        </w:tc>
        <w:tc>
          <w:tcPr>
            <w:tcW w:type="dxa" w:w="2436"/>
            <w:vAlign w:val="center"/>
          </w:tcPr>
          <w:p>
            <w:pPr>
              <w:spacing w:after="0"/>
            </w:pPr>
            <w:r/>
            <w:r>
              <w:rPr>
                <w:rFonts w:ascii="Aptos" w:hAnsi="Aptos" w:eastAsia="Aptos"/>
                <w:b w:val="0"/>
                <w:sz w:val="18"/>
              </w:rPr>
              <w:t>Order validation, sequencing, book matching, fill generation</w:t>
            </w:r>
          </w:p>
        </w:tc>
        <w:tc>
          <w:tcPr>
            <w:tcW w:type="dxa" w:w="2436"/>
            <w:vAlign w:val="center"/>
          </w:tcPr>
          <w:p>
            <w:pPr>
              <w:spacing w:after="0"/>
            </w:pPr>
            <w:r/>
            <w:r>
              <w:rPr>
                <w:rFonts w:ascii="Aptos" w:hAnsi="Aptos" w:eastAsia="Aptos"/>
                <w:b w:val="0"/>
                <w:sz w:val="18"/>
              </w:rPr>
              <w:t>89.38.131.38</w:t>
            </w:r>
          </w:p>
        </w:tc>
        <w:tc>
          <w:tcPr>
            <w:tcW w:type="dxa" w:w="2436"/>
            <w:vAlign w:val="center"/>
          </w:tcPr>
          <w:p>
            <w:pPr>
              <w:spacing w:after="0"/>
            </w:pPr>
            <w:r/>
            <w:r>
              <w:rPr>
                <w:rFonts w:ascii="Aptos" w:hAnsi="Aptos" w:eastAsia="Aptos"/>
                <w:b w:val="0"/>
                <w:sz w:val="18"/>
              </w:rPr>
              <w:t>No web workloads on this machine; optimize for determinism and recovery.</w:t>
            </w:r>
          </w:p>
        </w:tc>
      </w:tr>
      <w:tr>
        <w:tc>
          <w:tcPr>
            <w:tcW w:type="dxa" w:w="2436"/>
            <w:vAlign w:val="center"/>
          </w:tcPr>
          <w:p>
            <w:pPr>
              <w:spacing w:after="0"/>
            </w:pPr>
            <w:r/>
            <w:r>
              <w:rPr>
                <w:rFonts w:ascii="Aptos" w:hAnsi="Aptos" w:eastAsia="Aptos"/>
                <w:b w:val="0"/>
                <w:sz w:val="18"/>
              </w:rPr>
              <w:t>Risk layer</w:t>
            </w:r>
          </w:p>
        </w:tc>
        <w:tc>
          <w:tcPr>
            <w:tcW w:type="dxa" w:w="2436"/>
            <w:vAlign w:val="center"/>
          </w:tcPr>
          <w:p>
            <w:pPr>
              <w:spacing w:after="0"/>
            </w:pPr>
            <w:r/>
            <w:r>
              <w:rPr>
                <w:rFonts w:ascii="Aptos" w:hAnsi="Aptos" w:eastAsia="Aptos"/>
                <w:b w:val="0"/>
                <w:sz w:val="18"/>
              </w:rPr>
              <w:t>Margin checks, leverage guards, liquidation signals, ADL / insurance logic</w:t>
            </w:r>
          </w:p>
        </w:tc>
        <w:tc>
          <w:tcPr>
            <w:tcW w:type="dxa" w:w="2436"/>
            <w:vAlign w:val="center"/>
          </w:tcPr>
          <w:p>
            <w:pPr>
              <w:spacing w:after="0"/>
            </w:pPr>
            <w:r/>
            <w:r>
              <w:rPr>
                <w:rFonts w:ascii="Aptos" w:hAnsi="Aptos" w:eastAsia="Aptos"/>
                <w:b w:val="0"/>
                <w:sz w:val="18"/>
              </w:rPr>
              <w:t>72.61.158.30</w:t>
            </w:r>
          </w:p>
        </w:tc>
        <w:tc>
          <w:tcPr>
            <w:tcW w:type="dxa" w:w="2436"/>
            <w:vAlign w:val="center"/>
          </w:tcPr>
          <w:p>
            <w:pPr>
              <w:spacing w:after="0"/>
            </w:pPr>
            <w:r/>
            <w:r>
              <w:rPr>
                <w:rFonts w:ascii="Aptos" w:hAnsi="Aptos" w:eastAsia="Aptos"/>
                <w:b w:val="0"/>
                <w:sz w:val="18"/>
              </w:rPr>
              <w:t>Should run independently from matching for fault isolation.</w:t>
            </w:r>
          </w:p>
        </w:tc>
      </w:tr>
      <w:tr>
        <w:tc>
          <w:tcPr>
            <w:tcW w:type="dxa" w:w="2436"/>
            <w:vAlign w:val="center"/>
          </w:tcPr>
          <w:p>
            <w:pPr>
              <w:spacing w:after="0"/>
            </w:pPr>
            <w:r/>
            <w:r>
              <w:rPr>
                <w:rFonts w:ascii="Aptos" w:hAnsi="Aptos" w:eastAsia="Aptos"/>
                <w:b w:val="0"/>
                <w:sz w:val="18"/>
              </w:rPr>
              <w:t>State layer</w:t>
            </w:r>
          </w:p>
        </w:tc>
        <w:tc>
          <w:tcPr>
            <w:tcW w:type="dxa" w:w="2436"/>
            <w:vAlign w:val="center"/>
          </w:tcPr>
          <w:p>
            <w:pPr>
              <w:spacing w:after="0"/>
            </w:pPr>
            <w:r/>
            <w:r>
              <w:rPr>
                <w:rFonts w:ascii="Aptos" w:hAnsi="Aptos" w:eastAsia="Aptos"/>
                <w:b w:val="0"/>
                <w:sz w:val="18"/>
              </w:rPr>
              <w:t>Accounts, balances, order history, fills, ledgers, audit trail</w:t>
            </w:r>
          </w:p>
        </w:tc>
        <w:tc>
          <w:tcPr>
            <w:tcW w:type="dxa" w:w="2436"/>
            <w:vAlign w:val="center"/>
          </w:tcPr>
          <w:p>
            <w:pPr>
              <w:spacing w:after="0"/>
            </w:pPr>
            <w:r/>
            <w:r>
              <w:rPr>
                <w:rFonts w:ascii="Aptos" w:hAnsi="Aptos" w:eastAsia="Aptos"/>
                <w:b w:val="0"/>
                <w:sz w:val="18"/>
              </w:rPr>
              <w:t>194.99.22.7</w:t>
            </w:r>
          </w:p>
        </w:tc>
        <w:tc>
          <w:tcPr>
            <w:tcW w:type="dxa" w:w="2436"/>
            <w:vAlign w:val="center"/>
          </w:tcPr>
          <w:p>
            <w:pPr>
              <w:spacing w:after="0"/>
            </w:pPr>
            <w:r/>
            <w:r>
              <w:rPr>
                <w:rFonts w:ascii="Aptos" w:hAnsi="Aptos" w:eastAsia="Aptos"/>
                <w:b w:val="0"/>
                <w:sz w:val="18"/>
              </w:rPr>
              <w:t>Use WAL archiving, streaming replicas, PITR, and schema-versioned migrations.</w:t>
            </w:r>
          </w:p>
        </w:tc>
      </w:tr>
      <w:tr>
        <w:tc>
          <w:tcPr>
            <w:tcW w:type="dxa" w:w="2436"/>
            <w:vAlign w:val="center"/>
          </w:tcPr>
          <w:p>
            <w:pPr>
              <w:spacing w:after="0"/>
            </w:pPr>
            <w:r/>
            <w:r>
              <w:rPr>
                <w:rFonts w:ascii="Aptos" w:hAnsi="Aptos" w:eastAsia="Aptos"/>
                <w:b w:val="0"/>
                <w:sz w:val="18"/>
              </w:rPr>
              <w:t>Cache + bus</w:t>
            </w:r>
          </w:p>
        </w:tc>
        <w:tc>
          <w:tcPr>
            <w:tcW w:type="dxa" w:w="2436"/>
            <w:vAlign w:val="center"/>
          </w:tcPr>
          <w:p>
            <w:pPr>
              <w:spacing w:after="0"/>
            </w:pPr>
            <w:r/>
            <w:r>
              <w:rPr>
                <w:rFonts w:ascii="Aptos" w:hAnsi="Aptos" w:eastAsia="Aptos"/>
                <w:b w:val="0"/>
                <w:sz w:val="18"/>
              </w:rPr>
              <w:t>Hot reads, pub/sub, event streaming, metrics transport</w:t>
            </w:r>
          </w:p>
        </w:tc>
        <w:tc>
          <w:tcPr>
            <w:tcW w:type="dxa" w:w="2436"/>
            <w:vAlign w:val="center"/>
          </w:tcPr>
          <w:p>
            <w:pPr>
              <w:spacing w:after="0"/>
            </w:pPr>
            <w:r/>
            <w:r>
              <w:rPr>
                <w:rFonts w:ascii="Aptos" w:hAnsi="Aptos" w:eastAsia="Aptos"/>
                <w:b w:val="0"/>
                <w:sz w:val="18"/>
              </w:rPr>
              <w:t>95.169.204.96 / 95.169.205.114</w:t>
            </w:r>
          </w:p>
        </w:tc>
        <w:tc>
          <w:tcPr>
            <w:tcW w:type="dxa" w:w="2436"/>
            <w:vAlign w:val="center"/>
          </w:tcPr>
          <w:p>
            <w:pPr>
              <w:spacing w:after="0"/>
            </w:pPr>
            <w:r/>
            <w:r>
              <w:rPr>
                <w:rFonts w:ascii="Aptos" w:hAnsi="Aptos" w:eastAsia="Aptos"/>
                <w:b w:val="0"/>
                <w:sz w:val="18"/>
              </w:rPr>
              <w:t>Split Redis roles or run sentinel/cluster with strict memory alarms.</w:t>
            </w:r>
          </w:p>
        </w:tc>
      </w:tr>
      <w:tr>
        <w:tc>
          <w:tcPr>
            <w:tcW w:type="dxa" w:w="2436"/>
            <w:vAlign w:val="center"/>
          </w:tcPr>
          <w:p>
            <w:pPr>
              <w:spacing w:after="0"/>
            </w:pPr>
            <w:r/>
            <w:r>
              <w:rPr>
                <w:rFonts w:ascii="Aptos" w:hAnsi="Aptos" w:eastAsia="Aptos"/>
                <w:b w:val="0"/>
                <w:sz w:val="18"/>
              </w:rPr>
              <w:t>Chain access</w:t>
            </w:r>
          </w:p>
        </w:tc>
        <w:tc>
          <w:tcPr>
            <w:tcW w:type="dxa" w:w="2436"/>
            <w:vAlign w:val="center"/>
          </w:tcPr>
          <w:p>
            <w:pPr>
              <w:spacing w:after="0"/>
            </w:pPr>
            <w:r/>
            <w:r>
              <w:rPr>
                <w:rFonts w:ascii="Aptos" w:hAnsi="Aptos" w:eastAsia="Aptos"/>
                <w:b w:val="0"/>
                <w:sz w:val="18"/>
              </w:rPr>
              <w:t>Deposits, withdrawals, contract watchers, gas and bridge logic</w:t>
            </w:r>
          </w:p>
        </w:tc>
        <w:tc>
          <w:tcPr>
            <w:tcW w:type="dxa" w:w="2436"/>
            <w:vAlign w:val="center"/>
          </w:tcPr>
          <w:p>
            <w:pPr>
              <w:spacing w:after="0"/>
            </w:pPr>
            <w:r/>
            <w:r>
              <w:rPr>
                <w:rFonts w:ascii="Aptos" w:hAnsi="Aptos" w:eastAsia="Aptos"/>
                <w:b w:val="0"/>
                <w:sz w:val="18"/>
              </w:rPr>
              <w:t>External RPCs and nodes incl. LITHO</w:t>
            </w:r>
          </w:p>
        </w:tc>
        <w:tc>
          <w:tcPr>
            <w:tcW w:type="dxa" w:w="2436"/>
            <w:vAlign w:val="center"/>
          </w:tcPr>
          <w:p>
            <w:pPr>
              <w:spacing w:after="0"/>
            </w:pPr>
            <w:r/>
            <w:r>
              <w:rPr>
                <w:rFonts w:ascii="Aptos" w:hAnsi="Aptos" w:eastAsia="Aptos"/>
                <w:b w:val="0"/>
                <w:sz w:val="18"/>
              </w:rPr>
              <w:t>Implement provider rotation, idempotent transaction submission, and chain finality policy.</w:t>
            </w:r>
          </w:p>
        </w:tc>
      </w:tr>
      <w:tr>
        <w:tc>
          <w:tcPr>
            <w:tcW w:type="dxa" w:w="2436"/>
            <w:vAlign w:val="center"/>
          </w:tcPr>
          <w:p>
            <w:pPr>
              <w:spacing w:after="0"/>
            </w:pPr>
            <w:r/>
            <w:r>
              <w:rPr>
                <w:rFonts w:ascii="Aptos" w:hAnsi="Aptos" w:eastAsia="Aptos"/>
                <w:b w:val="0"/>
                <w:sz w:val="18"/>
              </w:rPr>
              <w:t>Observability</w:t>
            </w:r>
          </w:p>
        </w:tc>
        <w:tc>
          <w:tcPr>
            <w:tcW w:type="dxa" w:w="2436"/>
            <w:vAlign w:val="center"/>
          </w:tcPr>
          <w:p>
            <w:pPr>
              <w:spacing w:after="0"/>
            </w:pPr>
            <w:r/>
            <w:r>
              <w:rPr>
                <w:rFonts w:ascii="Aptos" w:hAnsi="Aptos" w:eastAsia="Aptos"/>
                <w:b w:val="0"/>
                <w:sz w:val="18"/>
              </w:rPr>
              <w:t>Logs, dashboards, alerts, tracing, uptime checks</w:t>
            </w:r>
          </w:p>
        </w:tc>
        <w:tc>
          <w:tcPr>
            <w:tcW w:type="dxa" w:w="2436"/>
            <w:vAlign w:val="center"/>
          </w:tcPr>
          <w:p>
            <w:pPr>
              <w:spacing w:after="0"/>
            </w:pPr>
            <w:r/>
            <w:r>
              <w:rPr>
                <w:rFonts w:ascii="Aptos" w:hAnsi="Aptos" w:eastAsia="Aptos"/>
                <w:b w:val="0"/>
                <w:sz w:val="18"/>
              </w:rPr>
              <w:t>95.169.204.96 / 95.169.205.114</w:t>
            </w:r>
          </w:p>
        </w:tc>
        <w:tc>
          <w:tcPr>
            <w:tcW w:type="dxa" w:w="2436"/>
            <w:vAlign w:val="center"/>
          </w:tcPr>
          <w:p>
            <w:pPr>
              <w:spacing w:after="0"/>
            </w:pPr>
            <w:r/>
            <w:r>
              <w:rPr>
                <w:rFonts w:ascii="Aptos" w:hAnsi="Aptos" w:eastAsia="Aptos"/>
                <w:b w:val="0"/>
                <w:sz w:val="18"/>
              </w:rPr>
              <w:t>Separate monitoring from exchange traffic; retain security/audit logs longer.</w:t>
            </w:r>
          </w:p>
        </w:tc>
      </w:tr>
    </w:tbl>
    <w:p/>
    <w:p>
      <w:pPr>
        <w:spacing w:after="120"/>
      </w:pPr>
      <w:r>
        <w:rPr>
          <w:rFonts w:ascii="Aptos" w:hAnsi="Aptos" w:eastAsia="Aptos"/>
        </w:rPr>
        <w:t>Recommended data flow:</w:t>
      </w:r>
    </w:p>
    <w:p>
      <w:pPr>
        <w:pStyle w:val="ListBullet"/>
        <w:spacing w:after="60"/>
        <w:ind w:left="340"/>
      </w:pPr>
      <w:r>
        <w:rPr>
          <w:rFonts w:ascii="Aptos" w:hAnsi="Aptos" w:eastAsia="Aptos"/>
          <w:sz w:val="21"/>
        </w:rPr>
        <w:t>Client signs in and requests market metadata, balances, positions, and configuration through the API layer.</w:t>
      </w:r>
    </w:p>
    <w:p>
      <w:pPr>
        <w:pStyle w:val="ListBullet"/>
        <w:spacing w:after="60"/>
        <w:ind w:left="340"/>
      </w:pPr>
      <w:r>
        <w:rPr>
          <w:rFonts w:ascii="Aptos" w:hAnsi="Aptos" w:eastAsia="Aptos"/>
          <w:sz w:val="21"/>
        </w:rPr>
        <w:t>Order submission enters API validation, nonce/rate checks, and symbol normalization, then routes to the matching engine.</w:t>
      </w:r>
    </w:p>
    <w:p>
      <w:pPr>
        <w:pStyle w:val="ListBullet"/>
        <w:spacing w:after="60"/>
        <w:ind w:left="340"/>
      </w:pPr>
      <w:r>
        <w:rPr>
          <w:rFonts w:ascii="Aptos" w:hAnsi="Aptos" w:eastAsia="Aptos"/>
          <w:sz w:val="21"/>
        </w:rPr>
        <w:t>The matching engine emits fills, book changes, and order state deltas to Redis/message bus.</w:t>
      </w:r>
    </w:p>
    <w:p>
      <w:pPr>
        <w:pStyle w:val="ListBullet"/>
        <w:spacing w:after="60"/>
        <w:ind w:left="340"/>
      </w:pPr>
      <w:r>
        <w:rPr>
          <w:rFonts w:ascii="Aptos" w:hAnsi="Aptos" w:eastAsia="Aptos"/>
          <w:sz w:val="21"/>
        </w:rPr>
        <w:t>Risk service consumes the same event stream to recompute account health, margin usage, liquidation eligibility, and circuit-breaker status.</w:t>
      </w:r>
    </w:p>
    <w:p>
      <w:pPr>
        <w:pStyle w:val="ListBullet"/>
        <w:spacing w:after="60"/>
        <w:ind w:left="340"/>
      </w:pPr>
      <w:r>
        <w:rPr>
          <w:rFonts w:ascii="Aptos" w:hAnsi="Aptos" w:eastAsia="Aptos"/>
          <w:sz w:val="21"/>
        </w:rPr>
        <w:t>PostgreSQL persists durable order, fill, ledger, and account records; WebSocket streams fan out derived updates to clients.</w:t>
      </w:r>
    </w:p>
    <w:p>
      <w:pPr>
        <w:pStyle w:val="ListBullet"/>
        <w:spacing w:after="60"/>
        <w:ind w:left="340"/>
      </w:pPr>
      <w:r>
        <w:rPr>
          <w:rFonts w:ascii="Aptos" w:hAnsi="Aptos" w:eastAsia="Aptos"/>
          <w:sz w:val="21"/>
        </w:rPr>
        <w:t>Chain services handle deposits, withdrawals, and settlement jobs using redundant RPC providers.</w:t>
      </w:r>
    </w:p>
    <w:p>
      <w:pPr>
        <w:pStyle w:val="Heading1"/>
      </w:pPr>
      <w:r>
        <w:t>5. Matching engine, order books, and execution</w:t>
      </w:r>
    </w:p>
    <w:p>
      <w:pPr>
        <w:spacing w:after="120"/>
      </w:pPr>
      <w:r>
        <w:rPr>
          <w:rFonts w:ascii="Aptos" w:hAnsi="Aptos" w:eastAsia="Aptos"/>
        </w:rPr>
        <w:t>Hyperliquid’s docs emphasize a unified order book model, low-latency execution, and explicit order semantics. Ignite should document its own execution layer at the same level of precision.</w:t>
      </w:r>
    </w:p>
    <w:p>
      <w:pPr>
        <w:pStyle w:val="ListBullet"/>
        <w:spacing w:after="60"/>
        <w:ind w:left="340"/>
      </w:pPr>
      <w:r>
        <w:rPr>
          <w:rFonts w:ascii="Aptos" w:hAnsi="Aptos" w:eastAsia="Aptos"/>
          <w:sz w:val="21"/>
        </w:rPr>
        <w:t>Supported order types: market, limit, stop-market, stop-limit, take-profit, reduce-only, and post-only.</w:t>
      </w:r>
    </w:p>
    <w:p>
      <w:pPr>
        <w:pStyle w:val="ListBullet"/>
        <w:spacing w:after="60"/>
        <w:ind w:left="340"/>
      </w:pPr>
      <w:r>
        <w:rPr>
          <w:rFonts w:ascii="Aptos" w:hAnsi="Aptos" w:eastAsia="Aptos"/>
          <w:sz w:val="21"/>
        </w:rPr>
        <w:t>Supported time-in-force: GTC, IOC, and ALO/post-only style behavior.</w:t>
      </w:r>
    </w:p>
    <w:p>
      <w:pPr>
        <w:pStyle w:val="ListBullet"/>
        <w:spacing w:after="60"/>
        <w:ind w:left="340"/>
      </w:pPr>
      <w:r>
        <w:rPr>
          <w:rFonts w:ascii="Aptos" w:hAnsi="Aptos" w:eastAsia="Aptos"/>
          <w:sz w:val="21"/>
        </w:rPr>
        <w:t>Order lifecycle states: received, accepted, resting, partially filled, filled, canceled, rejected, expired.</w:t>
      </w:r>
    </w:p>
    <w:p>
      <w:pPr>
        <w:pStyle w:val="ListBullet"/>
        <w:spacing w:after="60"/>
        <w:ind w:left="340"/>
      </w:pPr>
      <w:r>
        <w:rPr>
          <w:rFonts w:ascii="Aptos" w:hAnsi="Aptos" w:eastAsia="Aptos"/>
          <w:sz w:val="21"/>
        </w:rPr>
        <w:t>Execution principles: deterministic matching, monotonic sequencing, durable fill IDs, and exact ledger posting after each fill.</w:t>
      </w:r>
    </w:p>
    <w:p>
      <w:pPr>
        <w:pStyle w:val="ListBullet"/>
        <w:spacing w:after="60"/>
        <w:ind w:left="340"/>
      </w:pPr>
      <w:r>
        <w:rPr>
          <w:rFonts w:ascii="Aptos" w:hAnsi="Aptos" w:eastAsia="Aptos"/>
          <w:sz w:val="21"/>
        </w:rPr>
        <w:t>Market metadata should define tick size, lot size, max leverage, maintenance requirements, mark-price source, funding interval, and risk limits per market.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CE6F8"/>
            <w:vAlign w:val="center"/>
          </w:tcPr>
          <w:p>
            <w:pPr>
              <w:spacing w:after="0"/>
            </w:pPr>
            <w:r/>
            <w:r>
              <w:rPr>
                <w:rFonts w:ascii="Aptos" w:hAnsi="Aptos" w:eastAsia="Aptos"/>
                <w:b/>
                <w:sz w:val="20"/>
              </w:rPr>
              <w:t>Field</w:t>
            </w:r>
          </w:p>
        </w:tc>
        <w:tc>
          <w:tcPr>
            <w:tcW w:type="dxa" w:w="1949"/>
            <w:shd w:fill="DCE6F8"/>
            <w:vAlign w:val="center"/>
          </w:tcPr>
          <w:p>
            <w:pPr>
              <w:spacing w:after="0"/>
            </w:pPr>
            <w:r/>
            <w:r>
              <w:rPr>
                <w:rFonts w:ascii="Aptos" w:hAnsi="Aptos" w:eastAsia="Aptos"/>
                <w:b/>
                <w:sz w:val="20"/>
              </w:rPr>
              <w:t>Description</w:t>
            </w:r>
          </w:p>
        </w:tc>
        <w:tc>
          <w:tcPr>
            <w:tcW w:type="dxa" w:w="1949"/>
            <w:shd w:fill="DCE6F8"/>
            <w:vAlign w:val="center"/>
          </w:tcPr>
          <w:p>
            <w:pPr>
              <w:spacing w:after="0"/>
            </w:pPr>
            <w:r/>
            <w:r>
              <w:rPr>
                <w:rFonts w:ascii="Aptos" w:hAnsi="Aptos" w:eastAsia="Aptos"/>
                <w:b/>
                <w:sz w:val="20"/>
              </w:rPr>
              <w:t>Example</w:t>
            </w:r>
          </w:p>
        </w:tc>
        <w:tc>
          <w:tcPr>
            <w:tcW w:type="dxa" w:w="1949"/>
            <w:shd w:fill="DCE6F8"/>
            <w:vAlign w:val="center"/>
          </w:tcPr>
          <w:p>
            <w:pPr>
              <w:spacing w:after="0"/>
            </w:pPr>
            <w:r/>
            <w:r>
              <w:rPr>
                <w:rFonts w:ascii="Aptos" w:hAnsi="Aptos" w:eastAsia="Aptos"/>
                <w:b/>
                <w:sz w:val="20"/>
              </w:rPr>
              <w:t>Required for docs?</w:t>
            </w:r>
          </w:p>
        </w:tc>
        <w:tc>
          <w:tcPr>
            <w:tcW w:type="dxa" w:w="1949"/>
            <w:shd w:fill="DCE6F8"/>
            <w:vAlign w:val="center"/>
          </w:tcPr>
          <w:p>
            <w:pPr>
              <w:spacing w:after="0"/>
            </w:pPr>
            <w:r/>
            <w:r>
              <w:rPr>
                <w:rFonts w:ascii="Aptos" w:hAnsi="Aptos" w:eastAsia="Aptos"/>
                <w:b/>
                <w:sz w:val="20"/>
              </w:rPr>
              <w:t>Owner</w:t>
            </w:r>
          </w:p>
        </w:tc>
      </w:tr>
      <w:tr>
        <w:tc>
          <w:tcPr>
            <w:tcW w:type="dxa" w:w="1949"/>
            <w:vAlign w:val="center"/>
          </w:tcPr>
          <w:p>
            <w:pPr>
              <w:spacing w:after="0"/>
            </w:pPr>
            <w:r/>
            <w:r>
              <w:rPr>
                <w:rFonts w:ascii="Aptos" w:hAnsi="Aptos" w:eastAsia="Aptos"/>
                <w:b w:val="0"/>
                <w:sz w:val="18"/>
              </w:rPr>
              <w:t>Symbol</w:t>
            </w:r>
          </w:p>
        </w:tc>
        <w:tc>
          <w:tcPr>
            <w:tcW w:type="dxa" w:w="1949"/>
            <w:vAlign w:val="center"/>
          </w:tcPr>
          <w:p>
            <w:pPr>
              <w:spacing w:after="0"/>
            </w:pPr>
            <w:r/>
            <w:r>
              <w:rPr>
                <w:rFonts w:ascii="Aptos" w:hAnsi="Aptos" w:eastAsia="Aptos"/>
                <w:b w:val="0"/>
                <w:sz w:val="18"/>
              </w:rPr>
              <w:t>Canonical market identifier</w:t>
            </w:r>
          </w:p>
        </w:tc>
        <w:tc>
          <w:tcPr>
            <w:tcW w:type="dxa" w:w="1949"/>
            <w:vAlign w:val="center"/>
          </w:tcPr>
          <w:p>
            <w:pPr>
              <w:spacing w:after="0"/>
            </w:pPr>
            <w:r/>
            <w:r>
              <w:rPr>
                <w:rFonts w:ascii="Aptos" w:hAnsi="Aptos" w:eastAsia="Aptos"/>
                <w:b w:val="0"/>
                <w:sz w:val="18"/>
              </w:rPr>
              <w:t>BTC-PERP</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Product</w:t>
            </w:r>
          </w:p>
        </w:tc>
      </w:tr>
      <w:tr>
        <w:tc>
          <w:tcPr>
            <w:tcW w:type="dxa" w:w="1949"/>
            <w:vAlign w:val="center"/>
          </w:tcPr>
          <w:p>
            <w:pPr>
              <w:spacing w:after="0"/>
            </w:pPr>
            <w:r/>
            <w:r>
              <w:rPr>
                <w:rFonts w:ascii="Aptos" w:hAnsi="Aptos" w:eastAsia="Aptos"/>
                <w:b w:val="0"/>
                <w:sz w:val="18"/>
              </w:rPr>
              <w:t>Quote / collateral asset</w:t>
            </w:r>
          </w:p>
        </w:tc>
        <w:tc>
          <w:tcPr>
            <w:tcW w:type="dxa" w:w="1949"/>
            <w:vAlign w:val="center"/>
          </w:tcPr>
          <w:p>
            <w:pPr>
              <w:spacing w:after="0"/>
            </w:pPr>
            <w:r/>
            <w:r>
              <w:rPr>
                <w:rFonts w:ascii="Aptos" w:hAnsi="Aptos" w:eastAsia="Aptos"/>
                <w:b w:val="0"/>
                <w:sz w:val="18"/>
              </w:rPr>
              <w:t>Settlement denomination</w:t>
            </w:r>
          </w:p>
        </w:tc>
        <w:tc>
          <w:tcPr>
            <w:tcW w:type="dxa" w:w="1949"/>
            <w:vAlign w:val="center"/>
          </w:tcPr>
          <w:p>
            <w:pPr>
              <w:spacing w:after="0"/>
            </w:pPr>
            <w:r/>
            <w:r>
              <w:rPr>
                <w:rFonts w:ascii="Aptos" w:hAnsi="Aptos" w:eastAsia="Aptos"/>
                <w:b w:val="0"/>
                <w:sz w:val="18"/>
              </w:rPr>
              <w:t>USDC or chain-native stable unit</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Tick size</w:t>
            </w:r>
          </w:p>
        </w:tc>
        <w:tc>
          <w:tcPr>
            <w:tcW w:type="dxa" w:w="1949"/>
            <w:vAlign w:val="center"/>
          </w:tcPr>
          <w:p>
            <w:pPr>
              <w:spacing w:after="0"/>
            </w:pPr>
            <w:r/>
            <w:r>
              <w:rPr>
                <w:rFonts w:ascii="Aptos" w:hAnsi="Aptos" w:eastAsia="Aptos"/>
                <w:b w:val="0"/>
                <w:sz w:val="18"/>
              </w:rPr>
              <w:t>Minimum price increment</w:t>
            </w:r>
          </w:p>
        </w:tc>
        <w:tc>
          <w:tcPr>
            <w:tcW w:type="dxa" w:w="1949"/>
            <w:vAlign w:val="center"/>
          </w:tcPr>
          <w:p>
            <w:pPr>
              <w:spacing w:after="0"/>
            </w:pPr>
            <w:r/>
            <w:r>
              <w:rPr>
                <w:rFonts w:ascii="Aptos" w:hAnsi="Aptos" w:eastAsia="Aptos"/>
                <w:b w:val="0"/>
                <w:sz w:val="18"/>
              </w:rPr>
              <w:t>0.1</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Matching</w:t>
            </w:r>
          </w:p>
        </w:tc>
      </w:tr>
      <w:tr>
        <w:tc>
          <w:tcPr>
            <w:tcW w:type="dxa" w:w="1949"/>
            <w:vAlign w:val="center"/>
          </w:tcPr>
          <w:p>
            <w:pPr>
              <w:spacing w:after="0"/>
            </w:pPr>
            <w:r/>
            <w:r>
              <w:rPr>
                <w:rFonts w:ascii="Aptos" w:hAnsi="Aptos" w:eastAsia="Aptos"/>
                <w:b w:val="0"/>
                <w:sz w:val="18"/>
              </w:rPr>
              <w:t>Lot size</w:t>
            </w:r>
          </w:p>
        </w:tc>
        <w:tc>
          <w:tcPr>
            <w:tcW w:type="dxa" w:w="1949"/>
            <w:vAlign w:val="center"/>
          </w:tcPr>
          <w:p>
            <w:pPr>
              <w:spacing w:after="0"/>
            </w:pPr>
            <w:r/>
            <w:r>
              <w:rPr>
                <w:rFonts w:ascii="Aptos" w:hAnsi="Aptos" w:eastAsia="Aptos"/>
                <w:b w:val="0"/>
                <w:sz w:val="18"/>
              </w:rPr>
              <w:t>Minimum size increment</w:t>
            </w:r>
          </w:p>
        </w:tc>
        <w:tc>
          <w:tcPr>
            <w:tcW w:type="dxa" w:w="1949"/>
            <w:vAlign w:val="center"/>
          </w:tcPr>
          <w:p>
            <w:pPr>
              <w:spacing w:after="0"/>
            </w:pPr>
            <w:r/>
            <w:r>
              <w:rPr>
                <w:rFonts w:ascii="Aptos" w:hAnsi="Aptos" w:eastAsia="Aptos"/>
                <w:b w:val="0"/>
                <w:sz w:val="18"/>
              </w:rPr>
              <w:t>0.001</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Matching</w:t>
            </w:r>
          </w:p>
        </w:tc>
      </w:tr>
      <w:tr>
        <w:tc>
          <w:tcPr>
            <w:tcW w:type="dxa" w:w="1949"/>
            <w:vAlign w:val="center"/>
          </w:tcPr>
          <w:p>
            <w:pPr>
              <w:spacing w:after="0"/>
            </w:pPr>
            <w:r/>
            <w:r>
              <w:rPr>
                <w:rFonts w:ascii="Aptos" w:hAnsi="Aptos" w:eastAsia="Aptos"/>
                <w:b w:val="0"/>
                <w:sz w:val="18"/>
              </w:rPr>
              <w:t>Max leverage</w:t>
            </w:r>
          </w:p>
        </w:tc>
        <w:tc>
          <w:tcPr>
            <w:tcW w:type="dxa" w:w="1949"/>
            <w:vAlign w:val="center"/>
          </w:tcPr>
          <w:p>
            <w:pPr>
              <w:spacing w:after="0"/>
            </w:pPr>
            <w:r/>
            <w:r>
              <w:rPr>
                <w:rFonts w:ascii="Aptos" w:hAnsi="Aptos" w:eastAsia="Aptos"/>
                <w:b w:val="0"/>
                <w:sz w:val="18"/>
              </w:rPr>
              <w:t>Upper leverage bound by market tier</w:t>
            </w:r>
          </w:p>
        </w:tc>
        <w:tc>
          <w:tcPr>
            <w:tcW w:type="dxa" w:w="1949"/>
            <w:vAlign w:val="center"/>
          </w:tcPr>
          <w:p>
            <w:pPr>
              <w:spacing w:after="0"/>
            </w:pPr>
            <w:r/>
            <w:r>
              <w:rPr>
                <w:rFonts w:ascii="Aptos" w:hAnsi="Aptos" w:eastAsia="Aptos"/>
                <w:b w:val="0"/>
                <w:sz w:val="18"/>
              </w:rPr>
              <w:t>20x</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MMR / IMR</w:t>
            </w:r>
          </w:p>
        </w:tc>
        <w:tc>
          <w:tcPr>
            <w:tcW w:type="dxa" w:w="1949"/>
            <w:vAlign w:val="center"/>
          </w:tcPr>
          <w:p>
            <w:pPr>
              <w:spacing w:after="0"/>
            </w:pPr>
            <w:r/>
            <w:r>
              <w:rPr>
                <w:rFonts w:ascii="Aptos" w:hAnsi="Aptos" w:eastAsia="Aptos"/>
                <w:b w:val="0"/>
                <w:sz w:val="18"/>
              </w:rPr>
              <w:t>Maintenance and initial margin rules</w:t>
            </w:r>
          </w:p>
        </w:tc>
        <w:tc>
          <w:tcPr>
            <w:tcW w:type="dxa" w:w="1949"/>
            <w:vAlign w:val="center"/>
          </w:tcPr>
          <w:p>
            <w:pPr>
              <w:spacing w:after="0"/>
            </w:pPr>
            <w:r/>
            <w:r>
              <w:rPr>
                <w:rFonts w:ascii="Aptos" w:hAnsi="Aptos" w:eastAsia="Aptos"/>
                <w:b w:val="0"/>
                <w:sz w:val="18"/>
              </w:rPr>
              <w:t>5% / 10%</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Funding cadence</w:t>
            </w:r>
          </w:p>
        </w:tc>
        <w:tc>
          <w:tcPr>
            <w:tcW w:type="dxa" w:w="1949"/>
            <w:vAlign w:val="center"/>
          </w:tcPr>
          <w:p>
            <w:pPr>
              <w:spacing w:after="0"/>
            </w:pPr>
            <w:r/>
            <w:r>
              <w:rPr>
                <w:rFonts w:ascii="Aptos" w:hAnsi="Aptos" w:eastAsia="Aptos"/>
                <w:b w:val="0"/>
                <w:sz w:val="18"/>
              </w:rPr>
              <w:t>How often funding transfers occur</w:t>
            </w:r>
          </w:p>
        </w:tc>
        <w:tc>
          <w:tcPr>
            <w:tcW w:type="dxa" w:w="1949"/>
            <w:vAlign w:val="center"/>
          </w:tcPr>
          <w:p>
            <w:pPr>
              <w:spacing w:after="0"/>
            </w:pPr>
            <w:r/>
            <w:r>
              <w:rPr>
                <w:rFonts w:ascii="Aptos" w:hAnsi="Aptos" w:eastAsia="Aptos"/>
                <w:b w:val="0"/>
                <w:sz w:val="18"/>
              </w:rPr>
              <w:t>Hourly</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Oracle sources</w:t>
            </w:r>
          </w:p>
        </w:tc>
        <w:tc>
          <w:tcPr>
            <w:tcW w:type="dxa" w:w="1949"/>
            <w:vAlign w:val="center"/>
          </w:tcPr>
          <w:p>
            <w:pPr>
              <w:spacing w:after="0"/>
            </w:pPr>
            <w:r/>
            <w:r>
              <w:rPr>
                <w:rFonts w:ascii="Aptos" w:hAnsi="Aptos" w:eastAsia="Aptos"/>
                <w:b w:val="0"/>
                <w:sz w:val="18"/>
              </w:rPr>
              <w:t>Approved price source set</w:t>
            </w:r>
          </w:p>
        </w:tc>
        <w:tc>
          <w:tcPr>
            <w:tcW w:type="dxa" w:w="1949"/>
            <w:vAlign w:val="center"/>
          </w:tcPr>
          <w:p>
            <w:pPr>
              <w:spacing w:after="0"/>
            </w:pPr>
            <w:r/>
            <w:r>
              <w:rPr>
                <w:rFonts w:ascii="Aptos" w:hAnsi="Aptos" w:eastAsia="Aptos"/>
                <w:b w:val="0"/>
                <w:sz w:val="18"/>
              </w:rPr>
              <w:t>Weighted median of designated venues</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Position limits</w:t>
            </w:r>
          </w:p>
        </w:tc>
        <w:tc>
          <w:tcPr>
            <w:tcW w:type="dxa" w:w="1949"/>
            <w:vAlign w:val="center"/>
          </w:tcPr>
          <w:p>
            <w:pPr>
              <w:spacing w:after="0"/>
            </w:pPr>
            <w:r/>
            <w:r>
              <w:rPr>
                <w:rFonts w:ascii="Aptos" w:hAnsi="Aptos" w:eastAsia="Aptos"/>
                <w:b w:val="0"/>
                <w:sz w:val="18"/>
              </w:rPr>
              <w:t>User or market caps</w:t>
            </w:r>
          </w:p>
        </w:tc>
        <w:tc>
          <w:tcPr>
            <w:tcW w:type="dxa" w:w="1949"/>
            <w:vAlign w:val="center"/>
          </w:tcPr>
          <w:p>
            <w:pPr>
              <w:spacing w:after="0"/>
            </w:pPr>
            <w:r/>
            <w:r>
              <w:rPr>
                <w:rFonts w:ascii="Aptos" w:hAnsi="Aptos" w:eastAsia="Aptos"/>
                <w:b w:val="0"/>
                <w:sz w:val="18"/>
              </w:rPr>
              <w:t>Tiered by account size</w:t>
            </w:r>
          </w:p>
        </w:tc>
        <w:tc>
          <w:tcPr>
            <w:tcW w:type="dxa" w:w="1949"/>
            <w:vAlign w:val="center"/>
          </w:tcPr>
          <w:p>
            <w:pPr>
              <w:spacing w:after="0"/>
            </w:pPr>
            <w:r/>
            <w:r>
              <w:rPr>
                <w:rFonts w:ascii="Aptos" w:hAnsi="Aptos" w:eastAsia="Aptos"/>
                <w:b w:val="0"/>
                <w:sz w:val="18"/>
              </w:rPr>
              <w:t>Recommended</w:t>
            </w:r>
          </w:p>
        </w:tc>
        <w:tc>
          <w:tcPr>
            <w:tcW w:type="dxa" w:w="1949"/>
            <w:vAlign w:val="center"/>
          </w:tcPr>
          <w:p>
            <w:pPr>
              <w:spacing w:after="0"/>
            </w:pPr>
            <w:r/>
            <w:r>
              <w:rPr>
                <w:rFonts w:ascii="Aptos" w:hAnsi="Aptos" w:eastAsia="Aptos"/>
                <w:b w:val="0"/>
                <w:sz w:val="18"/>
              </w:rPr>
              <w:t>Risk</w:t>
            </w:r>
          </w:p>
        </w:tc>
      </w:tr>
      <w:tr>
        <w:tc>
          <w:tcPr>
            <w:tcW w:type="dxa" w:w="1949"/>
            <w:vAlign w:val="center"/>
          </w:tcPr>
          <w:p>
            <w:pPr>
              <w:spacing w:after="0"/>
            </w:pPr>
            <w:r/>
            <w:r>
              <w:rPr>
                <w:rFonts w:ascii="Aptos" w:hAnsi="Aptos" w:eastAsia="Aptos"/>
                <w:b w:val="0"/>
                <w:sz w:val="18"/>
              </w:rPr>
              <w:t>Fee schedule</w:t>
            </w:r>
          </w:p>
        </w:tc>
        <w:tc>
          <w:tcPr>
            <w:tcW w:type="dxa" w:w="1949"/>
            <w:vAlign w:val="center"/>
          </w:tcPr>
          <w:p>
            <w:pPr>
              <w:spacing w:after="0"/>
            </w:pPr>
            <w:r/>
            <w:r>
              <w:rPr>
                <w:rFonts w:ascii="Aptos" w:hAnsi="Aptos" w:eastAsia="Aptos"/>
                <w:b w:val="0"/>
                <w:sz w:val="18"/>
              </w:rPr>
              <w:t>Maker/taker + partner fees</w:t>
            </w:r>
          </w:p>
        </w:tc>
        <w:tc>
          <w:tcPr>
            <w:tcW w:type="dxa" w:w="1949"/>
            <w:vAlign w:val="center"/>
          </w:tcPr>
          <w:p>
            <w:pPr>
              <w:spacing w:after="0"/>
            </w:pPr>
            <w:r/>
            <w:r>
              <w:rPr>
                <w:rFonts w:ascii="Aptos" w:hAnsi="Aptos" w:eastAsia="Aptos"/>
                <w:b w:val="0"/>
                <w:sz w:val="18"/>
              </w:rPr>
              <w:t>VIP-based</w:t>
            </w:r>
          </w:p>
        </w:tc>
        <w:tc>
          <w:tcPr>
            <w:tcW w:type="dxa" w:w="1949"/>
            <w:vAlign w:val="center"/>
          </w:tcPr>
          <w:p>
            <w:pPr>
              <w:spacing w:after="0"/>
            </w:pPr>
            <w:r/>
            <w:r>
              <w:rPr>
                <w:rFonts w:ascii="Aptos" w:hAnsi="Aptos" w:eastAsia="Aptos"/>
                <w:b w:val="0"/>
                <w:sz w:val="18"/>
              </w:rPr>
              <w:t>Yes</w:t>
            </w:r>
          </w:p>
        </w:tc>
        <w:tc>
          <w:tcPr>
            <w:tcW w:type="dxa" w:w="1949"/>
            <w:vAlign w:val="center"/>
          </w:tcPr>
          <w:p>
            <w:pPr>
              <w:spacing w:after="0"/>
            </w:pPr>
            <w:r/>
            <w:r>
              <w:rPr>
                <w:rFonts w:ascii="Aptos" w:hAnsi="Aptos" w:eastAsia="Aptos"/>
                <w:b w:val="0"/>
                <w:sz w:val="18"/>
              </w:rPr>
              <w:t>Growth / Finance</w:t>
            </w:r>
          </w:p>
        </w:tc>
      </w:tr>
    </w:tbl>
    <w:p>
      <w:pPr>
        <w:pStyle w:val="Heading1"/>
      </w:pPr>
      <w:r>
        <w:t>6. Margin, collateral, funding, and liquidation</w:t>
      </w:r>
    </w:p>
    <w:p>
      <w:pPr>
        <w:spacing w:after="120"/>
      </w:pPr>
      <w:r>
        <w:rPr>
          <w:rFonts w:ascii="Aptos" w:hAnsi="Aptos" w:eastAsia="Aptos"/>
        </w:rPr>
        <w:t>Hyperliquid publicly documents simple perpetual specifications, cross/isolated margin options, hourly funding payments, and transparent liquidation concepts. Ignite should adopt the same style of clarity, while final percentages and formulas should be confirmed in the whitepaper and risk policy before launch.</w:t>
      </w:r>
    </w:p>
    <w:p>
      <w:pPr>
        <w:spacing w:after="120"/>
      </w:pPr>
      <w:r>
        <w:rPr>
          <w:rFonts w:ascii="Aptos" w:hAnsi="Aptos" w:eastAsia="Aptos"/>
        </w:rPr>
        <w:t>Recommended Ignite standard:</w:t>
      </w:r>
    </w:p>
    <w:p>
      <w:pPr>
        <w:pStyle w:val="ListBullet"/>
        <w:spacing w:after="60"/>
        <w:ind w:left="340"/>
      </w:pPr>
      <w:r>
        <w:rPr>
          <w:rFonts w:ascii="Aptos" w:hAnsi="Aptos" w:eastAsia="Aptos"/>
          <w:sz w:val="21"/>
        </w:rPr>
        <w:t>Offer both cross margin and isolated margin at the account or position level.</w:t>
      </w:r>
    </w:p>
    <w:p>
      <w:pPr>
        <w:pStyle w:val="ListBullet"/>
        <w:spacing w:after="60"/>
        <w:ind w:left="340"/>
      </w:pPr>
      <w:r>
        <w:rPr>
          <w:rFonts w:ascii="Aptos" w:hAnsi="Aptos" w:eastAsia="Aptos"/>
          <w:sz w:val="21"/>
        </w:rPr>
        <w:t>Use straightforward linear perpetual contracts with one clearly documented contract unit definition.</w:t>
      </w:r>
    </w:p>
    <w:p>
      <w:pPr>
        <w:pStyle w:val="ListBullet"/>
        <w:spacing w:after="60"/>
        <w:ind w:left="340"/>
      </w:pPr>
      <w:r>
        <w:rPr>
          <w:rFonts w:ascii="Aptos" w:hAnsi="Aptos" w:eastAsia="Aptos"/>
          <w:sz w:val="21"/>
        </w:rPr>
        <w:t>Publish initial margin and maintenance margin per market, not just leverage tiers.</w:t>
      </w:r>
    </w:p>
    <w:p>
      <w:pPr>
        <w:pStyle w:val="ListBullet"/>
        <w:spacing w:after="60"/>
        <w:ind w:left="340"/>
      </w:pPr>
      <w:r>
        <w:rPr>
          <w:rFonts w:ascii="Aptos" w:hAnsi="Aptos" w:eastAsia="Aptos"/>
          <w:sz w:val="21"/>
        </w:rPr>
        <w:t>Publish mark-price logic separately from last-trade price to reduce manipulation risk.</w:t>
      </w:r>
    </w:p>
    <w:p>
      <w:pPr>
        <w:pStyle w:val="ListBullet"/>
        <w:spacing w:after="60"/>
        <w:ind w:left="340"/>
      </w:pPr>
      <w:r>
        <w:rPr>
          <w:rFonts w:ascii="Aptos" w:hAnsi="Aptos" w:eastAsia="Aptos"/>
          <w:sz w:val="21"/>
        </w:rPr>
        <w:t>Compute account health continuously in the risk service and stream a simplified health indicator to clients.</w:t>
      </w:r>
    </w:p>
    <w:p>
      <w:pPr>
        <w:pStyle w:val="ListBullet"/>
        <w:spacing w:after="60"/>
        <w:ind w:left="340"/>
      </w:pPr>
      <w:r>
        <w:rPr>
          <w:rFonts w:ascii="Aptos" w:hAnsi="Aptos" w:eastAsia="Aptos"/>
          <w:sz w:val="21"/>
        </w:rPr>
        <w:t>Liquidations should be staged: warning threshold, partial liquidation if possible, then full closeout if health does not recover.</w:t>
      </w:r>
    </w:p>
    <w:p>
      <w:pPr>
        <w:pStyle w:val="ListBullet"/>
        <w:spacing w:after="60"/>
        <w:ind w:left="340"/>
      </w:pPr>
      <w:r>
        <w:rPr>
          <w:rFonts w:ascii="Aptos" w:hAnsi="Aptos" w:eastAsia="Aptos"/>
          <w:sz w:val="21"/>
        </w:rPr>
        <w:t>Insurance fund and auto-deleveraging behavior should be documented before public mainnet launch.</w:t>
      </w:r>
    </w:p>
    <w:tbl>
      <w:tblPr>
        <w:tblStyle w:val="TableGrid"/>
        <w:tblW w:type="auto" w:w="0"/>
        <w:jc w:val="center"/>
        <w:tblLook w:firstColumn="1" w:firstRow="1" w:lastColumn="0" w:lastRow="0" w:noHBand="0" w:noVBand="1" w:val="04A0"/>
      </w:tblPr>
      <w:tblGrid>
        <w:gridCol w:w="4873"/>
        <w:gridCol w:w="4873"/>
      </w:tblGrid>
      <w:tr>
        <w:tc>
          <w:tcPr>
            <w:tcW w:type="dxa" w:w="4873"/>
            <w:shd w:fill="E7F2EE"/>
            <w:vAlign w:val="center"/>
          </w:tcPr>
          <w:p>
            <w:pPr>
              <w:spacing w:after="0"/>
            </w:pPr>
            <w:r/>
            <w:r>
              <w:rPr>
                <w:rFonts w:ascii="Aptos" w:hAnsi="Aptos" w:eastAsia="Aptos"/>
                <w:b/>
                <w:sz w:val="20"/>
              </w:rPr>
              <w:t>Risk domain</w:t>
            </w:r>
          </w:p>
        </w:tc>
        <w:tc>
          <w:tcPr>
            <w:tcW w:type="dxa" w:w="4873"/>
            <w:shd w:fill="E7F2EE"/>
            <w:vAlign w:val="center"/>
          </w:tcPr>
          <w:p>
            <w:pPr>
              <w:spacing w:after="0"/>
            </w:pPr>
            <w:r/>
            <w:r>
              <w:rPr>
                <w:rFonts w:ascii="Aptos" w:hAnsi="Aptos" w:eastAsia="Aptos"/>
                <w:b/>
                <w:sz w:val="20"/>
              </w:rPr>
              <w:t>Recommended documentation rule</w:t>
            </w:r>
          </w:p>
        </w:tc>
      </w:tr>
      <w:tr>
        <w:tc>
          <w:tcPr>
            <w:tcW w:type="dxa" w:w="4873"/>
            <w:vAlign w:val="center"/>
          </w:tcPr>
          <w:p>
            <w:pPr>
              <w:spacing w:after="0"/>
            </w:pPr>
            <w:r/>
            <w:r>
              <w:rPr>
                <w:rFonts w:ascii="Aptos" w:hAnsi="Aptos" w:eastAsia="Aptos"/>
                <w:b w:val="0"/>
                <w:sz w:val="19"/>
              </w:rPr>
              <w:t>Funding</w:t>
            </w:r>
          </w:p>
        </w:tc>
        <w:tc>
          <w:tcPr>
            <w:tcW w:type="dxa" w:w="4873"/>
            <w:vAlign w:val="center"/>
          </w:tcPr>
          <w:p>
            <w:pPr>
              <w:spacing w:after="0"/>
            </w:pPr>
            <w:r/>
            <w:r>
              <w:rPr>
                <w:rFonts w:ascii="Aptos" w:hAnsi="Aptos" w:eastAsia="Aptos"/>
                <w:b w:val="0"/>
                <w:sz w:val="19"/>
              </w:rPr>
              <w:t>Document formula, sample interval, payment interval, caps, and oracle source hierarchy.</w:t>
            </w:r>
          </w:p>
        </w:tc>
      </w:tr>
      <w:tr>
        <w:tc>
          <w:tcPr>
            <w:tcW w:type="dxa" w:w="4873"/>
            <w:vAlign w:val="center"/>
          </w:tcPr>
          <w:p>
            <w:pPr>
              <w:spacing w:after="0"/>
            </w:pPr>
            <w:r/>
            <w:r>
              <w:rPr>
                <w:rFonts w:ascii="Aptos" w:hAnsi="Aptos" w:eastAsia="Aptos"/>
                <w:b w:val="0"/>
                <w:sz w:val="19"/>
              </w:rPr>
              <w:t>Oracle policy</w:t>
            </w:r>
          </w:p>
        </w:tc>
        <w:tc>
          <w:tcPr>
            <w:tcW w:type="dxa" w:w="4873"/>
            <w:vAlign w:val="center"/>
          </w:tcPr>
          <w:p>
            <w:pPr>
              <w:spacing w:after="0"/>
            </w:pPr>
            <w:r/>
            <w:r>
              <w:rPr>
                <w:rFonts w:ascii="Aptos" w:hAnsi="Aptos" w:eastAsia="Aptos"/>
                <w:b w:val="0"/>
                <w:sz w:val="19"/>
              </w:rPr>
              <w:t>Publish primary venue list, backup sources, stale-data policy, and manual override governance.</w:t>
            </w:r>
          </w:p>
        </w:tc>
      </w:tr>
      <w:tr>
        <w:tc>
          <w:tcPr>
            <w:tcW w:type="dxa" w:w="4873"/>
            <w:vAlign w:val="center"/>
          </w:tcPr>
          <w:p>
            <w:pPr>
              <w:spacing w:after="0"/>
            </w:pPr>
            <w:r/>
            <w:r>
              <w:rPr>
                <w:rFonts w:ascii="Aptos" w:hAnsi="Aptos" w:eastAsia="Aptos"/>
                <w:b w:val="0"/>
                <w:sz w:val="19"/>
              </w:rPr>
              <w:t>Liquidations</w:t>
            </w:r>
          </w:p>
        </w:tc>
        <w:tc>
          <w:tcPr>
            <w:tcW w:type="dxa" w:w="4873"/>
            <w:vAlign w:val="center"/>
          </w:tcPr>
          <w:p>
            <w:pPr>
              <w:spacing w:after="0"/>
            </w:pPr>
            <w:r/>
            <w:r>
              <w:rPr>
                <w:rFonts w:ascii="Aptos" w:hAnsi="Aptos" w:eastAsia="Aptos"/>
                <w:b w:val="0"/>
                <w:sz w:val="19"/>
              </w:rPr>
              <w:t>Specify trigger, engine sequence, liquidation fee routing, and user-visible event logs.</w:t>
            </w:r>
          </w:p>
        </w:tc>
      </w:tr>
      <w:tr>
        <w:tc>
          <w:tcPr>
            <w:tcW w:type="dxa" w:w="4873"/>
            <w:vAlign w:val="center"/>
          </w:tcPr>
          <w:p>
            <w:pPr>
              <w:spacing w:after="0"/>
            </w:pPr>
            <w:r/>
            <w:r>
              <w:rPr>
                <w:rFonts w:ascii="Aptos" w:hAnsi="Aptos" w:eastAsia="Aptos"/>
                <w:b w:val="0"/>
                <w:sz w:val="19"/>
              </w:rPr>
              <w:t>Stress controls</w:t>
            </w:r>
          </w:p>
        </w:tc>
        <w:tc>
          <w:tcPr>
            <w:tcW w:type="dxa" w:w="4873"/>
            <w:vAlign w:val="center"/>
          </w:tcPr>
          <w:p>
            <w:pPr>
              <w:spacing w:after="0"/>
            </w:pPr>
            <w:r/>
            <w:r>
              <w:rPr>
                <w:rFonts w:ascii="Aptos" w:hAnsi="Aptos" w:eastAsia="Aptos"/>
                <w:b w:val="0"/>
                <w:sz w:val="19"/>
              </w:rPr>
              <w:t>Define kill switch, market pause conditions, reduce-only mode, and per-market emergency actions.</w:t>
            </w:r>
          </w:p>
        </w:tc>
      </w:tr>
    </w:tbl>
    <w:p>
      <w:pPr>
        <w:pStyle w:val="Heading1"/>
      </w:pPr>
      <w:r>
        <w:t>7. Fees, referrals, and IGNT token utility</w:t>
      </w:r>
    </w:p>
    <w:p>
      <w:pPr>
        <w:spacing w:after="120"/>
      </w:pPr>
      <w:r>
        <w:rPr>
          <w:rFonts w:ascii="Aptos" w:hAnsi="Aptos" w:eastAsia="Aptos"/>
        </w:rPr>
        <w:t>Ignite already has one decisive design advantage: the fee token strategy is known. Documentation should make IGNT the backbone of platform economics rather than an afterthought.</w:t>
      </w:r>
    </w:p>
    <w:p>
      <w:pPr>
        <w:pStyle w:val="ListBullet"/>
        <w:spacing w:after="60"/>
        <w:ind w:left="340"/>
      </w:pPr>
      <w:r>
        <w:rPr>
          <w:rFonts w:ascii="Aptos" w:hAnsi="Aptos" w:eastAsia="Aptos"/>
          <w:sz w:val="21"/>
        </w:rPr>
        <w:t>Trading fees: define maker and taker schedules, VIP tiers, and whether fees are paid directly in collateral or converted through IGNT logic.</w:t>
      </w:r>
    </w:p>
    <w:p>
      <w:pPr>
        <w:pStyle w:val="ListBullet"/>
        <w:spacing w:after="60"/>
        <w:ind w:left="340"/>
      </w:pPr>
      <w:r>
        <w:rPr>
          <w:rFonts w:ascii="Aptos" w:hAnsi="Aptos" w:eastAsia="Aptos"/>
          <w:sz w:val="21"/>
        </w:rPr>
        <w:t>IGNT utility: fee discounts, partner/builder reward routing, possible staking boosts, launch allocations, and ecosystem incentives.</w:t>
      </w:r>
    </w:p>
    <w:p>
      <w:pPr>
        <w:pStyle w:val="ListBullet"/>
        <w:spacing w:after="60"/>
        <w:ind w:left="340"/>
      </w:pPr>
      <w:r>
        <w:rPr>
          <w:rFonts w:ascii="Aptos" w:hAnsi="Aptos" w:eastAsia="Aptos"/>
          <w:sz w:val="21"/>
        </w:rPr>
        <w:t>Fee destinations: treasury, insurance fund, referrals/partners, buyback-and-burn, or staking/reward vaults should be documented with exact percentages once finalized.</w:t>
      </w:r>
    </w:p>
    <w:p>
      <w:pPr>
        <w:pStyle w:val="ListBullet"/>
        <w:spacing w:after="60"/>
        <w:ind w:left="340"/>
      </w:pPr>
      <w:r>
        <w:rPr>
          <w:rFonts w:ascii="Aptos" w:hAnsi="Aptos" w:eastAsia="Aptos"/>
          <w:sz w:val="21"/>
        </w:rPr>
        <w:t>Builder / affiliate fees: adopt a clearly permissioned user opt-in model to prevent hidden fee extraction.</w:t>
      </w:r>
    </w:p>
    <w:p>
      <w:pPr>
        <w:pStyle w:val="ListBullet"/>
        <w:spacing w:after="60"/>
        <w:ind w:left="340"/>
      </w:pPr>
      <w:r>
        <w:rPr>
          <w:rFonts w:ascii="Aptos" w:hAnsi="Aptos" w:eastAsia="Aptos"/>
          <w:sz w:val="21"/>
        </w:rPr>
        <w:t>Transparency: publish fee calculators, settlement examples, and onchain addresses for any automated fee sink or burn process.</w:t>
      </w:r>
    </w:p>
    <w:tbl>
      <w:tblPr>
        <w:tblStyle w:val="TableGrid"/>
        <w:tblW w:type="auto" w:w="0"/>
        <w:tblLook w:firstColumn="1" w:firstRow="1" w:lastColumn="0" w:lastRow="0" w:noHBand="0" w:noVBand="1" w:val="04A0"/>
      </w:tblPr>
      <w:tblGrid>
        <w:gridCol w:w="3249"/>
        <w:gridCol w:w="3249"/>
        <w:gridCol w:w="3249"/>
      </w:tblGrid>
      <w:tr>
        <w:tc>
          <w:tcPr>
            <w:tcW w:type="dxa" w:w="3249"/>
            <w:shd w:fill="DCE6F8"/>
            <w:vAlign w:val="center"/>
          </w:tcPr>
          <w:p>
            <w:pPr>
              <w:spacing w:after="0"/>
            </w:pPr>
            <w:r/>
            <w:r>
              <w:rPr>
                <w:rFonts w:ascii="Aptos" w:hAnsi="Aptos" w:eastAsia="Aptos"/>
                <w:b/>
                <w:sz w:val="20"/>
              </w:rPr>
              <w:t>Topic</w:t>
            </w:r>
          </w:p>
        </w:tc>
        <w:tc>
          <w:tcPr>
            <w:tcW w:type="dxa" w:w="3249"/>
            <w:shd w:fill="DCE6F8"/>
            <w:vAlign w:val="center"/>
          </w:tcPr>
          <w:p>
            <w:pPr>
              <w:spacing w:after="0"/>
            </w:pPr>
            <w:r/>
            <w:r>
              <w:rPr>
                <w:rFonts w:ascii="Aptos" w:hAnsi="Aptos" w:eastAsia="Aptos"/>
                <w:b/>
                <w:sz w:val="20"/>
              </w:rPr>
              <w:t>Verified / recommended status</w:t>
            </w:r>
          </w:p>
        </w:tc>
        <w:tc>
          <w:tcPr>
            <w:tcW w:type="dxa" w:w="3249"/>
            <w:shd w:fill="DCE6F8"/>
            <w:vAlign w:val="center"/>
          </w:tcPr>
          <w:p>
            <w:pPr>
              <w:spacing w:after="0"/>
            </w:pPr>
            <w:r/>
            <w:r>
              <w:rPr>
                <w:rFonts w:ascii="Aptos" w:hAnsi="Aptos" w:eastAsia="Aptos"/>
                <w:b/>
                <w:sz w:val="20"/>
              </w:rPr>
              <w:t>Ignite documentation requirement</w:t>
            </w:r>
          </w:p>
        </w:tc>
      </w:tr>
      <w:tr>
        <w:tc>
          <w:tcPr>
            <w:tcW w:type="dxa" w:w="3249"/>
            <w:vAlign w:val="center"/>
          </w:tcPr>
          <w:p>
            <w:pPr>
              <w:spacing w:after="0"/>
            </w:pPr>
            <w:r/>
            <w:r>
              <w:rPr>
                <w:rFonts w:ascii="Aptos" w:hAnsi="Aptos" w:eastAsia="Aptos"/>
                <w:b w:val="0"/>
                <w:sz w:val="18"/>
              </w:rPr>
              <w:t>IGNT used for Ignite fees</w:t>
            </w:r>
          </w:p>
        </w:tc>
        <w:tc>
          <w:tcPr>
            <w:tcW w:type="dxa" w:w="3249"/>
            <w:vAlign w:val="center"/>
          </w:tcPr>
          <w:p>
            <w:pPr>
              <w:spacing w:after="0"/>
            </w:pPr>
            <w:r/>
            <w:r>
              <w:rPr>
                <w:rFonts w:ascii="Aptos" w:hAnsi="Aptos" w:eastAsia="Aptos"/>
                <w:b w:val="0"/>
                <w:sz w:val="18"/>
              </w:rPr>
              <w:t>Verified</w:t>
            </w:r>
          </w:p>
        </w:tc>
        <w:tc>
          <w:tcPr>
            <w:tcW w:type="dxa" w:w="3249"/>
            <w:vAlign w:val="center"/>
          </w:tcPr>
          <w:p>
            <w:pPr>
              <w:spacing w:after="0"/>
            </w:pPr>
            <w:r/>
            <w:r>
              <w:rPr>
                <w:rFonts w:ascii="Aptos" w:hAnsi="Aptos" w:eastAsia="Aptos"/>
                <w:b w:val="0"/>
                <w:sz w:val="18"/>
              </w:rPr>
              <w:t>State this in the overview, tokenomics, fee pages, wallet pages, and network docs.</w:t>
            </w:r>
          </w:p>
        </w:tc>
      </w:tr>
      <w:tr>
        <w:tc>
          <w:tcPr>
            <w:tcW w:type="dxa" w:w="3249"/>
            <w:vAlign w:val="center"/>
          </w:tcPr>
          <w:p>
            <w:pPr>
              <w:spacing w:after="0"/>
            </w:pPr>
            <w:r/>
            <w:r>
              <w:rPr>
                <w:rFonts w:ascii="Aptos" w:hAnsi="Aptos" w:eastAsia="Aptos"/>
                <w:b w:val="0"/>
                <w:sz w:val="18"/>
              </w:rPr>
              <w:t>Network-specific IGNT variants</w:t>
            </w:r>
          </w:p>
        </w:tc>
        <w:tc>
          <w:tcPr>
            <w:tcW w:type="dxa" w:w="3249"/>
            <w:vAlign w:val="center"/>
          </w:tcPr>
          <w:p>
            <w:pPr>
              <w:spacing w:after="0"/>
            </w:pPr>
            <w:r/>
            <w:r>
              <w:rPr>
                <w:rFonts w:ascii="Aptos" w:hAnsi="Aptos" w:eastAsia="Aptos"/>
                <w:b w:val="0"/>
                <w:sz w:val="18"/>
              </w:rPr>
              <w:t>Verified</w:t>
            </w:r>
          </w:p>
        </w:tc>
        <w:tc>
          <w:tcPr>
            <w:tcW w:type="dxa" w:w="3249"/>
            <w:vAlign w:val="center"/>
          </w:tcPr>
          <w:p>
            <w:pPr>
              <w:spacing w:after="0"/>
            </w:pPr>
            <w:r/>
            <w:r>
              <w:rPr>
                <w:rFonts w:ascii="Aptos" w:hAnsi="Aptos" w:eastAsia="Aptos"/>
                <w:b w:val="0"/>
                <w:sz w:val="18"/>
              </w:rPr>
              <w:t>Document exact token contracts per chain and chain-specific fee settlement logic.</w:t>
            </w:r>
          </w:p>
        </w:tc>
      </w:tr>
      <w:tr>
        <w:tc>
          <w:tcPr>
            <w:tcW w:type="dxa" w:w="3249"/>
            <w:vAlign w:val="center"/>
          </w:tcPr>
          <w:p>
            <w:pPr>
              <w:spacing w:after="0"/>
            </w:pPr>
            <w:r/>
            <w:r>
              <w:rPr>
                <w:rFonts w:ascii="Aptos" w:hAnsi="Aptos" w:eastAsia="Aptos"/>
                <w:b w:val="0"/>
                <w:sz w:val="18"/>
              </w:rPr>
              <w:t>Trading fee ladder</w:t>
            </w:r>
          </w:p>
        </w:tc>
        <w:tc>
          <w:tcPr>
            <w:tcW w:type="dxa" w:w="3249"/>
            <w:vAlign w:val="center"/>
          </w:tcPr>
          <w:p>
            <w:pPr>
              <w:spacing w:after="0"/>
            </w:pPr>
            <w:r/>
            <w:r>
              <w:rPr>
                <w:rFonts w:ascii="Aptos" w:hAnsi="Aptos" w:eastAsia="Aptos"/>
                <w:b w:val="0"/>
                <w:sz w:val="18"/>
              </w:rPr>
              <w:t>Recommended</w:t>
            </w:r>
          </w:p>
        </w:tc>
        <w:tc>
          <w:tcPr>
            <w:tcW w:type="dxa" w:w="3249"/>
            <w:vAlign w:val="center"/>
          </w:tcPr>
          <w:p>
            <w:pPr>
              <w:spacing w:after="0"/>
            </w:pPr>
            <w:r/>
            <w:r>
              <w:rPr>
                <w:rFonts w:ascii="Aptos" w:hAnsi="Aptos" w:eastAsia="Aptos"/>
                <w:b w:val="0"/>
                <w:sz w:val="18"/>
              </w:rPr>
              <w:t>Publish standard, VIP, market-maker, and partner rates in a single canonical table.</w:t>
            </w:r>
          </w:p>
        </w:tc>
      </w:tr>
      <w:tr>
        <w:tc>
          <w:tcPr>
            <w:tcW w:type="dxa" w:w="3249"/>
            <w:vAlign w:val="center"/>
          </w:tcPr>
          <w:p>
            <w:pPr>
              <w:spacing w:after="0"/>
            </w:pPr>
            <w:r/>
            <w:r>
              <w:rPr>
                <w:rFonts w:ascii="Aptos" w:hAnsi="Aptos" w:eastAsia="Aptos"/>
                <w:b w:val="0"/>
                <w:sz w:val="18"/>
              </w:rPr>
              <w:t>Referral program</w:t>
            </w:r>
          </w:p>
        </w:tc>
        <w:tc>
          <w:tcPr>
            <w:tcW w:type="dxa" w:w="3249"/>
            <w:vAlign w:val="center"/>
          </w:tcPr>
          <w:p>
            <w:pPr>
              <w:spacing w:after="0"/>
            </w:pPr>
            <w:r/>
            <w:r>
              <w:rPr>
                <w:rFonts w:ascii="Aptos" w:hAnsi="Aptos" w:eastAsia="Aptos"/>
                <w:b w:val="0"/>
                <w:sz w:val="18"/>
              </w:rPr>
              <w:t>Recommended</w:t>
            </w:r>
          </w:p>
        </w:tc>
        <w:tc>
          <w:tcPr>
            <w:tcW w:type="dxa" w:w="3249"/>
            <w:vAlign w:val="center"/>
          </w:tcPr>
          <w:p>
            <w:pPr>
              <w:spacing w:after="0"/>
            </w:pPr>
            <w:r/>
            <w:r>
              <w:rPr>
                <w:rFonts w:ascii="Aptos" w:hAnsi="Aptos" w:eastAsia="Aptos"/>
                <w:b w:val="0"/>
                <w:sz w:val="18"/>
              </w:rPr>
              <w:t>Explain earnings basis, payout asset, clawback rules, and abuse controls.</w:t>
            </w:r>
          </w:p>
        </w:tc>
      </w:tr>
      <w:tr>
        <w:tc>
          <w:tcPr>
            <w:tcW w:type="dxa" w:w="3249"/>
            <w:vAlign w:val="center"/>
          </w:tcPr>
          <w:p>
            <w:pPr>
              <w:spacing w:after="0"/>
            </w:pPr>
            <w:r/>
            <w:r>
              <w:rPr>
                <w:rFonts w:ascii="Aptos" w:hAnsi="Aptos" w:eastAsia="Aptos"/>
                <w:b w:val="0"/>
                <w:sz w:val="18"/>
              </w:rPr>
              <w:t>Staking / lockups</w:t>
            </w:r>
          </w:p>
        </w:tc>
        <w:tc>
          <w:tcPr>
            <w:tcW w:type="dxa" w:w="3249"/>
            <w:vAlign w:val="center"/>
          </w:tcPr>
          <w:p>
            <w:pPr>
              <w:spacing w:after="0"/>
            </w:pPr>
            <w:r/>
            <w:r>
              <w:rPr>
                <w:rFonts w:ascii="Aptos" w:hAnsi="Aptos" w:eastAsia="Aptos"/>
                <w:b w:val="0"/>
                <w:sz w:val="18"/>
              </w:rPr>
              <w:t>Recommended</w:t>
            </w:r>
          </w:p>
        </w:tc>
        <w:tc>
          <w:tcPr>
            <w:tcW w:type="dxa" w:w="3249"/>
            <w:vAlign w:val="center"/>
          </w:tcPr>
          <w:p>
            <w:pPr>
              <w:spacing w:after="0"/>
            </w:pPr>
            <w:r/>
            <w:r>
              <w:rPr>
                <w:rFonts w:ascii="Aptos" w:hAnsi="Aptos" w:eastAsia="Aptos"/>
                <w:b w:val="0"/>
                <w:sz w:val="18"/>
              </w:rPr>
              <w:t>If IGNT staking affects fees or governance, document lock term, boost math, and risks.</w:t>
            </w:r>
          </w:p>
        </w:tc>
      </w:tr>
    </w:tbl>
    <w:p>
      <w:pPr>
        <w:pStyle w:val="Heading1"/>
      </w:pPr>
      <w:r>
        <w:t>8. Multichain token model</w:t>
      </w:r>
    </w:p>
    <w:p>
      <w:pPr>
        <w:spacing w:after="120"/>
      </w:pPr>
      <w:r>
        <w:rPr>
          <w:rFonts w:ascii="Aptos" w:hAnsi="Aptos" w:eastAsia="Aptos"/>
        </w:rPr>
        <w:t>This section should be one of Ignite’s clearest differentiators. The docs should treat IGNT as a canonical cross-network fee asset with explicit network-local representations.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6F8"/>
            <w:vAlign w:val="center"/>
          </w:tcPr>
          <w:p>
            <w:pPr>
              <w:spacing w:after="0"/>
            </w:pPr>
            <w:r/>
            <w:r>
              <w:rPr>
                <w:rFonts w:ascii="Aptos" w:hAnsi="Aptos" w:eastAsia="Aptos"/>
                <w:b/>
                <w:sz w:val="20"/>
              </w:rPr>
              <w:t>Network</w:t>
            </w:r>
          </w:p>
        </w:tc>
        <w:tc>
          <w:tcPr>
            <w:tcW w:type="dxa" w:w="2436"/>
            <w:shd w:fill="DCE6F8"/>
            <w:vAlign w:val="center"/>
          </w:tcPr>
          <w:p>
            <w:pPr>
              <w:spacing w:after="0"/>
            </w:pPr>
            <w:r/>
            <w:r>
              <w:rPr>
                <w:rFonts w:ascii="Aptos" w:hAnsi="Aptos" w:eastAsia="Aptos"/>
                <w:b/>
                <w:sz w:val="20"/>
              </w:rPr>
              <w:t>Token form</w:t>
            </w:r>
          </w:p>
        </w:tc>
        <w:tc>
          <w:tcPr>
            <w:tcW w:type="dxa" w:w="2436"/>
            <w:shd w:fill="DCE6F8"/>
            <w:vAlign w:val="center"/>
          </w:tcPr>
          <w:p>
            <w:pPr>
              <w:spacing w:after="0"/>
            </w:pPr>
            <w:r/>
            <w:r>
              <w:rPr>
                <w:rFonts w:ascii="Aptos" w:hAnsi="Aptos" w:eastAsia="Aptos"/>
                <w:b/>
                <w:sz w:val="20"/>
              </w:rPr>
              <w:t>Use in Ignite docs</w:t>
            </w:r>
          </w:p>
        </w:tc>
        <w:tc>
          <w:tcPr>
            <w:tcW w:type="dxa" w:w="2436"/>
            <w:shd w:fill="DCE6F8"/>
            <w:vAlign w:val="center"/>
          </w:tcPr>
          <w:p>
            <w:pPr>
              <w:spacing w:after="0"/>
            </w:pPr>
            <w:r/>
            <w:r>
              <w:rPr>
                <w:rFonts w:ascii="Aptos" w:hAnsi="Aptos" w:eastAsia="Aptos"/>
                <w:b/>
                <w:sz w:val="20"/>
              </w:rPr>
              <w:t>Operational note</w:t>
            </w:r>
          </w:p>
        </w:tc>
      </w:tr>
      <w:tr>
        <w:tc>
          <w:tcPr>
            <w:tcW w:type="dxa" w:w="2436"/>
            <w:vAlign w:val="center"/>
          </w:tcPr>
          <w:p>
            <w:pPr>
              <w:spacing w:after="0"/>
            </w:pPr>
            <w:r/>
            <w:r>
              <w:rPr>
                <w:rFonts w:ascii="Aptos" w:hAnsi="Aptos" w:eastAsia="Aptos"/>
                <w:b w:val="0"/>
                <w:sz w:val="18"/>
              </w:rPr>
              <w:t>BNB Chain</w:t>
            </w:r>
          </w:p>
        </w:tc>
        <w:tc>
          <w:tcPr>
            <w:tcW w:type="dxa" w:w="2436"/>
            <w:vAlign w:val="center"/>
          </w:tcPr>
          <w:p>
            <w:pPr>
              <w:spacing w:after="0"/>
            </w:pPr>
            <w:r/>
            <w:r>
              <w:rPr>
                <w:rFonts w:ascii="Aptos" w:hAnsi="Aptos" w:eastAsia="Aptos"/>
                <w:b w:val="0"/>
                <w:sz w:val="18"/>
              </w:rPr>
              <w:t>ERC-20 / network deployment as provided by Ignite planning</w:t>
            </w:r>
          </w:p>
        </w:tc>
        <w:tc>
          <w:tcPr>
            <w:tcW w:type="dxa" w:w="2436"/>
            <w:vAlign w:val="center"/>
          </w:tcPr>
          <w:p>
            <w:pPr>
              <w:spacing w:after="0"/>
            </w:pPr>
            <w:r/>
            <w:r>
              <w:rPr>
                <w:rFonts w:ascii="Aptos" w:hAnsi="Aptos" w:eastAsia="Aptos"/>
                <w:b w:val="0"/>
                <w:sz w:val="18"/>
              </w:rPr>
              <w:t>Accepted for Ignite fees on BNB-connected workflows</w:t>
            </w:r>
          </w:p>
        </w:tc>
        <w:tc>
          <w:tcPr>
            <w:tcW w:type="dxa" w:w="2436"/>
            <w:vAlign w:val="center"/>
          </w:tcPr>
          <w:p>
            <w:pPr>
              <w:spacing w:after="0"/>
            </w:pPr>
            <w:r/>
            <w:r>
              <w:rPr>
                <w:rFonts w:ascii="Aptos" w:hAnsi="Aptos" w:eastAsia="Aptos"/>
                <w:b w:val="0"/>
                <w:sz w:val="18"/>
              </w:rPr>
              <w:t>Publish canonical contract, decimals, bridge route, and explorer link.</w:t>
            </w:r>
          </w:p>
        </w:tc>
      </w:tr>
      <w:tr>
        <w:tc>
          <w:tcPr>
            <w:tcW w:type="dxa" w:w="2436"/>
            <w:vAlign w:val="center"/>
          </w:tcPr>
          <w:p>
            <w:pPr>
              <w:spacing w:after="0"/>
            </w:pPr>
            <w:r/>
            <w:r>
              <w:rPr>
                <w:rFonts w:ascii="Aptos" w:hAnsi="Aptos" w:eastAsia="Aptos"/>
                <w:b w:val="0"/>
                <w:sz w:val="18"/>
              </w:rPr>
              <w:t>Base</w:t>
            </w:r>
          </w:p>
        </w:tc>
        <w:tc>
          <w:tcPr>
            <w:tcW w:type="dxa" w:w="2436"/>
            <w:vAlign w:val="center"/>
          </w:tcPr>
          <w:p>
            <w:pPr>
              <w:spacing w:after="0"/>
            </w:pPr>
            <w:r/>
            <w:r>
              <w:rPr>
                <w:rFonts w:ascii="Aptos" w:hAnsi="Aptos" w:eastAsia="Aptos"/>
                <w:b w:val="0"/>
                <w:sz w:val="18"/>
              </w:rPr>
              <w:t>ERC-20 deployment</w:t>
            </w:r>
          </w:p>
        </w:tc>
        <w:tc>
          <w:tcPr>
            <w:tcW w:type="dxa" w:w="2436"/>
            <w:vAlign w:val="center"/>
          </w:tcPr>
          <w:p>
            <w:pPr>
              <w:spacing w:after="0"/>
            </w:pPr>
            <w:r/>
            <w:r>
              <w:rPr>
                <w:rFonts w:ascii="Aptos" w:hAnsi="Aptos" w:eastAsia="Aptos"/>
                <w:b w:val="0"/>
                <w:sz w:val="18"/>
              </w:rPr>
              <w:t>Accepted for Ignite fees on Base-connected workflows</w:t>
            </w:r>
          </w:p>
        </w:tc>
        <w:tc>
          <w:tcPr>
            <w:tcW w:type="dxa" w:w="2436"/>
            <w:vAlign w:val="center"/>
          </w:tcPr>
          <w:p>
            <w:pPr>
              <w:spacing w:after="0"/>
            </w:pPr>
            <w:r/>
            <w:r>
              <w:rPr>
                <w:rFonts w:ascii="Aptos" w:hAnsi="Aptos" w:eastAsia="Aptos"/>
                <w:b w:val="0"/>
                <w:sz w:val="18"/>
              </w:rPr>
              <w:t>Document deposit confirmations, withdrawal time, and bridge policy.</w:t>
            </w:r>
          </w:p>
        </w:tc>
      </w:tr>
      <w:tr>
        <w:tc>
          <w:tcPr>
            <w:tcW w:type="dxa" w:w="2436"/>
            <w:vAlign w:val="center"/>
          </w:tcPr>
          <w:p>
            <w:pPr>
              <w:spacing w:after="0"/>
            </w:pPr>
            <w:r/>
            <w:r>
              <w:rPr>
                <w:rFonts w:ascii="Aptos" w:hAnsi="Aptos" w:eastAsia="Aptos"/>
                <w:b w:val="0"/>
                <w:sz w:val="18"/>
              </w:rPr>
              <w:t>Arbitrum</w:t>
            </w:r>
          </w:p>
        </w:tc>
        <w:tc>
          <w:tcPr>
            <w:tcW w:type="dxa" w:w="2436"/>
            <w:vAlign w:val="center"/>
          </w:tcPr>
          <w:p>
            <w:pPr>
              <w:spacing w:after="0"/>
            </w:pPr>
            <w:r/>
            <w:r>
              <w:rPr>
                <w:rFonts w:ascii="Aptos" w:hAnsi="Aptos" w:eastAsia="Aptos"/>
                <w:b w:val="0"/>
                <w:sz w:val="18"/>
              </w:rPr>
              <w:t>Arbitrum IGNT</w:t>
            </w:r>
          </w:p>
        </w:tc>
        <w:tc>
          <w:tcPr>
            <w:tcW w:type="dxa" w:w="2436"/>
            <w:vAlign w:val="center"/>
          </w:tcPr>
          <w:p>
            <w:pPr>
              <w:spacing w:after="0"/>
            </w:pPr>
            <w:r/>
            <w:r>
              <w:rPr>
                <w:rFonts w:ascii="Aptos" w:hAnsi="Aptos" w:eastAsia="Aptos"/>
                <w:b w:val="0"/>
                <w:sz w:val="18"/>
              </w:rPr>
              <w:t>Used for fees on Arbitrum workflows</w:t>
            </w:r>
          </w:p>
        </w:tc>
        <w:tc>
          <w:tcPr>
            <w:tcW w:type="dxa" w:w="2436"/>
            <w:vAlign w:val="center"/>
          </w:tcPr>
          <w:p>
            <w:pPr>
              <w:spacing w:after="0"/>
            </w:pPr>
            <w:r/>
            <w:r>
              <w:rPr>
                <w:rFonts w:ascii="Aptos" w:hAnsi="Aptos" w:eastAsia="Aptos"/>
                <w:b w:val="0"/>
                <w:sz w:val="18"/>
              </w:rPr>
              <w:t>Document fee estimation, retry policy, and chain outage handling.</w:t>
            </w:r>
          </w:p>
        </w:tc>
      </w:tr>
      <w:tr>
        <w:tc>
          <w:tcPr>
            <w:tcW w:type="dxa" w:w="2436"/>
            <w:vAlign w:val="center"/>
          </w:tcPr>
          <w:p>
            <w:pPr>
              <w:spacing w:after="0"/>
            </w:pPr>
            <w:r/>
            <w:r>
              <w:rPr>
                <w:rFonts w:ascii="Aptos" w:hAnsi="Aptos" w:eastAsia="Aptos"/>
                <w:b w:val="0"/>
                <w:sz w:val="18"/>
              </w:rPr>
              <w:t>LITHO / LEP100</w:t>
            </w:r>
          </w:p>
        </w:tc>
        <w:tc>
          <w:tcPr>
            <w:tcW w:type="dxa" w:w="2436"/>
            <w:vAlign w:val="center"/>
          </w:tcPr>
          <w:p>
            <w:pPr>
              <w:spacing w:after="0"/>
            </w:pPr>
            <w:r/>
            <w:r>
              <w:rPr>
                <w:rFonts w:ascii="Aptos" w:hAnsi="Aptos" w:eastAsia="Aptos"/>
                <w:b w:val="0"/>
                <w:sz w:val="18"/>
              </w:rPr>
              <w:t>LEP100 IGNT</w:t>
            </w:r>
          </w:p>
        </w:tc>
        <w:tc>
          <w:tcPr>
            <w:tcW w:type="dxa" w:w="2436"/>
            <w:vAlign w:val="center"/>
          </w:tcPr>
          <w:p>
            <w:pPr>
              <w:spacing w:after="0"/>
            </w:pPr>
            <w:r/>
            <w:r>
              <w:rPr>
                <w:rFonts w:ascii="Aptos" w:hAnsi="Aptos" w:eastAsia="Aptos"/>
                <w:b w:val="0"/>
                <w:sz w:val="18"/>
              </w:rPr>
              <w:t>Used for fees on that network’s workflows</w:t>
            </w:r>
          </w:p>
        </w:tc>
        <w:tc>
          <w:tcPr>
            <w:tcW w:type="dxa" w:w="2436"/>
            <w:vAlign w:val="center"/>
          </w:tcPr>
          <w:p>
            <w:pPr>
              <w:spacing w:after="0"/>
            </w:pPr>
            <w:r/>
            <w:r>
              <w:rPr>
                <w:rFonts w:ascii="Aptos" w:hAnsi="Aptos" w:eastAsia="Aptos"/>
                <w:b w:val="0"/>
                <w:sz w:val="18"/>
              </w:rPr>
              <w:t>Publish wallet support, chain ID, and token-standard specifics.</w:t>
            </w:r>
          </w:p>
        </w:tc>
      </w:tr>
      <w:tr>
        <w:tc>
          <w:tcPr>
            <w:tcW w:type="dxa" w:w="2436"/>
            <w:vAlign w:val="center"/>
          </w:tcPr>
          <w:p>
            <w:pPr>
              <w:spacing w:after="0"/>
            </w:pPr>
            <w:r/>
            <w:r>
              <w:rPr>
                <w:rFonts w:ascii="Aptos" w:hAnsi="Aptos" w:eastAsia="Aptos"/>
                <w:b w:val="0"/>
                <w:sz w:val="18"/>
              </w:rPr>
              <w:t>Other future chains</w:t>
            </w:r>
          </w:p>
        </w:tc>
        <w:tc>
          <w:tcPr>
            <w:tcW w:type="dxa" w:w="2436"/>
            <w:vAlign w:val="center"/>
          </w:tcPr>
          <w:p>
            <w:pPr>
              <w:spacing w:after="0"/>
            </w:pPr>
            <w:r/>
            <w:r>
              <w:rPr>
                <w:rFonts w:ascii="Aptos" w:hAnsi="Aptos" w:eastAsia="Aptos"/>
                <w:b w:val="0"/>
                <w:sz w:val="18"/>
              </w:rPr>
              <w:t>TBD</w:t>
            </w:r>
          </w:p>
        </w:tc>
        <w:tc>
          <w:tcPr>
            <w:tcW w:type="dxa" w:w="2436"/>
            <w:vAlign w:val="center"/>
          </w:tcPr>
          <w:p>
            <w:pPr>
              <w:spacing w:after="0"/>
            </w:pPr>
            <w:r/>
            <w:r>
              <w:rPr>
                <w:rFonts w:ascii="Aptos" w:hAnsi="Aptos" w:eastAsia="Aptos"/>
                <w:b w:val="0"/>
                <w:sz w:val="18"/>
              </w:rPr>
              <w:t>Not supported until contract and operational docs are published</w:t>
            </w:r>
          </w:p>
        </w:tc>
        <w:tc>
          <w:tcPr>
            <w:tcW w:type="dxa" w:w="2436"/>
            <w:vAlign w:val="center"/>
          </w:tcPr>
          <w:p>
            <w:pPr>
              <w:spacing w:after="0"/>
            </w:pPr>
            <w:r/>
            <w:r>
              <w:rPr>
                <w:rFonts w:ascii="Aptos" w:hAnsi="Aptos" w:eastAsia="Aptos"/>
                <w:b w:val="0"/>
                <w:sz w:val="18"/>
              </w:rPr>
              <w:t>No silent support; docs must list supported networks explicitly.</w:t>
            </w:r>
          </w:p>
        </w:tc>
      </w:tr>
    </w:tbl>
    <w:p>
      <w:pPr>
        <w:spacing w:after="120"/>
      </w:pPr>
      <w:r>
        <w:rPr>
          <w:rFonts w:ascii="Aptos" w:hAnsi="Aptos" w:eastAsia="Aptos"/>
        </w:rPr>
        <w:t>Recommended multichain documentation pages:</w:t>
      </w:r>
    </w:p>
    <w:p>
      <w:pPr>
        <w:pStyle w:val="ListBullet"/>
        <w:spacing w:after="60"/>
        <w:ind w:left="340"/>
      </w:pPr>
      <w:r>
        <w:rPr>
          <w:rFonts w:ascii="Aptos" w:hAnsi="Aptos" w:eastAsia="Aptos"/>
          <w:sz w:val="21"/>
        </w:rPr>
        <w:t>Supported networks and canonical token contracts</w:t>
      </w:r>
    </w:p>
    <w:p>
      <w:pPr>
        <w:pStyle w:val="ListBullet"/>
        <w:spacing w:after="60"/>
        <w:ind w:left="340"/>
      </w:pPr>
      <w:r>
        <w:rPr>
          <w:rFonts w:ascii="Aptos" w:hAnsi="Aptos" w:eastAsia="Aptos"/>
          <w:sz w:val="21"/>
        </w:rPr>
        <w:t>Bridge and deposit/withdrawal flows</w:t>
      </w:r>
    </w:p>
    <w:p>
      <w:pPr>
        <w:pStyle w:val="ListBullet"/>
        <w:spacing w:after="60"/>
        <w:ind w:left="340"/>
      </w:pPr>
      <w:r>
        <w:rPr>
          <w:rFonts w:ascii="Aptos" w:hAnsi="Aptos" w:eastAsia="Aptos"/>
          <w:sz w:val="21"/>
        </w:rPr>
        <w:t>Fee payment precedence when a user holds IGNT on multiple supported networks</w:t>
      </w:r>
    </w:p>
    <w:p>
      <w:pPr>
        <w:pStyle w:val="ListBullet"/>
        <w:spacing w:after="60"/>
        <w:ind w:left="340"/>
      </w:pPr>
      <w:r>
        <w:rPr>
          <w:rFonts w:ascii="Aptos" w:hAnsi="Aptos" w:eastAsia="Aptos"/>
          <w:sz w:val="21"/>
        </w:rPr>
        <w:t>Failure handling for wrong-network deposits</w:t>
      </w:r>
    </w:p>
    <w:p>
      <w:pPr>
        <w:pStyle w:val="ListBullet"/>
        <w:spacing w:after="60"/>
        <w:ind w:left="340"/>
      </w:pPr>
      <w:r>
        <w:rPr>
          <w:rFonts w:ascii="Aptos" w:hAnsi="Aptos" w:eastAsia="Aptos"/>
          <w:sz w:val="21"/>
        </w:rPr>
        <w:t>Emergency notices, pauses, and token migration procedures</w:t>
      </w:r>
    </w:p>
    <w:p>
      <w:pPr>
        <w:pStyle w:val="Heading1"/>
      </w:pPr>
      <w:r>
        <w:t>9. API and integration design</w:t>
      </w:r>
    </w:p>
    <w:p>
      <w:pPr>
        <w:spacing w:after="120"/>
      </w:pPr>
      <w:r>
        <w:rPr>
          <w:rFonts w:ascii="Aptos" w:hAnsi="Aptos" w:eastAsia="Aptos"/>
        </w:rPr>
        <w:t>Hyperliquid separates read-oriented information endpoints from state-changing exchange endpoints. Ignite should use the same mental model even if endpoint names differ.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6F8"/>
            <w:vAlign w:val="center"/>
          </w:tcPr>
          <w:p>
            <w:pPr>
              <w:spacing w:after="0"/>
            </w:pPr>
            <w:r/>
            <w:r>
              <w:rPr>
                <w:rFonts w:ascii="Aptos" w:hAnsi="Aptos" w:eastAsia="Aptos"/>
                <w:b/>
                <w:sz w:val="20"/>
              </w:rPr>
              <w:t>API family</w:t>
            </w:r>
          </w:p>
        </w:tc>
        <w:tc>
          <w:tcPr>
            <w:tcW w:type="dxa" w:w="2436"/>
            <w:shd w:fill="DCE6F8"/>
            <w:vAlign w:val="center"/>
          </w:tcPr>
          <w:p>
            <w:pPr>
              <w:spacing w:after="0"/>
            </w:pPr>
            <w:r/>
            <w:r>
              <w:rPr>
                <w:rFonts w:ascii="Aptos" w:hAnsi="Aptos" w:eastAsia="Aptos"/>
                <w:b/>
                <w:sz w:val="20"/>
              </w:rPr>
              <w:t>Purpose</w:t>
            </w:r>
          </w:p>
        </w:tc>
        <w:tc>
          <w:tcPr>
            <w:tcW w:type="dxa" w:w="2436"/>
            <w:shd w:fill="DCE6F8"/>
            <w:vAlign w:val="center"/>
          </w:tcPr>
          <w:p>
            <w:pPr>
              <w:spacing w:after="0"/>
            </w:pPr>
            <w:r/>
            <w:r>
              <w:rPr>
                <w:rFonts w:ascii="Aptos" w:hAnsi="Aptos" w:eastAsia="Aptos"/>
                <w:b/>
                <w:sz w:val="20"/>
              </w:rPr>
              <w:t>Examples</w:t>
            </w:r>
          </w:p>
        </w:tc>
        <w:tc>
          <w:tcPr>
            <w:tcW w:type="dxa" w:w="2436"/>
            <w:shd w:fill="DCE6F8"/>
            <w:vAlign w:val="center"/>
          </w:tcPr>
          <w:p>
            <w:pPr>
              <w:spacing w:after="0"/>
            </w:pPr>
            <w:r/>
            <w:r>
              <w:rPr>
                <w:rFonts w:ascii="Aptos" w:hAnsi="Aptos" w:eastAsia="Aptos"/>
                <w:b/>
                <w:sz w:val="20"/>
              </w:rPr>
              <w:t>Doc quality bar</w:t>
            </w:r>
          </w:p>
        </w:tc>
      </w:tr>
      <w:tr>
        <w:tc>
          <w:tcPr>
            <w:tcW w:type="dxa" w:w="2436"/>
            <w:vAlign w:val="center"/>
          </w:tcPr>
          <w:p>
            <w:pPr>
              <w:spacing w:after="0"/>
            </w:pPr>
            <w:r/>
            <w:r>
              <w:rPr>
                <w:rFonts w:ascii="Aptos" w:hAnsi="Aptos" w:eastAsia="Aptos"/>
                <w:b w:val="0"/>
                <w:sz w:val="18"/>
              </w:rPr>
              <w:t>Public info API</w:t>
            </w:r>
          </w:p>
        </w:tc>
        <w:tc>
          <w:tcPr>
            <w:tcW w:type="dxa" w:w="2436"/>
            <w:vAlign w:val="center"/>
          </w:tcPr>
          <w:p>
            <w:pPr>
              <w:spacing w:after="0"/>
            </w:pPr>
            <w:r/>
            <w:r>
              <w:rPr>
                <w:rFonts w:ascii="Aptos" w:hAnsi="Aptos" w:eastAsia="Aptos"/>
                <w:b w:val="0"/>
                <w:sz w:val="18"/>
              </w:rPr>
              <w:t>Markets, order books, trades, funding, system status</w:t>
            </w:r>
          </w:p>
        </w:tc>
        <w:tc>
          <w:tcPr>
            <w:tcW w:type="dxa" w:w="2436"/>
            <w:vAlign w:val="center"/>
          </w:tcPr>
          <w:p>
            <w:pPr>
              <w:spacing w:after="0"/>
            </w:pPr>
            <w:r/>
            <w:r>
              <w:rPr>
                <w:rFonts w:ascii="Aptos" w:hAnsi="Aptos" w:eastAsia="Aptos"/>
                <w:b w:val="0"/>
                <w:sz w:val="18"/>
              </w:rPr>
              <w:t>GET /markets, GET /orderbook, GET /funding</w:t>
            </w:r>
          </w:p>
        </w:tc>
        <w:tc>
          <w:tcPr>
            <w:tcW w:type="dxa" w:w="2436"/>
            <w:vAlign w:val="center"/>
          </w:tcPr>
          <w:p>
            <w:pPr>
              <w:spacing w:after="0"/>
            </w:pPr>
            <w:r/>
            <w:r>
              <w:rPr>
                <w:rFonts w:ascii="Aptos" w:hAnsi="Aptos" w:eastAsia="Aptos"/>
                <w:b w:val="0"/>
                <w:sz w:val="18"/>
              </w:rPr>
              <w:t>Every response schema versioned and example payloads included.</w:t>
            </w:r>
          </w:p>
        </w:tc>
      </w:tr>
      <w:tr>
        <w:tc>
          <w:tcPr>
            <w:tcW w:type="dxa" w:w="2436"/>
            <w:vAlign w:val="center"/>
          </w:tcPr>
          <w:p>
            <w:pPr>
              <w:spacing w:after="0"/>
            </w:pPr>
            <w:r/>
            <w:r>
              <w:rPr>
                <w:rFonts w:ascii="Aptos" w:hAnsi="Aptos" w:eastAsia="Aptos"/>
                <w:b w:val="0"/>
                <w:sz w:val="18"/>
              </w:rPr>
              <w:t>Authenticated trading API</w:t>
            </w:r>
          </w:p>
        </w:tc>
        <w:tc>
          <w:tcPr>
            <w:tcW w:type="dxa" w:w="2436"/>
            <w:vAlign w:val="center"/>
          </w:tcPr>
          <w:p>
            <w:pPr>
              <w:spacing w:after="0"/>
            </w:pPr>
            <w:r/>
            <w:r>
              <w:rPr>
                <w:rFonts w:ascii="Aptos" w:hAnsi="Aptos" w:eastAsia="Aptos"/>
                <w:b w:val="0"/>
                <w:sz w:val="18"/>
              </w:rPr>
              <w:t>Orders, cancels, leverage, transfers, withdrawals</w:t>
            </w:r>
          </w:p>
        </w:tc>
        <w:tc>
          <w:tcPr>
            <w:tcW w:type="dxa" w:w="2436"/>
            <w:vAlign w:val="center"/>
          </w:tcPr>
          <w:p>
            <w:pPr>
              <w:spacing w:after="0"/>
            </w:pPr>
            <w:r/>
            <w:r>
              <w:rPr>
                <w:rFonts w:ascii="Aptos" w:hAnsi="Aptos" w:eastAsia="Aptos"/>
                <w:b w:val="0"/>
                <w:sz w:val="18"/>
              </w:rPr>
              <w:t>POST /orders, DELETE /orders/{id}</w:t>
            </w:r>
          </w:p>
        </w:tc>
        <w:tc>
          <w:tcPr>
            <w:tcW w:type="dxa" w:w="2436"/>
            <w:vAlign w:val="center"/>
          </w:tcPr>
          <w:p>
            <w:pPr>
              <w:spacing w:after="0"/>
            </w:pPr>
            <w:r/>
            <w:r>
              <w:rPr>
                <w:rFonts w:ascii="Aptos" w:hAnsi="Aptos" w:eastAsia="Aptos"/>
                <w:b w:val="0"/>
                <w:sz w:val="18"/>
              </w:rPr>
              <w:t>Exact signature, nonce, and error-code rules documented.</w:t>
            </w:r>
          </w:p>
        </w:tc>
      </w:tr>
      <w:tr>
        <w:tc>
          <w:tcPr>
            <w:tcW w:type="dxa" w:w="2436"/>
            <w:vAlign w:val="center"/>
          </w:tcPr>
          <w:p>
            <w:pPr>
              <w:spacing w:after="0"/>
            </w:pPr>
            <w:r/>
            <w:r>
              <w:rPr>
                <w:rFonts w:ascii="Aptos" w:hAnsi="Aptos" w:eastAsia="Aptos"/>
                <w:b w:val="0"/>
                <w:sz w:val="18"/>
              </w:rPr>
              <w:t>Account API</w:t>
            </w:r>
          </w:p>
        </w:tc>
        <w:tc>
          <w:tcPr>
            <w:tcW w:type="dxa" w:w="2436"/>
            <w:vAlign w:val="center"/>
          </w:tcPr>
          <w:p>
            <w:pPr>
              <w:spacing w:after="0"/>
            </w:pPr>
            <w:r/>
            <w:r>
              <w:rPr>
                <w:rFonts w:ascii="Aptos" w:hAnsi="Aptos" w:eastAsia="Aptos"/>
                <w:b w:val="0"/>
                <w:sz w:val="18"/>
              </w:rPr>
              <w:t>Balances, positions, PnL, fee tier, referrals</w:t>
            </w:r>
          </w:p>
        </w:tc>
        <w:tc>
          <w:tcPr>
            <w:tcW w:type="dxa" w:w="2436"/>
            <w:vAlign w:val="center"/>
          </w:tcPr>
          <w:p>
            <w:pPr>
              <w:spacing w:after="0"/>
            </w:pPr>
            <w:r/>
            <w:r>
              <w:rPr>
                <w:rFonts w:ascii="Aptos" w:hAnsi="Aptos" w:eastAsia="Aptos"/>
                <w:b w:val="0"/>
                <w:sz w:val="18"/>
              </w:rPr>
              <w:t>GET /account, GET /positions</w:t>
            </w:r>
          </w:p>
        </w:tc>
        <w:tc>
          <w:tcPr>
            <w:tcW w:type="dxa" w:w="2436"/>
            <w:vAlign w:val="center"/>
          </w:tcPr>
          <w:p>
            <w:pPr>
              <w:spacing w:after="0"/>
            </w:pPr>
            <w:r/>
            <w:r>
              <w:rPr>
                <w:rFonts w:ascii="Aptos" w:hAnsi="Aptos" w:eastAsia="Aptos"/>
                <w:b w:val="0"/>
                <w:sz w:val="18"/>
              </w:rPr>
              <w:t>Explain consistency model and update latency.</w:t>
            </w:r>
          </w:p>
        </w:tc>
      </w:tr>
      <w:tr>
        <w:tc>
          <w:tcPr>
            <w:tcW w:type="dxa" w:w="2436"/>
            <w:vAlign w:val="center"/>
          </w:tcPr>
          <w:p>
            <w:pPr>
              <w:spacing w:after="0"/>
            </w:pPr>
            <w:r/>
            <w:r>
              <w:rPr>
                <w:rFonts w:ascii="Aptos" w:hAnsi="Aptos" w:eastAsia="Aptos"/>
                <w:b w:val="0"/>
                <w:sz w:val="18"/>
              </w:rPr>
              <w:t>WebSocket streams</w:t>
            </w:r>
          </w:p>
        </w:tc>
        <w:tc>
          <w:tcPr>
            <w:tcW w:type="dxa" w:w="2436"/>
            <w:vAlign w:val="center"/>
          </w:tcPr>
          <w:p>
            <w:pPr>
              <w:spacing w:after="0"/>
            </w:pPr>
            <w:r/>
            <w:r>
              <w:rPr>
                <w:rFonts w:ascii="Aptos" w:hAnsi="Aptos" w:eastAsia="Aptos"/>
                <w:b w:val="0"/>
                <w:sz w:val="18"/>
              </w:rPr>
              <w:t>Books, trades, account deltas, liquidation events</w:t>
            </w:r>
          </w:p>
        </w:tc>
        <w:tc>
          <w:tcPr>
            <w:tcW w:type="dxa" w:w="2436"/>
            <w:vAlign w:val="center"/>
          </w:tcPr>
          <w:p>
            <w:pPr>
              <w:spacing w:after="0"/>
            </w:pPr>
            <w:r/>
            <w:r>
              <w:rPr>
                <w:rFonts w:ascii="Aptos" w:hAnsi="Aptos" w:eastAsia="Aptos"/>
                <w:b w:val="0"/>
                <w:sz w:val="18"/>
              </w:rPr>
              <w:t>book.&lt;symbol&gt;, trades.&lt;symbol&gt;, user.&lt;id&gt;</w:t>
            </w:r>
          </w:p>
        </w:tc>
        <w:tc>
          <w:tcPr>
            <w:tcW w:type="dxa" w:w="2436"/>
            <w:vAlign w:val="center"/>
          </w:tcPr>
          <w:p>
            <w:pPr>
              <w:spacing w:after="0"/>
            </w:pPr>
            <w:r/>
            <w:r>
              <w:rPr>
                <w:rFonts w:ascii="Aptos" w:hAnsi="Aptos" w:eastAsia="Aptos"/>
                <w:b w:val="0"/>
                <w:sz w:val="18"/>
              </w:rPr>
              <w:t>Document subscription limits, replay behavior, and heartbeats.</w:t>
            </w:r>
          </w:p>
        </w:tc>
      </w:tr>
      <w:tr>
        <w:tc>
          <w:tcPr>
            <w:tcW w:type="dxa" w:w="2436"/>
            <w:vAlign w:val="center"/>
          </w:tcPr>
          <w:p>
            <w:pPr>
              <w:spacing w:after="0"/>
            </w:pPr>
            <w:r/>
            <w:r>
              <w:rPr>
                <w:rFonts w:ascii="Aptos" w:hAnsi="Aptos" w:eastAsia="Aptos"/>
                <w:b w:val="0"/>
                <w:sz w:val="18"/>
              </w:rPr>
              <w:t>Admin / ops internal APIs</w:t>
            </w:r>
          </w:p>
        </w:tc>
        <w:tc>
          <w:tcPr>
            <w:tcW w:type="dxa" w:w="2436"/>
            <w:vAlign w:val="center"/>
          </w:tcPr>
          <w:p>
            <w:pPr>
              <w:spacing w:after="0"/>
            </w:pPr>
            <w:r/>
            <w:r>
              <w:rPr>
                <w:rFonts w:ascii="Aptos" w:hAnsi="Aptos" w:eastAsia="Aptos"/>
                <w:b w:val="0"/>
                <w:sz w:val="18"/>
              </w:rPr>
              <w:t>Market status, risk controls, alerts</w:t>
            </w:r>
          </w:p>
        </w:tc>
        <w:tc>
          <w:tcPr>
            <w:tcW w:type="dxa" w:w="2436"/>
            <w:vAlign w:val="center"/>
          </w:tcPr>
          <w:p>
            <w:pPr>
              <w:spacing w:after="0"/>
            </w:pPr>
            <w:r/>
            <w:r>
              <w:rPr>
                <w:rFonts w:ascii="Aptos" w:hAnsi="Aptos" w:eastAsia="Aptos"/>
                <w:b w:val="0"/>
                <w:sz w:val="18"/>
              </w:rPr>
              <w:t>Internal only</w:t>
            </w:r>
          </w:p>
        </w:tc>
        <w:tc>
          <w:tcPr>
            <w:tcW w:type="dxa" w:w="2436"/>
            <w:vAlign w:val="center"/>
          </w:tcPr>
          <w:p>
            <w:pPr>
              <w:spacing w:after="0"/>
            </w:pPr>
            <w:r/>
            <w:r>
              <w:rPr>
                <w:rFonts w:ascii="Aptos" w:hAnsi="Aptos" w:eastAsia="Aptos"/>
                <w:b w:val="0"/>
                <w:sz w:val="18"/>
              </w:rPr>
              <w:t>Never mix public and privileged auth surfaces.</w:t>
            </w:r>
          </w:p>
        </w:tc>
      </w:tr>
    </w:tbl>
    <w:p>
      <w:pPr>
        <w:spacing w:after="120"/>
      </w:pPr>
      <w:r>
        <w:rPr>
          <w:rFonts w:ascii="Aptos" w:hAnsi="Aptos" w:eastAsia="Aptos"/>
        </w:rPr>
        <w:t>Recommended API principles:</w:t>
      </w:r>
    </w:p>
    <w:p>
      <w:pPr>
        <w:pStyle w:val="ListBullet"/>
        <w:spacing w:after="60"/>
        <w:ind w:left="340"/>
      </w:pPr>
      <w:r>
        <w:rPr>
          <w:rFonts w:ascii="Aptos" w:hAnsi="Aptos" w:eastAsia="Aptos"/>
          <w:sz w:val="21"/>
        </w:rPr>
        <w:t>One canonical signing scheme across all state-changing endpoints.</w:t>
      </w:r>
    </w:p>
    <w:p>
      <w:pPr>
        <w:pStyle w:val="ListBullet"/>
        <w:spacing w:after="60"/>
        <w:ind w:left="340"/>
      </w:pPr>
      <w:r>
        <w:rPr>
          <w:rFonts w:ascii="Aptos" w:hAnsi="Aptos" w:eastAsia="Aptos"/>
          <w:sz w:val="21"/>
        </w:rPr>
        <w:t>Strict idempotency for withdrawals, internal transfers, and replay-sensitive actions.</w:t>
      </w:r>
    </w:p>
    <w:p>
      <w:pPr>
        <w:pStyle w:val="ListBullet"/>
        <w:spacing w:after="60"/>
        <w:ind w:left="340"/>
      </w:pPr>
      <w:r>
        <w:rPr>
          <w:rFonts w:ascii="Aptos" w:hAnsi="Aptos" w:eastAsia="Aptos"/>
          <w:sz w:val="21"/>
        </w:rPr>
        <w:t>Human-readable error codes mapped to machine-stable numeric codes.</w:t>
      </w:r>
    </w:p>
    <w:p>
      <w:pPr>
        <w:pStyle w:val="ListBullet"/>
        <w:spacing w:after="60"/>
        <w:ind w:left="340"/>
      </w:pPr>
      <w:r>
        <w:rPr>
          <w:rFonts w:ascii="Aptos" w:hAnsi="Aptos" w:eastAsia="Aptos"/>
          <w:sz w:val="21"/>
        </w:rPr>
        <w:t>Explicit rate limits by endpoint family and by credential type.</w:t>
      </w:r>
    </w:p>
    <w:p>
      <w:pPr>
        <w:pStyle w:val="ListBullet"/>
        <w:spacing w:after="60"/>
        <w:ind w:left="340"/>
      </w:pPr>
      <w:r>
        <w:rPr>
          <w:rFonts w:ascii="Aptos" w:hAnsi="Aptos" w:eastAsia="Aptos"/>
          <w:sz w:val="21"/>
        </w:rPr>
        <w:t>SDK-first documentation for Python, TypeScript, and REST examples.</w:t>
      </w:r>
    </w:p>
    <w:p>
      <w:pPr>
        <w:pStyle w:val="Heading1"/>
      </w:pPr>
      <w:r>
        <w:t>10. Frontend and user workflows</w:t>
      </w:r>
    </w:p>
    <w:p>
      <w:pPr>
        <w:spacing w:after="120"/>
      </w:pPr>
      <w:r>
        <w:rPr>
          <w:rFonts w:ascii="Aptos" w:hAnsi="Aptos" w:eastAsia="Aptos"/>
        </w:rPr>
        <w:t>Ignite docs should mirror actual user journeys. Good technical docs are not only endpoint references; they also explain how the product behaves from the trader’s point of view.</w:t>
      </w:r>
    </w:p>
    <w:p>
      <w:pPr>
        <w:pStyle w:val="ListBullet"/>
        <w:spacing w:after="60"/>
        <w:ind w:left="340"/>
      </w:pPr>
      <w:r>
        <w:rPr>
          <w:rFonts w:ascii="Aptos" w:hAnsi="Aptos" w:eastAsia="Aptos"/>
          <w:sz w:val="21"/>
        </w:rPr>
        <w:t>Account onboarding: wallet connect, KYC/compliance notice if applicable, risk disclaimer, fee-token explanation.</w:t>
      </w:r>
    </w:p>
    <w:p>
      <w:pPr>
        <w:pStyle w:val="ListBullet"/>
        <w:spacing w:after="60"/>
        <w:ind w:left="340"/>
      </w:pPr>
      <w:r>
        <w:rPr>
          <w:rFonts w:ascii="Aptos" w:hAnsi="Aptos" w:eastAsia="Aptos"/>
          <w:sz w:val="21"/>
        </w:rPr>
        <w:t>Deposit flow: choose network, show supported IGNT / collateral assets, wait for confirmations, update balances.</w:t>
      </w:r>
    </w:p>
    <w:p>
      <w:pPr>
        <w:pStyle w:val="ListBullet"/>
        <w:spacing w:after="60"/>
        <w:ind w:left="340"/>
      </w:pPr>
      <w:r>
        <w:rPr>
          <w:rFonts w:ascii="Aptos" w:hAnsi="Aptos" w:eastAsia="Aptos"/>
          <w:sz w:val="21"/>
        </w:rPr>
        <w:t>Trading flow: select market, set leverage and margin mode, place/cancel orders, review fills and funding.</w:t>
      </w:r>
    </w:p>
    <w:p>
      <w:pPr>
        <w:pStyle w:val="ListBullet"/>
        <w:spacing w:after="60"/>
        <w:ind w:left="340"/>
      </w:pPr>
      <w:r>
        <w:rPr>
          <w:rFonts w:ascii="Aptos" w:hAnsi="Aptos" w:eastAsia="Aptos"/>
          <w:sz w:val="21"/>
        </w:rPr>
        <w:t>Position management: modify leverage, add/reduce margin, close or reverse, set TP/SL, review funding and fees.</w:t>
      </w:r>
    </w:p>
    <w:p>
      <w:pPr>
        <w:pStyle w:val="ListBullet"/>
        <w:spacing w:after="60"/>
        <w:ind w:left="340"/>
      </w:pPr>
      <w:r>
        <w:rPr>
          <w:rFonts w:ascii="Aptos" w:hAnsi="Aptos" w:eastAsia="Aptos"/>
          <w:sz w:val="21"/>
        </w:rPr>
        <w:t>Withdrawal flow: destination validation, address screening if needed, limits, queue states, broadcast, completion.</w:t>
      </w:r>
    </w:p>
    <w:p>
      <w:pPr>
        <w:pStyle w:val="ListBullet"/>
        <w:spacing w:after="60"/>
        <w:ind w:left="340"/>
      </w:pPr>
      <w:r>
        <w:rPr>
          <w:rFonts w:ascii="Aptos" w:hAnsi="Aptos" w:eastAsia="Aptos"/>
          <w:sz w:val="21"/>
        </w:rPr>
        <w:t>Referral / partner flow: codes, sharing, earnings dashboard, payout timing, revocation process.</w:t>
      </w:r>
    </w:p>
    <w:p>
      <w:pPr>
        <w:pStyle w:val="ListBullet"/>
        <w:spacing w:after="60"/>
        <w:ind w:left="340"/>
      </w:pPr>
      <w:r>
        <w:rPr>
          <w:rFonts w:ascii="Aptos" w:hAnsi="Aptos" w:eastAsia="Aptos"/>
          <w:sz w:val="21"/>
        </w:rPr>
        <w:t>Status and incidents: degraded mode banners, partial outage behavior, maintenance windows, paused market messaging.</w:t>
      </w:r>
    </w:p>
    <w:p>
      <w:pPr>
        <w:pStyle w:val="Heading1"/>
      </w:pPr>
      <w:r>
        <w:t>11. Operations, reliability, and observability</w:t>
      </w:r>
    </w:p>
    <w:p>
      <w:pPr>
        <w:spacing w:after="120"/>
      </w:pPr>
      <w:r>
        <w:rPr>
          <w:rFonts w:ascii="Aptos" w:hAnsi="Aptos" w:eastAsia="Aptos"/>
        </w:rPr>
        <w:t>The server layout supplied for Ignite makes it possible to write concrete runbook-level documentation now, even before final launch.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E7F2EE"/>
            <w:vAlign w:val="center"/>
          </w:tcPr>
          <w:p>
            <w:pPr>
              <w:spacing w:after="0"/>
            </w:pPr>
            <w:r/>
            <w:r>
              <w:rPr>
                <w:rFonts w:ascii="Aptos" w:hAnsi="Aptos" w:eastAsia="Aptos"/>
                <w:b/>
                <w:sz w:val="20"/>
              </w:rPr>
              <w:t>Service</w:t>
            </w:r>
          </w:p>
        </w:tc>
        <w:tc>
          <w:tcPr>
            <w:tcW w:type="dxa" w:w="2436"/>
            <w:shd w:fill="E7F2EE"/>
            <w:vAlign w:val="center"/>
          </w:tcPr>
          <w:p>
            <w:pPr>
              <w:spacing w:after="0"/>
            </w:pPr>
            <w:r/>
            <w:r>
              <w:rPr>
                <w:rFonts w:ascii="Aptos" w:hAnsi="Aptos" w:eastAsia="Aptos"/>
                <w:b/>
                <w:sz w:val="20"/>
              </w:rPr>
              <w:t>Primary concern</w:t>
            </w:r>
          </w:p>
        </w:tc>
        <w:tc>
          <w:tcPr>
            <w:tcW w:type="dxa" w:w="2436"/>
            <w:shd w:fill="E7F2EE"/>
            <w:vAlign w:val="center"/>
          </w:tcPr>
          <w:p>
            <w:pPr>
              <w:spacing w:after="0"/>
            </w:pPr>
            <w:r/>
            <w:r>
              <w:rPr>
                <w:rFonts w:ascii="Aptos" w:hAnsi="Aptos" w:eastAsia="Aptos"/>
                <w:b/>
                <w:sz w:val="20"/>
              </w:rPr>
              <w:t>Minimum monitoring</w:t>
            </w:r>
          </w:p>
        </w:tc>
        <w:tc>
          <w:tcPr>
            <w:tcW w:type="dxa" w:w="2436"/>
            <w:shd w:fill="E7F2EE"/>
            <w:vAlign w:val="center"/>
          </w:tcPr>
          <w:p>
            <w:pPr>
              <w:spacing w:after="0"/>
            </w:pPr>
            <w:r/>
            <w:r>
              <w:rPr>
                <w:rFonts w:ascii="Aptos" w:hAnsi="Aptos" w:eastAsia="Aptos"/>
                <w:b/>
                <w:sz w:val="20"/>
              </w:rPr>
              <w:t>Runbook trigger</w:t>
            </w:r>
          </w:p>
        </w:tc>
      </w:tr>
      <w:tr>
        <w:tc>
          <w:tcPr>
            <w:tcW w:type="dxa" w:w="2436"/>
            <w:vAlign w:val="center"/>
          </w:tcPr>
          <w:p>
            <w:pPr>
              <w:spacing w:after="0"/>
            </w:pPr>
            <w:r/>
            <w:r>
              <w:rPr>
                <w:rFonts w:ascii="Aptos" w:hAnsi="Aptos" w:eastAsia="Aptos"/>
                <w:b w:val="0"/>
                <w:sz w:val="18"/>
              </w:rPr>
              <w:t>PostgreSQL</w:t>
            </w:r>
          </w:p>
        </w:tc>
        <w:tc>
          <w:tcPr>
            <w:tcW w:type="dxa" w:w="2436"/>
            <w:vAlign w:val="center"/>
          </w:tcPr>
          <w:p>
            <w:pPr>
              <w:spacing w:after="0"/>
            </w:pPr>
            <w:r/>
            <w:r>
              <w:rPr>
                <w:rFonts w:ascii="Aptos" w:hAnsi="Aptos" w:eastAsia="Aptos"/>
                <w:b w:val="0"/>
                <w:sz w:val="18"/>
              </w:rPr>
              <w:t>Durability and failover</w:t>
            </w:r>
          </w:p>
        </w:tc>
        <w:tc>
          <w:tcPr>
            <w:tcW w:type="dxa" w:w="2436"/>
            <w:vAlign w:val="center"/>
          </w:tcPr>
          <w:p>
            <w:pPr>
              <w:spacing w:after="0"/>
            </w:pPr>
            <w:r/>
            <w:r>
              <w:rPr>
                <w:rFonts w:ascii="Aptos" w:hAnsi="Aptos" w:eastAsia="Aptos"/>
                <w:b w:val="0"/>
                <w:sz w:val="18"/>
              </w:rPr>
              <w:t>Replication lag, disk, WAL, slow queries, connection saturation</w:t>
            </w:r>
          </w:p>
        </w:tc>
        <w:tc>
          <w:tcPr>
            <w:tcW w:type="dxa" w:w="2436"/>
            <w:vAlign w:val="center"/>
          </w:tcPr>
          <w:p>
            <w:pPr>
              <w:spacing w:after="0"/>
            </w:pPr>
            <w:r/>
            <w:r>
              <w:rPr>
                <w:rFonts w:ascii="Aptos" w:hAnsi="Aptos" w:eastAsia="Aptos"/>
                <w:b w:val="0"/>
                <w:sz w:val="18"/>
              </w:rPr>
              <w:t>Replica lag spike, failed backups, corruption alerts.</w:t>
            </w:r>
          </w:p>
        </w:tc>
      </w:tr>
      <w:tr>
        <w:tc>
          <w:tcPr>
            <w:tcW w:type="dxa" w:w="2436"/>
            <w:vAlign w:val="center"/>
          </w:tcPr>
          <w:p>
            <w:pPr>
              <w:spacing w:after="0"/>
            </w:pPr>
            <w:r/>
            <w:r>
              <w:rPr>
                <w:rFonts w:ascii="Aptos" w:hAnsi="Aptos" w:eastAsia="Aptos"/>
                <w:b w:val="0"/>
                <w:sz w:val="18"/>
              </w:rPr>
              <w:t>Matching engine</w:t>
            </w:r>
          </w:p>
        </w:tc>
        <w:tc>
          <w:tcPr>
            <w:tcW w:type="dxa" w:w="2436"/>
            <w:vAlign w:val="center"/>
          </w:tcPr>
          <w:p>
            <w:pPr>
              <w:spacing w:after="0"/>
            </w:pPr>
            <w:r/>
            <w:r>
              <w:rPr>
                <w:rFonts w:ascii="Aptos" w:hAnsi="Aptos" w:eastAsia="Aptos"/>
                <w:b w:val="0"/>
                <w:sz w:val="18"/>
              </w:rPr>
              <w:t>Latency and deterministic processing</w:t>
            </w:r>
          </w:p>
        </w:tc>
        <w:tc>
          <w:tcPr>
            <w:tcW w:type="dxa" w:w="2436"/>
            <w:vAlign w:val="center"/>
          </w:tcPr>
          <w:p>
            <w:pPr>
              <w:spacing w:after="0"/>
            </w:pPr>
            <w:r/>
            <w:r>
              <w:rPr>
                <w:rFonts w:ascii="Aptos" w:hAnsi="Aptos" w:eastAsia="Aptos"/>
                <w:b w:val="0"/>
                <w:sz w:val="18"/>
              </w:rPr>
              <w:t>Order latency percentiles, queue depth, reject rate, sequence gaps</w:t>
            </w:r>
          </w:p>
        </w:tc>
        <w:tc>
          <w:tcPr>
            <w:tcW w:type="dxa" w:w="2436"/>
            <w:vAlign w:val="center"/>
          </w:tcPr>
          <w:p>
            <w:pPr>
              <w:spacing w:after="0"/>
            </w:pPr>
            <w:r/>
            <w:r>
              <w:rPr>
                <w:rFonts w:ascii="Aptos" w:hAnsi="Aptos" w:eastAsia="Aptos"/>
                <w:b w:val="0"/>
                <w:sz w:val="18"/>
              </w:rPr>
              <w:t>P99 spike, sequence mismatch, recovery replay.</w:t>
            </w:r>
          </w:p>
        </w:tc>
      </w:tr>
      <w:tr>
        <w:tc>
          <w:tcPr>
            <w:tcW w:type="dxa" w:w="2436"/>
            <w:vAlign w:val="center"/>
          </w:tcPr>
          <w:p>
            <w:pPr>
              <w:spacing w:after="0"/>
            </w:pPr>
            <w:r/>
            <w:r>
              <w:rPr>
                <w:rFonts w:ascii="Aptos" w:hAnsi="Aptos" w:eastAsia="Aptos"/>
                <w:b w:val="0"/>
                <w:sz w:val="18"/>
              </w:rPr>
              <w:t>Risk engine</w:t>
            </w:r>
          </w:p>
        </w:tc>
        <w:tc>
          <w:tcPr>
            <w:tcW w:type="dxa" w:w="2436"/>
            <w:vAlign w:val="center"/>
          </w:tcPr>
          <w:p>
            <w:pPr>
              <w:spacing w:after="0"/>
            </w:pPr>
            <w:r/>
            <w:r>
              <w:rPr>
                <w:rFonts w:ascii="Aptos" w:hAnsi="Aptos" w:eastAsia="Aptos"/>
                <w:b w:val="0"/>
                <w:sz w:val="18"/>
              </w:rPr>
              <w:t>Correctness and timeliness</w:t>
            </w:r>
          </w:p>
        </w:tc>
        <w:tc>
          <w:tcPr>
            <w:tcW w:type="dxa" w:w="2436"/>
            <w:vAlign w:val="center"/>
          </w:tcPr>
          <w:p>
            <w:pPr>
              <w:spacing w:after="0"/>
            </w:pPr>
            <w:r/>
            <w:r>
              <w:rPr>
                <w:rFonts w:ascii="Aptos" w:hAnsi="Aptos" w:eastAsia="Aptos"/>
                <w:b w:val="0"/>
                <w:sz w:val="18"/>
              </w:rPr>
              <w:t>Health calc lag, liquidation backlog, oracle freshness</w:t>
            </w:r>
          </w:p>
        </w:tc>
        <w:tc>
          <w:tcPr>
            <w:tcW w:type="dxa" w:w="2436"/>
            <w:vAlign w:val="center"/>
          </w:tcPr>
          <w:p>
            <w:pPr>
              <w:spacing w:after="0"/>
            </w:pPr>
            <w:r/>
            <w:r>
              <w:rPr>
                <w:rFonts w:ascii="Aptos" w:hAnsi="Aptos" w:eastAsia="Aptos"/>
                <w:b w:val="0"/>
                <w:sz w:val="18"/>
              </w:rPr>
              <w:t>Stale risk state, unprocessed liquidation queue.</w:t>
            </w:r>
          </w:p>
        </w:tc>
      </w:tr>
      <w:tr>
        <w:tc>
          <w:tcPr>
            <w:tcW w:type="dxa" w:w="2436"/>
            <w:vAlign w:val="center"/>
          </w:tcPr>
          <w:p>
            <w:pPr>
              <w:spacing w:after="0"/>
            </w:pPr>
            <w:r/>
            <w:r>
              <w:rPr>
                <w:rFonts w:ascii="Aptos" w:hAnsi="Aptos" w:eastAsia="Aptos"/>
                <w:b w:val="0"/>
                <w:sz w:val="18"/>
              </w:rPr>
              <w:t>API/WebSocket</w:t>
            </w:r>
          </w:p>
        </w:tc>
        <w:tc>
          <w:tcPr>
            <w:tcW w:type="dxa" w:w="2436"/>
            <w:vAlign w:val="center"/>
          </w:tcPr>
          <w:p>
            <w:pPr>
              <w:spacing w:after="0"/>
            </w:pPr>
            <w:r/>
            <w:r>
              <w:rPr>
                <w:rFonts w:ascii="Aptos" w:hAnsi="Aptos" w:eastAsia="Aptos"/>
                <w:b w:val="0"/>
                <w:sz w:val="18"/>
              </w:rPr>
              <w:t>Availability and fan-out</w:t>
            </w:r>
          </w:p>
        </w:tc>
        <w:tc>
          <w:tcPr>
            <w:tcW w:type="dxa" w:w="2436"/>
            <w:vAlign w:val="center"/>
          </w:tcPr>
          <w:p>
            <w:pPr>
              <w:spacing w:after="0"/>
            </w:pPr>
            <w:r/>
            <w:r>
              <w:rPr>
                <w:rFonts w:ascii="Aptos" w:hAnsi="Aptos" w:eastAsia="Aptos"/>
                <w:b w:val="0"/>
                <w:sz w:val="18"/>
              </w:rPr>
              <w:t>5xx rate, auth failures, socket disconnects, per-market lag</w:t>
            </w:r>
          </w:p>
        </w:tc>
        <w:tc>
          <w:tcPr>
            <w:tcW w:type="dxa" w:w="2436"/>
            <w:vAlign w:val="center"/>
          </w:tcPr>
          <w:p>
            <w:pPr>
              <w:spacing w:after="0"/>
            </w:pPr>
            <w:r/>
            <w:r>
              <w:rPr>
                <w:rFonts w:ascii="Aptos" w:hAnsi="Aptos" w:eastAsia="Aptos"/>
                <w:b w:val="0"/>
                <w:sz w:val="18"/>
              </w:rPr>
              <w:t>Login failures, REST outage, WS backlog.</w:t>
            </w:r>
          </w:p>
        </w:tc>
      </w:tr>
      <w:tr>
        <w:tc>
          <w:tcPr>
            <w:tcW w:type="dxa" w:w="2436"/>
            <w:vAlign w:val="center"/>
          </w:tcPr>
          <w:p>
            <w:pPr>
              <w:spacing w:after="0"/>
            </w:pPr>
            <w:r/>
            <w:r>
              <w:rPr>
                <w:rFonts w:ascii="Aptos" w:hAnsi="Aptos" w:eastAsia="Aptos"/>
                <w:b w:val="0"/>
                <w:sz w:val="18"/>
              </w:rPr>
              <w:t>Redis / bus</w:t>
            </w:r>
          </w:p>
        </w:tc>
        <w:tc>
          <w:tcPr>
            <w:tcW w:type="dxa" w:w="2436"/>
            <w:vAlign w:val="center"/>
          </w:tcPr>
          <w:p>
            <w:pPr>
              <w:spacing w:after="0"/>
            </w:pPr>
            <w:r/>
            <w:r>
              <w:rPr>
                <w:rFonts w:ascii="Aptos" w:hAnsi="Aptos" w:eastAsia="Aptos"/>
                <w:b w:val="0"/>
                <w:sz w:val="18"/>
              </w:rPr>
              <w:t>Message durability and cache pressure</w:t>
            </w:r>
          </w:p>
        </w:tc>
        <w:tc>
          <w:tcPr>
            <w:tcW w:type="dxa" w:w="2436"/>
            <w:vAlign w:val="center"/>
          </w:tcPr>
          <w:p>
            <w:pPr>
              <w:spacing w:after="0"/>
            </w:pPr>
            <w:r/>
            <w:r>
              <w:rPr>
                <w:rFonts w:ascii="Aptos" w:hAnsi="Aptos" w:eastAsia="Aptos"/>
                <w:b w:val="0"/>
                <w:sz w:val="18"/>
              </w:rPr>
              <w:t>Memory, evictions, replication state, consumer lag</w:t>
            </w:r>
          </w:p>
        </w:tc>
        <w:tc>
          <w:tcPr>
            <w:tcW w:type="dxa" w:w="2436"/>
            <w:vAlign w:val="center"/>
          </w:tcPr>
          <w:p>
            <w:pPr>
              <w:spacing w:after="0"/>
            </w:pPr>
            <w:r/>
            <w:r>
              <w:rPr>
                <w:rFonts w:ascii="Aptos" w:hAnsi="Aptos" w:eastAsia="Aptos"/>
                <w:b w:val="0"/>
                <w:sz w:val="18"/>
              </w:rPr>
              <w:t>Consumer lag, memory ceiling, sentinel failover.</w:t>
            </w:r>
          </w:p>
        </w:tc>
      </w:tr>
      <w:tr>
        <w:tc>
          <w:tcPr>
            <w:tcW w:type="dxa" w:w="2436"/>
            <w:vAlign w:val="center"/>
          </w:tcPr>
          <w:p>
            <w:pPr>
              <w:spacing w:after="0"/>
            </w:pPr>
            <w:r/>
            <w:r>
              <w:rPr>
                <w:rFonts w:ascii="Aptos" w:hAnsi="Aptos" w:eastAsia="Aptos"/>
                <w:b w:val="0"/>
                <w:sz w:val="18"/>
              </w:rPr>
              <w:t>Chain integration</w:t>
            </w:r>
          </w:p>
        </w:tc>
        <w:tc>
          <w:tcPr>
            <w:tcW w:type="dxa" w:w="2436"/>
            <w:vAlign w:val="center"/>
          </w:tcPr>
          <w:p>
            <w:pPr>
              <w:spacing w:after="0"/>
            </w:pPr>
            <w:r/>
            <w:r>
              <w:rPr>
                <w:rFonts w:ascii="Aptos" w:hAnsi="Aptos" w:eastAsia="Aptos"/>
                <w:b w:val="0"/>
                <w:sz w:val="18"/>
              </w:rPr>
              <w:t>Finality and submission success</w:t>
            </w:r>
          </w:p>
        </w:tc>
        <w:tc>
          <w:tcPr>
            <w:tcW w:type="dxa" w:w="2436"/>
            <w:vAlign w:val="center"/>
          </w:tcPr>
          <w:p>
            <w:pPr>
              <w:spacing w:after="0"/>
            </w:pPr>
            <w:r/>
            <w:r>
              <w:rPr>
                <w:rFonts w:ascii="Aptos" w:hAnsi="Aptos" w:eastAsia="Aptos"/>
                <w:b w:val="0"/>
                <w:sz w:val="18"/>
              </w:rPr>
              <w:t>RPC success %, latency, nonce issues, stuck txs</w:t>
            </w:r>
          </w:p>
        </w:tc>
        <w:tc>
          <w:tcPr>
            <w:tcW w:type="dxa" w:w="2436"/>
            <w:vAlign w:val="center"/>
          </w:tcPr>
          <w:p>
            <w:pPr>
              <w:spacing w:after="0"/>
            </w:pPr>
            <w:r/>
            <w:r>
              <w:rPr>
                <w:rFonts w:ascii="Aptos" w:hAnsi="Aptos" w:eastAsia="Aptos"/>
                <w:b w:val="0"/>
                <w:sz w:val="18"/>
              </w:rPr>
              <w:t>Provider outage, chain reorg, withdrawal queue growth.</w:t>
            </w:r>
          </w:p>
        </w:tc>
      </w:tr>
    </w:tbl>
    <w:p>
      <w:pPr>
        <w:spacing w:after="120"/>
      </w:pPr>
      <w:r>
        <w:rPr>
          <w:rFonts w:ascii="Aptos" w:hAnsi="Aptos" w:eastAsia="Aptos"/>
        </w:rPr>
        <w:t>Recommended SRE rules:</w:t>
      </w:r>
    </w:p>
    <w:p>
      <w:pPr>
        <w:pStyle w:val="ListBullet"/>
        <w:spacing w:after="60"/>
        <w:ind w:left="340"/>
      </w:pPr>
      <w:r>
        <w:rPr>
          <w:rFonts w:ascii="Aptos" w:hAnsi="Aptos" w:eastAsia="Aptos"/>
          <w:sz w:val="21"/>
        </w:rPr>
        <w:t>Define RTO and RPO per service, not just for the whole platform.</w:t>
      </w:r>
    </w:p>
    <w:p>
      <w:pPr>
        <w:pStyle w:val="ListBullet"/>
        <w:spacing w:after="60"/>
        <w:ind w:left="340"/>
      </w:pPr>
      <w:r>
        <w:rPr>
          <w:rFonts w:ascii="Aptos" w:hAnsi="Aptos" w:eastAsia="Aptos"/>
          <w:sz w:val="21"/>
        </w:rPr>
        <w:t>Back up PostgreSQL continuously and test point-in-time restore regularly.</w:t>
      </w:r>
    </w:p>
    <w:p>
      <w:pPr>
        <w:pStyle w:val="ListBullet"/>
        <w:spacing w:after="60"/>
        <w:ind w:left="340"/>
      </w:pPr>
      <w:r>
        <w:rPr>
          <w:rFonts w:ascii="Aptos" w:hAnsi="Aptos" w:eastAsia="Aptos"/>
          <w:sz w:val="21"/>
        </w:rPr>
        <w:t>Maintain at least two independent RPC providers per supported network plus health-scored fallback routing.</w:t>
      </w:r>
    </w:p>
    <w:p>
      <w:pPr>
        <w:pStyle w:val="ListBullet"/>
        <w:spacing w:after="60"/>
        <w:ind w:left="340"/>
      </w:pPr>
      <w:r>
        <w:rPr>
          <w:rFonts w:ascii="Aptos" w:hAnsi="Aptos" w:eastAsia="Aptos"/>
          <w:sz w:val="21"/>
        </w:rPr>
        <w:t>Publish a public status page and a private incident severity matrix.</w:t>
      </w:r>
    </w:p>
    <w:p>
      <w:pPr>
        <w:pStyle w:val="ListBullet"/>
        <w:spacing w:after="60"/>
        <w:ind w:left="340"/>
      </w:pPr>
      <w:r>
        <w:rPr>
          <w:rFonts w:ascii="Aptos" w:hAnsi="Aptos" w:eastAsia="Aptos"/>
          <w:sz w:val="21"/>
        </w:rPr>
        <w:t>Rehearse matching-engine restart, Redis failover, and withdrawal-pause procedures before public scale-up.</w:t>
      </w:r>
    </w:p>
    <w:p>
      <w:pPr>
        <w:pStyle w:val="Heading1"/>
      </w:pPr>
      <w:r>
        <w:t>12. Security, compliance, and governance</w:t>
      </w:r>
    </w:p>
    <w:p>
      <w:pPr>
        <w:spacing w:after="120"/>
      </w:pPr>
      <w:r>
        <w:rPr>
          <w:rFonts w:ascii="Aptos" w:hAnsi="Aptos" w:eastAsia="Aptos"/>
        </w:rPr>
        <w:t>Security and governance should have first-class docs from day one. Hyperliquid’s public docs include risks, audits, and bug bounty references; Ignite should do the same.</w:t>
      </w:r>
    </w:p>
    <w:tbl>
      <w:tblPr>
        <w:tblStyle w:val="TableGrid"/>
        <w:tblW w:type="auto" w:w="0"/>
        <w:tblLook w:firstColumn="1" w:firstRow="1" w:lastColumn="0" w:lastRow="0" w:noHBand="0" w:noVBand="1" w:val="04A0"/>
      </w:tblPr>
      <w:tblGrid>
        <w:gridCol w:w="3249"/>
        <w:gridCol w:w="3249"/>
        <w:gridCol w:w="3249"/>
      </w:tblGrid>
      <w:tr>
        <w:tc>
          <w:tcPr>
            <w:tcW w:type="dxa" w:w="3249"/>
            <w:shd w:fill="DCE6F8"/>
            <w:vAlign w:val="center"/>
          </w:tcPr>
          <w:p>
            <w:pPr>
              <w:spacing w:after="0"/>
            </w:pPr>
            <w:r/>
            <w:r>
              <w:rPr>
                <w:rFonts w:ascii="Aptos" w:hAnsi="Aptos" w:eastAsia="Aptos"/>
                <w:b/>
                <w:sz w:val="20"/>
              </w:rPr>
              <w:t>Domain</w:t>
            </w:r>
          </w:p>
        </w:tc>
        <w:tc>
          <w:tcPr>
            <w:tcW w:type="dxa" w:w="3249"/>
            <w:shd w:fill="DCE6F8"/>
            <w:vAlign w:val="center"/>
          </w:tcPr>
          <w:p>
            <w:pPr>
              <w:spacing w:after="0"/>
            </w:pPr>
            <w:r/>
            <w:r>
              <w:rPr>
                <w:rFonts w:ascii="Aptos" w:hAnsi="Aptos" w:eastAsia="Aptos"/>
                <w:b/>
                <w:sz w:val="20"/>
              </w:rPr>
              <w:t>What Ignite should publish</w:t>
            </w:r>
          </w:p>
        </w:tc>
        <w:tc>
          <w:tcPr>
            <w:tcW w:type="dxa" w:w="3249"/>
            <w:shd w:fill="DCE6F8"/>
            <w:vAlign w:val="center"/>
          </w:tcPr>
          <w:p>
            <w:pPr>
              <w:spacing w:after="0"/>
            </w:pPr>
            <w:r/>
            <w:r>
              <w:rPr>
                <w:rFonts w:ascii="Aptos" w:hAnsi="Aptos" w:eastAsia="Aptos"/>
                <w:b/>
                <w:sz w:val="20"/>
              </w:rPr>
              <w:t>Launch readiness</w:t>
            </w:r>
          </w:p>
        </w:tc>
      </w:tr>
      <w:tr>
        <w:tc>
          <w:tcPr>
            <w:tcW w:type="dxa" w:w="3249"/>
            <w:vAlign w:val="center"/>
          </w:tcPr>
          <w:p>
            <w:pPr>
              <w:spacing w:after="0"/>
            </w:pPr>
            <w:r/>
            <w:r>
              <w:rPr>
                <w:rFonts w:ascii="Aptos" w:hAnsi="Aptos" w:eastAsia="Aptos"/>
                <w:b w:val="0"/>
                <w:sz w:val="18"/>
              </w:rPr>
              <w:t>Wallet and key security</w:t>
            </w:r>
          </w:p>
        </w:tc>
        <w:tc>
          <w:tcPr>
            <w:tcW w:type="dxa" w:w="3249"/>
            <w:vAlign w:val="center"/>
          </w:tcPr>
          <w:p>
            <w:pPr>
              <w:spacing w:after="0"/>
            </w:pPr>
            <w:r/>
            <w:r>
              <w:rPr>
                <w:rFonts w:ascii="Aptos" w:hAnsi="Aptos" w:eastAsia="Aptos"/>
                <w:b w:val="0"/>
                <w:sz w:val="18"/>
              </w:rPr>
              <w:t>API key scopes, wallet signing model, rotation, IP allowlists, withdrawal approvals</w:t>
            </w:r>
          </w:p>
        </w:tc>
        <w:tc>
          <w:tcPr>
            <w:tcW w:type="dxa" w:w="3249"/>
            <w:vAlign w:val="center"/>
          </w:tcPr>
          <w:p>
            <w:pPr>
              <w:spacing w:after="0"/>
            </w:pPr>
            <w:r/>
            <w:r>
              <w:rPr>
                <w:rFonts w:ascii="Aptos" w:hAnsi="Aptos" w:eastAsia="Aptos"/>
                <w:b w:val="0"/>
                <w:sz w:val="18"/>
              </w:rPr>
              <w:t>Mandatory</w:t>
            </w:r>
          </w:p>
        </w:tc>
      </w:tr>
      <w:tr>
        <w:tc>
          <w:tcPr>
            <w:tcW w:type="dxa" w:w="3249"/>
            <w:vAlign w:val="center"/>
          </w:tcPr>
          <w:p>
            <w:pPr>
              <w:spacing w:after="0"/>
            </w:pPr>
            <w:r/>
            <w:r>
              <w:rPr>
                <w:rFonts w:ascii="Aptos" w:hAnsi="Aptos" w:eastAsia="Aptos"/>
                <w:b w:val="0"/>
                <w:sz w:val="18"/>
              </w:rPr>
              <w:t>Smart contracts</w:t>
            </w:r>
          </w:p>
        </w:tc>
        <w:tc>
          <w:tcPr>
            <w:tcW w:type="dxa" w:w="3249"/>
            <w:vAlign w:val="center"/>
          </w:tcPr>
          <w:p>
            <w:pPr>
              <w:spacing w:after="0"/>
            </w:pPr>
            <w:r/>
            <w:r>
              <w:rPr>
                <w:rFonts w:ascii="Aptos" w:hAnsi="Aptos" w:eastAsia="Aptos"/>
                <w:b w:val="0"/>
                <w:sz w:val="18"/>
              </w:rPr>
              <w:t>Audits, upgradeability model, emergency admin powers, timelocks</w:t>
            </w:r>
          </w:p>
        </w:tc>
        <w:tc>
          <w:tcPr>
            <w:tcW w:type="dxa" w:w="3249"/>
            <w:vAlign w:val="center"/>
          </w:tcPr>
          <w:p>
            <w:pPr>
              <w:spacing w:after="0"/>
            </w:pPr>
            <w:r/>
            <w:r>
              <w:rPr>
                <w:rFonts w:ascii="Aptos" w:hAnsi="Aptos" w:eastAsia="Aptos"/>
                <w:b w:val="0"/>
                <w:sz w:val="18"/>
              </w:rPr>
              <w:t>Mandatory</w:t>
            </w:r>
          </w:p>
        </w:tc>
      </w:tr>
      <w:tr>
        <w:tc>
          <w:tcPr>
            <w:tcW w:type="dxa" w:w="3249"/>
            <w:vAlign w:val="center"/>
          </w:tcPr>
          <w:p>
            <w:pPr>
              <w:spacing w:after="0"/>
            </w:pPr>
            <w:r/>
            <w:r>
              <w:rPr>
                <w:rFonts w:ascii="Aptos" w:hAnsi="Aptos" w:eastAsia="Aptos"/>
                <w:b w:val="0"/>
                <w:sz w:val="18"/>
              </w:rPr>
              <w:t>Market governance</w:t>
            </w:r>
          </w:p>
        </w:tc>
        <w:tc>
          <w:tcPr>
            <w:tcW w:type="dxa" w:w="3249"/>
            <w:vAlign w:val="center"/>
          </w:tcPr>
          <w:p>
            <w:pPr>
              <w:spacing w:after="0"/>
            </w:pPr>
            <w:r/>
            <w:r>
              <w:rPr>
                <w:rFonts w:ascii="Aptos" w:hAnsi="Aptos" w:eastAsia="Aptos"/>
                <w:b w:val="0"/>
                <w:sz w:val="18"/>
              </w:rPr>
              <w:t>Who can list, pause, delist, or settle markets; voting or committee structure</w:t>
            </w:r>
          </w:p>
        </w:tc>
        <w:tc>
          <w:tcPr>
            <w:tcW w:type="dxa" w:w="3249"/>
            <w:vAlign w:val="center"/>
          </w:tcPr>
          <w:p>
            <w:pPr>
              <w:spacing w:after="0"/>
            </w:pPr>
            <w:r/>
            <w:r>
              <w:rPr>
                <w:rFonts w:ascii="Aptos" w:hAnsi="Aptos" w:eastAsia="Aptos"/>
                <w:b w:val="0"/>
                <w:sz w:val="18"/>
              </w:rPr>
              <w:t>Mandatory</w:t>
            </w:r>
          </w:p>
        </w:tc>
      </w:tr>
      <w:tr>
        <w:tc>
          <w:tcPr>
            <w:tcW w:type="dxa" w:w="3249"/>
            <w:vAlign w:val="center"/>
          </w:tcPr>
          <w:p>
            <w:pPr>
              <w:spacing w:after="0"/>
            </w:pPr>
            <w:r/>
            <w:r>
              <w:rPr>
                <w:rFonts w:ascii="Aptos" w:hAnsi="Aptos" w:eastAsia="Aptos"/>
                <w:b w:val="0"/>
                <w:sz w:val="18"/>
              </w:rPr>
              <w:t>Risk disclosures</w:t>
            </w:r>
          </w:p>
        </w:tc>
        <w:tc>
          <w:tcPr>
            <w:tcW w:type="dxa" w:w="3249"/>
            <w:vAlign w:val="center"/>
          </w:tcPr>
          <w:p>
            <w:pPr>
              <w:spacing w:after="0"/>
            </w:pPr>
            <w:r/>
            <w:r>
              <w:rPr>
                <w:rFonts w:ascii="Aptos" w:hAnsi="Aptos" w:eastAsia="Aptos"/>
                <w:b w:val="0"/>
                <w:sz w:val="18"/>
              </w:rPr>
              <w:t>Liquidation risk, funding risk, oracle risk, outage risk, bridge/rpc dependency risk</w:t>
            </w:r>
          </w:p>
        </w:tc>
        <w:tc>
          <w:tcPr>
            <w:tcW w:type="dxa" w:w="3249"/>
            <w:vAlign w:val="center"/>
          </w:tcPr>
          <w:p>
            <w:pPr>
              <w:spacing w:after="0"/>
            </w:pPr>
            <w:r/>
            <w:r>
              <w:rPr>
                <w:rFonts w:ascii="Aptos" w:hAnsi="Aptos" w:eastAsia="Aptos"/>
                <w:b w:val="0"/>
                <w:sz w:val="18"/>
              </w:rPr>
              <w:t>Mandatory</w:t>
            </w:r>
          </w:p>
        </w:tc>
      </w:tr>
      <w:tr>
        <w:tc>
          <w:tcPr>
            <w:tcW w:type="dxa" w:w="3249"/>
            <w:vAlign w:val="center"/>
          </w:tcPr>
          <w:p>
            <w:pPr>
              <w:spacing w:after="0"/>
            </w:pPr>
            <w:r/>
            <w:r>
              <w:rPr>
                <w:rFonts w:ascii="Aptos" w:hAnsi="Aptos" w:eastAsia="Aptos"/>
                <w:b w:val="0"/>
                <w:sz w:val="18"/>
              </w:rPr>
              <w:t>Bug bounty</w:t>
            </w:r>
          </w:p>
        </w:tc>
        <w:tc>
          <w:tcPr>
            <w:tcW w:type="dxa" w:w="3249"/>
            <w:vAlign w:val="center"/>
          </w:tcPr>
          <w:p>
            <w:pPr>
              <w:spacing w:after="0"/>
            </w:pPr>
            <w:r/>
            <w:r>
              <w:rPr>
                <w:rFonts w:ascii="Aptos" w:hAnsi="Aptos" w:eastAsia="Aptos"/>
                <w:b w:val="0"/>
                <w:sz w:val="18"/>
              </w:rPr>
              <w:t>Scope, exclusions, severity bands, payout process</w:t>
            </w:r>
          </w:p>
        </w:tc>
        <w:tc>
          <w:tcPr>
            <w:tcW w:type="dxa" w:w="3249"/>
            <w:vAlign w:val="center"/>
          </w:tcPr>
          <w:p>
            <w:pPr>
              <w:spacing w:after="0"/>
            </w:pPr>
            <w:r/>
            <w:r>
              <w:rPr>
                <w:rFonts w:ascii="Aptos" w:hAnsi="Aptos" w:eastAsia="Aptos"/>
                <w:b w:val="0"/>
                <w:sz w:val="18"/>
              </w:rPr>
              <w:t>Strongly recommended</w:t>
            </w:r>
          </w:p>
        </w:tc>
      </w:tr>
      <w:tr>
        <w:tc>
          <w:tcPr>
            <w:tcW w:type="dxa" w:w="3249"/>
            <w:vAlign w:val="center"/>
          </w:tcPr>
          <w:p>
            <w:pPr>
              <w:spacing w:after="0"/>
            </w:pPr>
            <w:r/>
            <w:r>
              <w:rPr>
                <w:rFonts w:ascii="Aptos" w:hAnsi="Aptos" w:eastAsia="Aptos"/>
                <w:b w:val="0"/>
                <w:sz w:val="18"/>
              </w:rPr>
              <w:t>Data and privacy</w:t>
            </w:r>
          </w:p>
        </w:tc>
        <w:tc>
          <w:tcPr>
            <w:tcW w:type="dxa" w:w="3249"/>
            <w:vAlign w:val="center"/>
          </w:tcPr>
          <w:p>
            <w:pPr>
              <w:spacing w:after="0"/>
            </w:pPr>
            <w:r/>
            <w:r>
              <w:rPr>
                <w:rFonts w:ascii="Aptos" w:hAnsi="Aptos" w:eastAsia="Aptos"/>
                <w:b w:val="0"/>
                <w:sz w:val="18"/>
              </w:rPr>
              <w:t>Retention policy, logging scope, sanctions/compliance policy if any</w:t>
            </w:r>
          </w:p>
        </w:tc>
        <w:tc>
          <w:tcPr>
            <w:tcW w:type="dxa" w:w="3249"/>
            <w:vAlign w:val="center"/>
          </w:tcPr>
          <w:p>
            <w:pPr>
              <w:spacing w:after="0"/>
            </w:pPr>
            <w:r/>
            <w:r>
              <w:rPr>
                <w:rFonts w:ascii="Aptos" w:hAnsi="Aptos" w:eastAsia="Aptos"/>
                <w:b w:val="0"/>
                <w:sz w:val="18"/>
              </w:rPr>
              <w:t>Recommended</w:t>
            </w:r>
          </w:p>
        </w:tc>
      </w:tr>
    </w:tbl>
    <w:p>
      <w:pPr>
        <w:pStyle w:val="Heading1"/>
      </w:pPr>
      <w:r>
        <w:t>13. Comparison matrix: Hyperliquid vs Ignite DEX</w:t>
      </w:r>
    </w:p>
    <w:p>
      <w:pPr>
        <w:spacing w:after="120"/>
      </w:pPr>
      <w:r>
        <w:rPr>
          <w:rFonts w:ascii="Aptos" w:hAnsi="Aptos" w:eastAsia="Aptos"/>
        </w:rPr>
        <w:t>The matrix below is intentionally honest: Hyperliquid entries reflect public documentation, while Ignite entries combine verified inputs and recommended design direction.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6F8"/>
            <w:vAlign w:val="center"/>
          </w:tcPr>
          <w:p>
            <w:pPr>
              <w:spacing w:after="0"/>
            </w:pPr>
            <w:r/>
            <w:r>
              <w:rPr>
                <w:rFonts w:ascii="Aptos" w:hAnsi="Aptos" w:eastAsia="Aptos"/>
                <w:b/>
                <w:sz w:val="20"/>
              </w:rPr>
              <w:t>Topic</w:t>
            </w:r>
          </w:p>
        </w:tc>
        <w:tc>
          <w:tcPr>
            <w:tcW w:type="dxa" w:w="2436"/>
            <w:shd w:fill="DCE6F8"/>
            <w:vAlign w:val="center"/>
          </w:tcPr>
          <w:p>
            <w:pPr>
              <w:spacing w:after="0"/>
            </w:pPr>
            <w:r/>
            <w:r>
              <w:rPr>
                <w:rFonts w:ascii="Aptos" w:hAnsi="Aptos" w:eastAsia="Aptos"/>
                <w:b/>
                <w:sz w:val="20"/>
              </w:rPr>
              <w:t>Hyperliquid (public docs)</w:t>
            </w:r>
          </w:p>
        </w:tc>
        <w:tc>
          <w:tcPr>
            <w:tcW w:type="dxa" w:w="2436"/>
            <w:shd w:fill="DCE6F8"/>
            <w:vAlign w:val="center"/>
          </w:tcPr>
          <w:p>
            <w:pPr>
              <w:spacing w:after="0"/>
            </w:pPr>
            <w:r/>
            <w:r>
              <w:rPr>
                <w:rFonts w:ascii="Aptos" w:hAnsi="Aptos" w:eastAsia="Aptos"/>
                <w:b/>
                <w:sz w:val="20"/>
              </w:rPr>
              <w:t>Ignite DEX (this draft)</w:t>
            </w:r>
          </w:p>
        </w:tc>
        <w:tc>
          <w:tcPr>
            <w:tcW w:type="dxa" w:w="2436"/>
            <w:shd w:fill="DCE6F8"/>
            <w:vAlign w:val="center"/>
          </w:tcPr>
          <w:p>
            <w:pPr>
              <w:spacing w:after="0"/>
            </w:pPr>
            <w:r/>
            <w:r>
              <w:rPr>
                <w:rFonts w:ascii="Aptos" w:hAnsi="Aptos" w:eastAsia="Aptos"/>
                <w:b/>
                <w:sz w:val="20"/>
              </w:rPr>
              <w:t>Action for Ignite</w:t>
            </w:r>
          </w:p>
        </w:tc>
      </w:tr>
      <w:tr>
        <w:tc>
          <w:tcPr>
            <w:tcW w:type="dxa" w:w="2436"/>
            <w:vAlign w:val="center"/>
          </w:tcPr>
          <w:p>
            <w:pPr>
              <w:spacing w:after="0"/>
            </w:pPr>
            <w:r/>
            <w:r>
              <w:rPr>
                <w:rFonts w:ascii="Aptos" w:hAnsi="Aptos" w:eastAsia="Aptos"/>
                <w:b w:val="0"/>
                <w:sz w:val="18"/>
              </w:rPr>
              <w:t>Core architecture</w:t>
            </w:r>
          </w:p>
        </w:tc>
        <w:tc>
          <w:tcPr>
            <w:tcW w:type="dxa" w:w="2436"/>
            <w:vAlign w:val="center"/>
          </w:tcPr>
          <w:p>
            <w:pPr>
              <w:spacing w:after="0"/>
            </w:pPr>
            <w:r/>
            <w:r>
              <w:rPr>
                <w:rFonts w:ascii="Aptos" w:hAnsi="Aptos" w:eastAsia="Aptos"/>
                <w:b w:val="0"/>
                <w:sz w:val="18"/>
              </w:rPr>
              <w:t>HyperBFT L1 with HyperCore and HyperEVM split</w:t>
            </w:r>
          </w:p>
        </w:tc>
        <w:tc>
          <w:tcPr>
            <w:tcW w:type="dxa" w:w="2436"/>
            <w:vAlign w:val="center"/>
          </w:tcPr>
          <w:p>
            <w:pPr>
              <w:spacing w:after="0"/>
            </w:pPr>
            <w:r/>
            <w:r>
              <w:rPr>
                <w:rFonts w:ascii="Aptos" w:hAnsi="Aptos" w:eastAsia="Aptos"/>
                <w:b w:val="0"/>
                <w:sz w:val="18"/>
              </w:rPr>
              <w:t>Modular server-based DEX stack with separate matching, risk, and state services</w:t>
            </w:r>
          </w:p>
        </w:tc>
        <w:tc>
          <w:tcPr>
            <w:tcW w:type="dxa" w:w="2436"/>
            <w:vAlign w:val="center"/>
          </w:tcPr>
          <w:p>
            <w:pPr>
              <w:spacing w:after="0"/>
            </w:pPr>
            <w:r/>
            <w:r>
              <w:rPr>
                <w:rFonts w:ascii="Aptos" w:hAnsi="Aptos" w:eastAsia="Aptos"/>
                <w:b w:val="0"/>
                <w:sz w:val="18"/>
              </w:rPr>
              <w:t>Document Ignite architecture diagram and consistency model.</w:t>
            </w:r>
          </w:p>
        </w:tc>
      </w:tr>
      <w:tr>
        <w:tc>
          <w:tcPr>
            <w:tcW w:type="dxa" w:w="2436"/>
            <w:vAlign w:val="center"/>
          </w:tcPr>
          <w:p>
            <w:pPr>
              <w:spacing w:after="0"/>
            </w:pPr>
            <w:r/>
            <w:r>
              <w:rPr>
                <w:rFonts w:ascii="Aptos" w:hAnsi="Aptos" w:eastAsia="Aptos"/>
                <w:b w:val="0"/>
                <w:sz w:val="18"/>
              </w:rPr>
              <w:t>Perpetual product</w:t>
            </w:r>
          </w:p>
        </w:tc>
        <w:tc>
          <w:tcPr>
            <w:tcW w:type="dxa" w:w="2436"/>
            <w:vAlign w:val="center"/>
          </w:tcPr>
          <w:p>
            <w:pPr>
              <w:spacing w:after="0"/>
            </w:pPr>
            <w:r/>
            <w:r>
              <w:rPr>
                <w:rFonts w:ascii="Aptos" w:hAnsi="Aptos" w:eastAsia="Aptos"/>
                <w:b w:val="0"/>
                <w:sz w:val="18"/>
              </w:rPr>
              <w:t>Fully documented perp specs, simple contract design</w:t>
            </w:r>
          </w:p>
        </w:tc>
        <w:tc>
          <w:tcPr>
            <w:tcW w:type="dxa" w:w="2436"/>
            <w:vAlign w:val="center"/>
          </w:tcPr>
          <w:p>
            <w:pPr>
              <w:spacing w:after="0"/>
            </w:pPr>
            <w:r/>
            <w:r>
              <w:rPr>
                <w:rFonts w:ascii="Aptos" w:hAnsi="Aptos" w:eastAsia="Aptos"/>
                <w:b w:val="0"/>
                <w:sz w:val="18"/>
              </w:rPr>
              <w:t>Perp-first model recommended, but final specs still need canonical whitepaper parameters</w:t>
            </w:r>
          </w:p>
        </w:tc>
        <w:tc>
          <w:tcPr>
            <w:tcW w:type="dxa" w:w="2436"/>
            <w:vAlign w:val="center"/>
          </w:tcPr>
          <w:p>
            <w:pPr>
              <w:spacing w:after="0"/>
            </w:pPr>
            <w:r/>
            <w:r>
              <w:rPr>
                <w:rFonts w:ascii="Aptos" w:hAnsi="Aptos" w:eastAsia="Aptos"/>
                <w:b w:val="0"/>
                <w:sz w:val="18"/>
              </w:rPr>
              <w:t>Freeze and publish instrument specs by market.</w:t>
            </w:r>
          </w:p>
        </w:tc>
      </w:tr>
      <w:tr>
        <w:tc>
          <w:tcPr>
            <w:tcW w:type="dxa" w:w="2436"/>
            <w:vAlign w:val="center"/>
          </w:tcPr>
          <w:p>
            <w:pPr>
              <w:spacing w:after="0"/>
            </w:pPr>
            <w:r/>
            <w:r>
              <w:rPr>
                <w:rFonts w:ascii="Aptos" w:hAnsi="Aptos" w:eastAsia="Aptos"/>
                <w:b w:val="0"/>
                <w:sz w:val="18"/>
              </w:rPr>
              <w:t>Fees</w:t>
            </w:r>
          </w:p>
        </w:tc>
        <w:tc>
          <w:tcPr>
            <w:tcW w:type="dxa" w:w="2436"/>
            <w:vAlign w:val="center"/>
          </w:tcPr>
          <w:p>
            <w:pPr>
              <w:spacing w:after="0"/>
            </w:pPr>
            <w:r/>
            <w:r>
              <w:rPr>
                <w:rFonts w:ascii="Aptos" w:hAnsi="Aptos" w:eastAsia="Aptos"/>
                <w:b w:val="0"/>
                <w:sz w:val="18"/>
              </w:rPr>
              <w:t>Community-directed fee routing with explicit fee docs</w:t>
            </w:r>
          </w:p>
        </w:tc>
        <w:tc>
          <w:tcPr>
            <w:tcW w:type="dxa" w:w="2436"/>
            <w:vAlign w:val="center"/>
          </w:tcPr>
          <w:p>
            <w:pPr>
              <w:spacing w:after="0"/>
            </w:pPr>
            <w:r/>
            <w:r>
              <w:rPr>
                <w:rFonts w:ascii="Aptos" w:hAnsi="Aptos" w:eastAsia="Aptos"/>
                <w:b w:val="0"/>
                <w:sz w:val="18"/>
              </w:rPr>
              <w:t>IGNT-centered fee system is verified; percentages and reward destinations still need publication</w:t>
            </w:r>
          </w:p>
        </w:tc>
        <w:tc>
          <w:tcPr>
            <w:tcW w:type="dxa" w:w="2436"/>
            <w:vAlign w:val="center"/>
          </w:tcPr>
          <w:p>
            <w:pPr>
              <w:spacing w:after="0"/>
            </w:pPr>
            <w:r/>
            <w:r>
              <w:rPr>
                <w:rFonts w:ascii="Aptos" w:hAnsi="Aptos" w:eastAsia="Aptos"/>
                <w:b w:val="0"/>
                <w:sz w:val="18"/>
              </w:rPr>
              <w:t>Publish exact fee ladder and fee-routing formula.</w:t>
            </w:r>
          </w:p>
        </w:tc>
      </w:tr>
      <w:tr>
        <w:tc>
          <w:tcPr>
            <w:tcW w:type="dxa" w:w="2436"/>
            <w:vAlign w:val="center"/>
          </w:tcPr>
          <w:p>
            <w:pPr>
              <w:spacing w:after="0"/>
            </w:pPr>
            <w:r/>
            <w:r>
              <w:rPr>
                <w:rFonts w:ascii="Aptos" w:hAnsi="Aptos" w:eastAsia="Aptos"/>
                <w:b w:val="0"/>
                <w:sz w:val="18"/>
              </w:rPr>
              <w:t>Builder ecosystem</w:t>
            </w:r>
          </w:p>
        </w:tc>
        <w:tc>
          <w:tcPr>
            <w:tcW w:type="dxa" w:w="2436"/>
            <w:vAlign w:val="center"/>
          </w:tcPr>
          <w:p>
            <w:pPr>
              <w:spacing w:after="0"/>
            </w:pPr>
            <w:r/>
            <w:r>
              <w:rPr>
                <w:rFonts w:ascii="Aptos" w:hAnsi="Aptos" w:eastAsia="Aptos"/>
                <w:b w:val="0"/>
                <w:sz w:val="18"/>
              </w:rPr>
              <w:t>Documented builder codes and deployer mechanics</w:t>
            </w:r>
          </w:p>
        </w:tc>
        <w:tc>
          <w:tcPr>
            <w:tcW w:type="dxa" w:w="2436"/>
            <w:vAlign w:val="center"/>
          </w:tcPr>
          <w:p>
            <w:pPr>
              <w:spacing w:after="0"/>
            </w:pPr>
            <w:r/>
            <w:r>
              <w:rPr>
                <w:rFonts w:ascii="Aptos" w:hAnsi="Aptos" w:eastAsia="Aptos"/>
                <w:b w:val="0"/>
                <w:sz w:val="18"/>
              </w:rPr>
              <w:t>Builder / affiliate system recommended, not yet confirmed</w:t>
            </w:r>
          </w:p>
        </w:tc>
        <w:tc>
          <w:tcPr>
            <w:tcW w:type="dxa" w:w="2436"/>
            <w:vAlign w:val="center"/>
          </w:tcPr>
          <w:p>
            <w:pPr>
              <w:spacing w:after="0"/>
            </w:pPr>
            <w:r/>
            <w:r>
              <w:rPr>
                <w:rFonts w:ascii="Aptos" w:hAnsi="Aptos" w:eastAsia="Aptos"/>
                <w:b w:val="0"/>
                <w:sz w:val="18"/>
              </w:rPr>
              <w:t>Decide whether Ignite wants builder fees, referrals, or both.</w:t>
            </w:r>
          </w:p>
        </w:tc>
      </w:tr>
      <w:tr>
        <w:tc>
          <w:tcPr>
            <w:tcW w:type="dxa" w:w="2436"/>
            <w:vAlign w:val="center"/>
          </w:tcPr>
          <w:p>
            <w:pPr>
              <w:spacing w:after="0"/>
            </w:pPr>
            <w:r/>
            <w:r>
              <w:rPr>
                <w:rFonts w:ascii="Aptos" w:hAnsi="Aptos" w:eastAsia="Aptos"/>
                <w:b w:val="0"/>
                <w:sz w:val="18"/>
              </w:rPr>
              <w:t>API docs</w:t>
            </w:r>
          </w:p>
        </w:tc>
        <w:tc>
          <w:tcPr>
            <w:tcW w:type="dxa" w:w="2436"/>
            <w:vAlign w:val="center"/>
          </w:tcPr>
          <w:p>
            <w:pPr>
              <w:spacing w:after="0"/>
            </w:pPr>
            <w:r/>
            <w:r>
              <w:rPr>
                <w:rFonts w:ascii="Aptos" w:hAnsi="Aptos" w:eastAsia="Aptos"/>
                <w:b w:val="0"/>
                <w:sz w:val="18"/>
              </w:rPr>
              <w:t>Clear info vs exchange endpoint separation</w:t>
            </w:r>
          </w:p>
        </w:tc>
        <w:tc>
          <w:tcPr>
            <w:tcW w:type="dxa" w:w="2436"/>
            <w:vAlign w:val="center"/>
          </w:tcPr>
          <w:p>
            <w:pPr>
              <w:spacing w:after="0"/>
            </w:pPr>
            <w:r/>
            <w:r>
              <w:rPr>
                <w:rFonts w:ascii="Aptos" w:hAnsi="Aptos" w:eastAsia="Aptos"/>
                <w:b w:val="0"/>
                <w:sz w:val="18"/>
              </w:rPr>
              <w:t>Recommended same pattern for Ignite</w:t>
            </w:r>
          </w:p>
        </w:tc>
        <w:tc>
          <w:tcPr>
            <w:tcW w:type="dxa" w:w="2436"/>
            <w:vAlign w:val="center"/>
          </w:tcPr>
          <w:p>
            <w:pPr>
              <w:spacing w:after="0"/>
            </w:pPr>
            <w:r/>
            <w:r>
              <w:rPr>
                <w:rFonts w:ascii="Aptos" w:hAnsi="Aptos" w:eastAsia="Aptos"/>
                <w:b w:val="0"/>
                <w:sz w:val="18"/>
              </w:rPr>
              <w:t>Ship OpenAPI + websocket schema docs.</w:t>
            </w:r>
          </w:p>
        </w:tc>
      </w:tr>
      <w:tr>
        <w:tc>
          <w:tcPr>
            <w:tcW w:type="dxa" w:w="2436"/>
            <w:vAlign w:val="center"/>
          </w:tcPr>
          <w:p>
            <w:pPr>
              <w:spacing w:after="0"/>
            </w:pPr>
            <w:r/>
            <w:r>
              <w:rPr>
                <w:rFonts w:ascii="Aptos" w:hAnsi="Aptos" w:eastAsia="Aptos"/>
                <w:b w:val="0"/>
                <w:sz w:val="18"/>
              </w:rPr>
              <w:t>Risk transparency</w:t>
            </w:r>
          </w:p>
        </w:tc>
        <w:tc>
          <w:tcPr>
            <w:tcW w:type="dxa" w:w="2436"/>
            <w:vAlign w:val="center"/>
          </w:tcPr>
          <w:p>
            <w:pPr>
              <w:spacing w:after="0"/>
            </w:pPr>
            <w:r/>
            <w:r>
              <w:rPr>
                <w:rFonts w:ascii="Aptos" w:hAnsi="Aptos" w:eastAsia="Aptos"/>
                <w:b w:val="0"/>
                <w:sz w:val="18"/>
              </w:rPr>
              <w:t>Funding cadence and formulas documented publicly</w:t>
            </w:r>
          </w:p>
        </w:tc>
        <w:tc>
          <w:tcPr>
            <w:tcW w:type="dxa" w:w="2436"/>
            <w:vAlign w:val="center"/>
          </w:tcPr>
          <w:p>
            <w:pPr>
              <w:spacing w:after="0"/>
            </w:pPr>
            <w:r/>
            <w:r>
              <w:rPr>
                <w:rFonts w:ascii="Aptos" w:hAnsi="Aptos" w:eastAsia="Aptos"/>
                <w:b w:val="0"/>
                <w:sz w:val="18"/>
              </w:rPr>
              <w:t>Risk model proposed here but needs exact Ignite numbers</w:t>
            </w:r>
          </w:p>
        </w:tc>
        <w:tc>
          <w:tcPr>
            <w:tcW w:type="dxa" w:w="2436"/>
            <w:vAlign w:val="center"/>
          </w:tcPr>
          <w:p>
            <w:pPr>
              <w:spacing w:after="0"/>
            </w:pPr>
            <w:r/>
            <w:r>
              <w:rPr>
                <w:rFonts w:ascii="Aptos" w:hAnsi="Aptos" w:eastAsia="Aptos"/>
                <w:b w:val="0"/>
                <w:sz w:val="18"/>
              </w:rPr>
              <w:t>Publish formulas, examples, and incident controls.</w:t>
            </w:r>
          </w:p>
        </w:tc>
      </w:tr>
      <w:tr>
        <w:tc>
          <w:tcPr>
            <w:tcW w:type="dxa" w:w="2436"/>
            <w:vAlign w:val="center"/>
          </w:tcPr>
          <w:p>
            <w:pPr>
              <w:spacing w:after="0"/>
            </w:pPr>
            <w:r/>
            <w:r>
              <w:rPr>
                <w:rFonts w:ascii="Aptos" w:hAnsi="Aptos" w:eastAsia="Aptos"/>
                <w:b w:val="0"/>
                <w:sz w:val="18"/>
              </w:rPr>
              <w:t>Token utility</w:t>
            </w:r>
          </w:p>
        </w:tc>
        <w:tc>
          <w:tcPr>
            <w:tcW w:type="dxa" w:w="2436"/>
            <w:vAlign w:val="center"/>
          </w:tcPr>
          <w:p>
            <w:pPr>
              <w:spacing w:after="0"/>
            </w:pPr>
            <w:r/>
            <w:r>
              <w:rPr>
                <w:rFonts w:ascii="Aptos" w:hAnsi="Aptos" w:eastAsia="Aptos"/>
                <w:b w:val="0"/>
                <w:sz w:val="18"/>
              </w:rPr>
              <w:t>HYPE + community fee sinks documented</w:t>
            </w:r>
          </w:p>
        </w:tc>
        <w:tc>
          <w:tcPr>
            <w:tcW w:type="dxa" w:w="2436"/>
            <w:vAlign w:val="center"/>
          </w:tcPr>
          <w:p>
            <w:pPr>
              <w:spacing w:after="0"/>
            </w:pPr>
            <w:r/>
            <w:r>
              <w:rPr>
                <w:rFonts w:ascii="Aptos" w:hAnsi="Aptos" w:eastAsia="Aptos"/>
                <w:b w:val="0"/>
                <w:sz w:val="18"/>
              </w:rPr>
              <w:t>IGNT multichain fee utility verified</w:t>
            </w:r>
          </w:p>
        </w:tc>
        <w:tc>
          <w:tcPr>
            <w:tcW w:type="dxa" w:w="2436"/>
            <w:vAlign w:val="center"/>
          </w:tcPr>
          <w:p>
            <w:pPr>
              <w:spacing w:after="0"/>
            </w:pPr>
            <w:r/>
            <w:r>
              <w:rPr>
                <w:rFonts w:ascii="Aptos" w:hAnsi="Aptos" w:eastAsia="Aptos"/>
                <w:b w:val="0"/>
                <w:sz w:val="18"/>
              </w:rPr>
              <w:t>Publish contracts, chain registry, and tokenomics page.</w:t>
            </w:r>
          </w:p>
        </w:tc>
      </w:tr>
      <w:tr>
        <w:tc>
          <w:tcPr>
            <w:tcW w:type="dxa" w:w="2436"/>
            <w:vAlign w:val="center"/>
          </w:tcPr>
          <w:p>
            <w:pPr>
              <w:spacing w:after="0"/>
            </w:pPr>
            <w:r/>
            <w:r>
              <w:rPr>
                <w:rFonts w:ascii="Aptos" w:hAnsi="Aptos" w:eastAsia="Aptos"/>
                <w:b w:val="0"/>
                <w:sz w:val="18"/>
              </w:rPr>
              <w:t>Infra disclosure</w:t>
            </w:r>
          </w:p>
        </w:tc>
        <w:tc>
          <w:tcPr>
            <w:tcW w:type="dxa" w:w="2436"/>
            <w:vAlign w:val="center"/>
          </w:tcPr>
          <w:p>
            <w:pPr>
              <w:spacing w:after="0"/>
            </w:pPr>
            <w:r/>
            <w:r>
              <w:rPr>
                <w:rFonts w:ascii="Aptos" w:hAnsi="Aptos" w:eastAsia="Aptos"/>
                <w:b w:val="0"/>
                <w:sz w:val="18"/>
              </w:rPr>
              <w:t>Protocol-centric docs, not server-IP docs</w:t>
            </w:r>
          </w:p>
        </w:tc>
        <w:tc>
          <w:tcPr>
            <w:tcW w:type="dxa" w:w="2436"/>
            <w:vAlign w:val="center"/>
          </w:tcPr>
          <w:p>
            <w:pPr>
              <w:spacing w:after="0"/>
            </w:pPr>
            <w:r/>
            <w:r>
              <w:rPr>
                <w:rFonts w:ascii="Aptos" w:hAnsi="Aptos" w:eastAsia="Aptos"/>
                <w:b w:val="0"/>
                <w:sz w:val="18"/>
              </w:rPr>
              <w:t>Ignite has known infrastructure layout at present</w:t>
            </w:r>
          </w:p>
        </w:tc>
        <w:tc>
          <w:tcPr>
            <w:tcW w:type="dxa" w:w="2436"/>
            <w:vAlign w:val="center"/>
          </w:tcPr>
          <w:p>
            <w:pPr>
              <w:spacing w:after="0"/>
            </w:pPr>
            <w:r/>
            <w:r>
              <w:rPr>
                <w:rFonts w:ascii="Aptos" w:hAnsi="Aptos" w:eastAsia="Aptos"/>
                <w:b w:val="0"/>
                <w:sz w:val="18"/>
              </w:rPr>
              <w:t>Publish internal ops docs and a public abstraction-safe version.</w:t>
            </w:r>
          </w:p>
        </w:tc>
      </w:tr>
    </w:tbl>
    <w:p>
      <w:pPr>
        <w:pStyle w:val="Heading1"/>
      </w:pPr>
      <w:r>
        <w:t>14. Rollout plan and documentation backlog</w:t>
      </w:r>
    </w:p>
    <w:p>
      <w:pPr>
        <w:spacing w:after="120"/>
      </w:pPr>
      <w:r>
        <w:rPr>
          <w:rFonts w:ascii="Aptos" w:hAnsi="Aptos" w:eastAsia="Aptos"/>
        </w:rPr>
        <w:t>The fastest path to a credible public documentation site is to split publication into three tracks.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E7F2EE"/>
            <w:vAlign w:val="center"/>
          </w:tcPr>
          <w:p>
            <w:pPr>
              <w:spacing w:after="0"/>
            </w:pPr>
            <w:r/>
            <w:r>
              <w:rPr>
                <w:rFonts w:ascii="Aptos" w:hAnsi="Aptos" w:eastAsia="Aptos"/>
                <w:b/>
                <w:sz w:val="20"/>
              </w:rPr>
              <w:t>Track</w:t>
            </w:r>
          </w:p>
        </w:tc>
        <w:tc>
          <w:tcPr>
            <w:tcW w:type="dxa" w:w="2436"/>
            <w:shd w:fill="E7F2EE"/>
            <w:vAlign w:val="center"/>
          </w:tcPr>
          <w:p>
            <w:pPr>
              <w:spacing w:after="0"/>
            </w:pPr>
            <w:r/>
            <w:r>
              <w:rPr>
                <w:rFonts w:ascii="Aptos" w:hAnsi="Aptos" w:eastAsia="Aptos"/>
                <w:b/>
                <w:sz w:val="20"/>
              </w:rPr>
              <w:t>Pages to ship first</w:t>
            </w:r>
          </w:p>
        </w:tc>
        <w:tc>
          <w:tcPr>
            <w:tcW w:type="dxa" w:w="2436"/>
            <w:shd w:fill="E7F2EE"/>
            <w:vAlign w:val="center"/>
          </w:tcPr>
          <w:p>
            <w:pPr>
              <w:spacing w:after="0"/>
            </w:pPr>
            <w:r/>
            <w:r>
              <w:rPr>
                <w:rFonts w:ascii="Aptos" w:hAnsi="Aptos" w:eastAsia="Aptos"/>
                <w:b/>
                <w:sz w:val="20"/>
              </w:rPr>
              <w:t>Owner</w:t>
            </w:r>
          </w:p>
        </w:tc>
        <w:tc>
          <w:tcPr>
            <w:tcW w:type="dxa" w:w="2436"/>
            <w:shd w:fill="E7F2EE"/>
            <w:vAlign w:val="center"/>
          </w:tcPr>
          <w:p>
            <w:pPr>
              <w:spacing w:after="0"/>
            </w:pPr>
            <w:r/>
            <w:r>
              <w:rPr>
                <w:rFonts w:ascii="Aptos" w:hAnsi="Aptos" w:eastAsia="Aptos"/>
                <w:b/>
                <w:sz w:val="20"/>
              </w:rPr>
              <w:t>Status</w:t>
            </w:r>
          </w:p>
        </w:tc>
      </w:tr>
      <w:tr>
        <w:tc>
          <w:tcPr>
            <w:tcW w:type="dxa" w:w="2436"/>
            <w:vAlign w:val="center"/>
          </w:tcPr>
          <w:p>
            <w:pPr>
              <w:spacing w:after="0"/>
            </w:pPr>
            <w:r/>
            <w:r>
              <w:rPr>
                <w:rFonts w:ascii="Aptos" w:hAnsi="Aptos" w:eastAsia="Aptos"/>
                <w:b w:val="0"/>
                <w:sz w:val="18"/>
              </w:rPr>
              <w:t>Public launch docs</w:t>
            </w:r>
          </w:p>
        </w:tc>
        <w:tc>
          <w:tcPr>
            <w:tcW w:type="dxa" w:w="2436"/>
            <w:vAlign w:val="center"/>
          </w:tcPr>
          <w:p>
            <w:pPr>
              <w:spacing w:after="0"/>
            </w:pPr>
            <w:r/>
            <w:r>
              <w:rPr>
                <w:rFonts w:ascii="Aptos" w:hAnsi="Aptos" w:eastAsia="Aptos"/>
                <w:b w:val="0"/>
                <w:sz w:val="18"/>
              </w:rPr>
              <w:t>Overview, supported networks, markets, fees, deposits/withdrawals, API quickstart, risk disclosure</w:t>
            </w:r>
          </w:p>
        </w:tc>
        <w:tc>
          <w:tcPr>
            <w:tcW w:type="dxa" w:w="2436"/>
            <w:vAlign w:val="center"/>
          </w:tcPr>
          <w:p>
            <w:pPr>
              <w:spacing w:after="0"/>
            </w:pPr>
            <w:r/>
            <w:r>
              <w:rPr>
                <w:rFonts w:ascii="Aptos" w:hAnsi="Aptos" w:eastAsia="Aptos"/>
                <w:b w:val="0"/>
                <w:sz w:val="18"/>
              </w:rPr>
              <w:t>Product + DevRel</w:t>
            </w:r>
          </w:p>
        </w:tc>
        <w:tc>
          <w:tcPr>
            <w:tcW w:type="dxa" w:w="2436"/>
            <w:vAlign w:val="center"/>
          </w:tcPr>
          <w:p>
            <w:pPr>
              <w:spacing w:after="0"/>
            </w:pPr>
            <w:r/>
            <w:r>
              <w:rPr>
                <w:rFonts w:ascii="Aptos" w:hAnsi="Aptos" w:eastAsia="Aptos"/>
                <w:b w:val="0"/>
                <w:sz w:val="18"/>
              </w:rPr>
              <w:t>Start immediately</w:t>
            </w:r>
          </w:p>
        </w:tc>
      </w:tr>
      <w:tr>
        <w:tc>
          <w:tcPr>
            <w:tcW w:type="dxa" w:w="2436"/>
            <w:vAlign w:val="center"/>
          </w:tcPr>
          <w:p>
            <w:pPr>
              <w:spacing w:after="0"/>
            </w:pPr>
            <w:r/>
            <w:r>
              <w:rPr>
                <w:rFonts w:ascii="Aptos" w:hAnsi="Aptos" w:eastAsia="Aptos"/>
                <w:b w:val="0"/>
                <w:sz w:val="18"/>
              </w:rPr>
              <w:t>Technical reference</w:t>
            </w:r>
          </w:p>
        </w:tc>
        <w:tc>
          <w:tcPr>
            <w:tcW w:type="dxa" w:w="2436"/>
            <w:vAlign w:val="center"/>
          </w:tcPr>
          <w:p>
            <w:pPr>
              <w:spacing w:after="0"/>
            </w:pPr>
            <w:r/>
            <w:r>
              <w:rPr>
                <w:rFonts w:ascii="Aptos" w:hAnsi="Aptos" w:eastAsia="Aptos"/>
                <w:b w:val="0"/>
                <w:sz w:val="18"/>
              </w:rPr>
              <w:t>REST schemas, websocket channels, signing, rate limits, errors, SDKs</w:t>
            </w:r>
          </w:p>
        </w:tc>
        <w:tc>
          <w:tcPr>
            <w:tcW w:type="dxa" w:w="2436"/>
            <w:vAlign w:val="center"/>
          </w:tcPr>
          <w:p>
            <w:pPr>
              <w:spacing w:after="0"/>
            </w:pPr>
            <w:r/>
            <w:r>
              <w:rPr>
                <w:rFonts w:ascii="Aptos" w:hAnsi="Aptos" w:eastAsia="Aptos"/>
                <w:b w:val="0"/>
                <w:sz w:val="18"/>
              </w:rPr>
              <w:t>Backend + DevRel</w:t>
            </w:r>
          </w:p>
        </w:tc>
        <w:tc>
          <w:tcPr>
            <w:tcW w:type="dxa" w:w="2436"/>
            <w:vAlign w:val="center"/>
          </w:tcPr>
          <w:p>
            <w:pPr>
              <w:spacing w:after="0"/>
            </w:pPr>
            <w:r/>
            <w:r>
              <w:rPr>
                <w:rFonts w:ascii="Aptos" w:hAnsi="Aptos" w:eastAsia="Aptos"/>
                <w:b w:val="0"/>
                <w:sz w:val="18"/>
              </w:rPr>
              <w:t>Start immediately</w:t>
            </w:r>
          </w:p>
        </w:tc>
      </w:tr>
      <w:tr>
        <w:tc>
          <w:tcPr>
            <w:tcW w:type="dxa" w:w="2436"/>
            <w:vAlign w:val="center"/>
          </w:tcPr>
          <w:p>
            <w:pPr>
              <w:spacing w:after="0"/>
            </w:pPr>
            <w:r/>
            <w:r>
              <w:rPr>
                <w:rFonts w:ascii="Aptos" w:hAnsi="Aptos" w:eastAsia="Aptos"/>
                <w:b w:val="0"/>
                <w:sz w:val="18"/>
              </w:rPr>
              <w:t>Internal ops docs</w:t>
            </w:r>
          </w:p>
        </w:tc>
        <w:tc>
          <w:tcPr>
            <w:tcW w:type="dxa" w:w="2436"/>
            <w:vAlign w:val="center"/>
          </w:tcPr>
          <w:p>
            <w:pPr>
              <w:spacing w:after="0"/>
            </w:pPr>
            <w:r/>
            <w:r>
              <w:rPr>
                <w:rFonts w:ascii="Aptos" w:hAnsi="Aptos" w:eastAsia="Aptos"/>
                <w:b w:val="0"/>
                <w:sz w:val="18"/>
              </w:rPr>
              <w:t>Runbooks, incident response, backups, failover, chain outage procedures</w:t>
            </w:r>
          </w:p>
        </w:tc>
        <w:tc>
          <w:tcPr>
            <w:tcW w:type="dxa" w:w="2436"/>
            <w:vAlign w:val="center"/>
          </w:tcPr>
          <w:p>
            <w:pPr>
              <w:spacing w:after="0"/>
            </w:pPr>
            <w:r/>
            <w:r>
              <w:rPr>
                <w:rFonts w:ascii="Aptos" w:hAnsi="Aptos" w:eastAsia="Aptos"/>
                <w:b w:val="0"/>
                <w:sz w:val="18"/>
              </w:rPr>
              <w:t>Infra + SRE</w:t>
            </w:r>
          </w:p>
        </w:tc>
        <w:tc>
          <w:tcPr>
            <w:tcW w:type="dxa" w:w="2436"/>
            <w:vAlign w:val="center"/>
          </w:tcPr>
          <w:p>
            <w:pPr>
              <w:spacing w:after="0"/>
            </w:pPr>
            <w:r/>
            <w:r>
              <w:rPr>
                <w:rFonts w:ascii="Aptos" w:hAnsi="Aptos" w:eastAsia="Aptos"/>
                <w:b w:val="0"/>
                <w:sz w:val="18"/>
              </w:rPr>
              <w:t>Start immediately</w:t>
            </w:r>
          </w:p>
        </w:tc>
      </w:tr>
      <w:tr>
        <w:tc>
          <w:tcPr>
            <w:tcW w:type="dxa" w:w="2436"/>
            <w:vAlign w:val="center"/>
          </w:tcPr>
          <w:p>
            <w:pPr>
              <w:spacing w:after="0"/>
            </w:pPr>
            <w:r/>
            <w:r>
              <w:rPr>
                <w:rFonts w:ascii="Aptos" w:hAnsi="Aptos" w:eastAsia="Aptos"/>
                <w:b w:val="0"/>
                <w:sz w:val="18"/>
              </w:rPr>
              <w:t>Tokenomics docs</w:t>
            </w:r>
          </w:p>
        </w:tc>
        <w:tc>
          <w:tcPr>
            <w:tcW w:type="dxa" w:w="2436"/>
            <w:vAlign w:val="center"/>
          </w:tcPr>
          <w:p>
            <w:pPr>
              <w:spacing w:after="0"/>
            </w:pPr>
            <w:r/>
            <w:r>
              <w:rPr>
                <w:rFonts w:ascii="Aptos" w:hAnsi="Aptos" w:eastAsia="Aptos"/>
                <w:b w:val="0"/>
                <w:sz w:val="18"/>
              </w:rPr>
              <w:t>IGNT utility, contract registry, supply, emissions/burns, governance</w:t>
            </w:r>
          </w:p>
        </w:tc>
        <w:tc>
          <w:tcPr>
            <w:tcW w:type="dxa" w:w="2436"/>
            <w:vAlign w:val="center"/>
          </w:tcPr>
          <w:p>
            <w:pPr>
              <w:spacing w:after="0"/>
            </w:pPr>
            <w:r/>
            <w:r>
              <w:rPr>
                <w:rFonts w:ascii="Aptos" w:hAnsi="Aptos" w:eastAsia="Aptos"/>
                <w:b w:val="0"/>
                <w:sz w:val="18"/>
              </w:rPr>
              <w:t>Finance + Foundation</w:t>
            </w:r>
          </w:p>
        </w:tc>
        <w:tc>
          <w:tcPr>
            <w:tcW w:type="dxa" w:w="2436"/>
            <w:vAlign w:val="center"/>
          </w:tcPr>
          <w:p>
            <w:pPr>
              <w:spacing w:after="0"/>
            </w:pPr>
            <w:r/>
            <w:r>
              <w:rPr>
                <w:rFonts w:ascii="Aptos" w:hAnsi="Aptos" w:eastAsia="Aptos"/>
                <w:b w:val="0"/>
                <w:sz w:val="18"/>
              </w:rPr>
              <w:t>Depends on final tokenomics freeze</w:t>
            </w:r>
          </w:p>
        </w:tc>
      </w:tr>
    </w:tbl>
    <w:p>
      <w:pPr>
        <w:spacing w:after="120"/>
      </w:pPr>
      <w:r>
        <w:rPr>
          <w:rFonts w:ascii="Aptos" w:hAnsi="Aptos" w:eastAsia="Aptos"/>
        </w:rPr>
        <w:t>Immediate documentation backlog:</w:t>
      </w:r>
    </w:p>
    <w:p>
      <w:pPr>
        <w:pStyle w:val="ListBullet"/>
        <w:spacing w:after="60"/>
        <w:ind w:left="340"/>
      </w:pPr>
      <w:r>
        <w:rPr>
          <w:rFonts w:ascii="Aptos" w:hAnsi="Aptos" w:eastAsia="Aptos"/>
          <w:sz w:val="21"/>
        </w:rPr>
        <w:t>Confirm the extractable source of the Ignite whitepaper so exact protocol parameters can replace recommendations.</w:t>
      </w:r>
    </w:p>
    <w:p>
      <w:pPr>
        <w:pStyle w:val="ListBullet"/>
        <w:spacing w:after="60"/>
        <w:ind w:left="340"/>
      </w:pPr>
      <w:r>
        <w:rPr>
          <w:rFonts w:ascii="Aptos" w:hAnsi="Aptos" w:eastAsia="Aptos"/>
          <w:sz w:val="21"/>
        </w:rPr>
        <w:t>Publish canonical contract addresses for IGNT on each supported network.</w:t>
      </w:r>
    </w:p>
    <w:p>
      <w:pPr>
        <w:pStyle w:val="ListBullet"/>
        <w:spacing w:after="60"/>
        <w:ind w:left="340"/>
      </w:pPr>
      <w:r>
        <w:rPr>
          <w:rFonts w:ascii="Aptos" w:hAnsi="Aptos" w:eastAsia="Aptos"/>
          <w:sz w:val="21"/>
        </w:rPr>
        <w:t>Freeze fee percentages, insurance-fund policy, liquidation fee routing, and builder/referral design.</w:t>
      </w:r>
    </w:p>
    <w:p>
      <w:pPr>
        <w:pStyle w:val="ListBullet"/>
        <w:spacing w:after="60"/>
        <w:ind w:left="340"/>
      </w:pPr>
      <w:r>
        <w:rPr>
          <w:rFonts w:ascii="Aptos" w:hAnsi="Aptos" w:eastAsia="Aptos"/>
          <w:sz w:val="21"/>
        </w:rPr>
        <w:t>Produce market metadata schema and first market listings sheet.</w:t>
      </w:r>
    </w:p>
    <w:p>
      <w:pPr>
        <w:pStyle w:val="ListBullet"/>
        <w:spacing w:after="60"/>
        <w:ind w:left="340"/>
      </w:pPr>
      <w:r>
        <w:rPr>
          <w:rFonts w:ascii="Aptos" w:hAnsi="Aptos" w:eastAsia="Aptos"/>
          <w:sz w:val="21"/>
        </w:rPr>
        <w:t>Write public API reference and example SDK snippets.</w:t>
      </w:r>
    </w:p>
    <w:p>
      <w:pPr>
        <w:pStyle w:val="ListBullet"/>
        <w:spacing w:after="60"/>
        <w:ind w:left="340"/>
      </w:pPr>
      <w:r>
        <w:rPr>
          <w:rFonts w:ascii="Aptos" w:hAnsi="Aptos" w:eastAsia="Aptos"/>
          <w:sz w:val="21"/>
        </w:rPr>
        <w:t>Create incident, maintenance, and chain-degradation communication templates.</w:t>
      </w:r>
    </w:p>
    <w:p>
      <w:pPr>
        <w:pStyle w:val="Heading1"/>
      </w:pPr>
      <w:r>
        <w:t>15. Source notes</w:t>
      </w:r>
    </w:p>
    <w:p>
      <w:pPr>
        <w:spacing w:after="120"/>
      </w:pPr>
      <w:r>
        <w:rPr>
          <w:rFonts w:ascii="Aptos" w:hAnsi="Aptos" w:eastAsia="Aptos"/>
        </w:rPr>
        <w:t>External benchmark pages consulted</w:t>
      </w:r>
    </w:p>
    <w:p>
      <w:pPr>
        <w:pStyle w:val="ListBullet"/>
        <w:spacing w:after="60"/>
        <w:ind w:left="340"/>
      </w:pPr>
      <w:r>
        <w:rPr>
          <w:rFonts w:ascii="Aptos" w:hAnsi="Aptos" w:eastAsia="Aptos"/>
          <w:sz w:val="21"/>
        </w:rPr>
        <w:t>Hyperliquid About page: https://hyperliquid.gitbook.io/hyperliquid-docs</w:t>
      </w:r>
    </w:p>
    <w:p>
      <w:pPr>
        <w:pStyle w:val="ListBullet"/>
        <w:spacing w:after="60"/>
        <w:ind w:left="340"/>
      </w:pPr>
      <w:r>
        <w:rPr>
          <w:rFonts w:ascii="Aptos" w:hAnsi="Aptos" w:eastAsia="Aptos"/>
          <w:sz w:val="21"/>
        </w:rPr>
        <w:t>Hyperliquid Trading Fees: https://hyperliquid.gitbook.io/hyperliquid-docs/trading/fees</w:t>
      </w:r>
    </w:p>
    <w:p>
      <w:pPr>
        <w:pStyle w:val="ListBullet"/>
        <w:spacing w:after="60"/>
        <w:ind w:left="340"/>
      </w:pPr>
      <w:r>
        <w:rPr>
          <w:rFonts w:ascii="Aptos" w:hAnsi="Aptos" w:eastAsia="Aptos"/>
          <w:sz w:val="21"/>
        </w:rPr>
        <w:t>Hyperliquid Funding: https://hyperliquid.gitbook.io/hyperliquid-docs/trading/funding</w:t>
      </w:r>
    </w:p>
    <w:p>
      <w:pPr>
        <w:pStyle w:val="ListBullet"/>
        <w:spacing w:after="60"/>
        <w:ind w:left="340"/>
      </w:pPr>
      <w:r>
        <w:rPr>
          <w:rFonts w:ascii="Aptos" w:hAnsi="Aptos" w:eastAsia="Aptos"/>
          <w:sz w:val="21"/>
        </w:rPr>
        <w:t>Hyperliquid Contract specifications: https://hyperliquid.gitbook.io/hyperliquid-docs/trading/contract-specifications</w:t>
      </w:r>
    </w:p>
    <w:p>
      <w:pPr>
        <w:pStyle w:val="ListBullet"/>
        <w:spacing w:after="60"/>
        <w:ind w:left="340"/>
      </w:pPr>
      <w:r>
        <w:rPr>
          <w:rFonts w:ascii="Aptos" w:hAnsi="Aptos" w:eastAsia="Aptos"/>
          <w:sz w:val="21"/>
        </w:rPr>
        <w:t>Hyperliquid API Exchange endpoint: https://hyperliquid.gitbook.io/hyperliquid-docs/for-developers/api/exchange-endpoint</w:t>
      </w:r>
    </w:p>
    <w:p>
      <w:pPr>
        <w:pStyle w:val="ListBullet"/>
        <w:spacing w:after="60"/>
        <w:ind w:left="340"/>
      </w:pPr>
      <w:r>
        <w:rPr>
          <w:rFonts w:ascii="Aptos" w:hAnsi="Aptos" w:eastAsia="Aptos"/>
          <w:sz w:val="21"/>
        </w:rPr>
        <w:t>Hyperliquid API Info endpoint: https://hyperliquid.gitbook.io/hyperliquid-docs/for-developers/api/info-endpoint</w:t>
      </w:r>
    </w:p>
    <w:p>
      <w:pPr>
        <w:pStyle w:val="ListBullet"/>
        <w:spacing w:after="60"/>
        <w:ind w:left="340"/>
      </w:pPr>
      <w:r>
        <w:rPr>
          <w:rFonts w:ascii="Aptos" w:hAnsi="Aptos" w:eastAsia="Aptos"/>
          <w:sz w:val="21"/>
        </w:rPr>
        <w:t>Ignite whitepaper landing page supplied by user: https://whitepaper.ignite.ac/</w:t>
      </w:r>
    </w:p>
    <w:p>
      <w:pPr>
        <w:spacing w:after="120"/>
      </w:pPr>
      <w:r>
        <w:rPr>
          <w:rFonts w:ascii="Aptos" w:hAnsi="Aptos" w:eastAsia="Aptos"/>
          <w:color w:val="5A6370"/>
        </w:rPr>
        <w:t>Note on sources: the Ignite whitepaper landing page was reachable by URL but its underlying page text was not machine-extractable in this environment. Because of that, this document distinguishes hard Ignite facts from recommended design choices instead of claiming unsupported whitepaper specifics.</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0"/>
        <w:sz w:val="18"/>
      </w:rPr>
      <w:t>Ignite DEX documentation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05BC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05BC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05BC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1A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