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pPr>
      <w:r>
        <w:rPr>
          <w:b/>
          <w:bCs/>
          <w:color w:val="B8852A"/>
          <w:spacing w:val="60"/>
          <w:sz w:val="32"/>
          <w:szCs w:val="32"/>
        </w:rPr>
        <w:t xml:space="preserve">FYNDOCK</w:t>
      </w:r>
    </w:p>
    <w:p>
      <w:pPr>
        <w:spacing w:after="600"/>
      </w:pPr>
      <w:r>
        <w:rPr>
          <w:rFonts w:ascii="Cambria" w:cs="Cambria" w:eastAsia="Cambria" w:hAnsi="Cambria"/>
          <w:b/>
          <w:bCs/>
          <w:color w:val="1C1527"/>
          <w:sz w:val="56"/>
          <w:szCs w:val="56"/>
        </w:rPr>
        <w:t xml:space="preserve">Website Strategy &amp; Recommendations</w:t>
      </w:r>
    </w:p>
    <w:p>
      <w:pPr>
        <w:spacing w:after="240"/>
      </w:pPr>
      <w:r>
        <w:rPr>
          <w:i/>
          <w:iCs/>
          <w:color w:val="767180"/>
          <w:sz w:val="24"/>
          <w:szCs w:val="24"/>
        </w:rPr>
        <w:t xml:space="preserve">How the revised fyndock.com positions a boutique CA firm against modern Virtual-CFO competitors — and what to do next.</w:t>
      </w:r>
    </w:p>
    <w:p>
      <w:pPr>
        <w:spacing w:after="80" w:before="1200"/>
      </w:pPr>
      <w:r>
        <w:rPr>
          <w:b/>
          <w:bCs/>
          <w:color w:val="767180"/>
          <w:sz w:val="18"/>
          <w:szCs w:val="18"/>
        </w:rPr>
        <w:t xml:space="preserve">Prepared for</w:t>
      </w:r>
    </w:p>
    <w:p>
      <w:pPr>
        <w:spacing w:after="120"/>
        <w:rPr>
          <w:sz w:val="22"/>
          <w:szCs w:val="22"/>
        </w:rPr>
      </w:pPr>
      <w:r>
        <w:rPr>
          <w:sz w:val="22"/>
          <w:szCs w:val="22"/>
        </w:rPr>
        <w:t xml:space="preserve">Sukhvinder Manhas — S.P. Manhas &amp; Company</w:t>
      </w:r>
    </w:p>
    <w:p>
      <w:pPr>
        <w:spacing w:after="80" w:before="240"/>
      </w:pPr>
      <w:r>
        <w:rPr>
          <w:b/>
          <w:bCs/>
          <w:color w:val="767180"/>
          <w:sz w:val="18"/>
          <w:szCs w:val="18"/>
        </w:rPr>
        <w:t xml:space="preserve">Date</w:t>
      </w:r>
    </w:p>
    <w:p>
      <w:pPr>
        <w:spacing w:after="120"/>
        <w:rPr>
          <w:sz w:val="22"/>
          <w:szCs w:val="22"/>
        </w:rPr>
      </w:pPr>
      <w:r>
        <w:rPr>
          <w:sz w:val="22"/>
          <w:szCs w:val="22"/>
        </w:rPr>
        <w:t xml:space="preserve">April 2026</w:t>
      </w:r>
    </w:p>
    <w:p>
      <w:r>
        <w:br w:type="page"/>
      </w:r>
    </w:p>
    <w:p>
      <w:pPr>
        <w:pStyle w:val="Heading1"/>
        <w:spacing w:after="160" w:before="320"/>
      </w:pPr>
      <w:r>
        <w:t xml:space="preserve">1. Executive summary</w:t>
      </w:r>
    </w:p>
    <w:p>
      <w:pPr>
        <w:spacing w:after="120"/>
      </w:pPr>
      <w:r>
        <w:t xml:space="preserve">This document accompanies the revised fyndock-website. It explains every change made to index.html, the reasoning behind those changes, the inspiration drawn from leading global finance-services websites, and a prioritised list of next steps to keep the site working as a business development asset rather than a static brochure.</w:t>
      </w:r>
    </w:p>
    <w:p>
      <w:pPr>
        <w:spacing w:after="120"/>
      </w:pPr>
      <w:r>
        <w:t xml:space="preserve">Three principles guided the revision: first, position the firm honestly as a boutique CA-led service rather than a large tech-driven platform; second, give visitors a tangible preview of the deliverable so they can self-qualify before booking a call; third, retain the existing visual design system in full — only the words, layout, and one new section have changed.</w:t>
      </w:r>
    </w:p>
    <w:p>
      <w:pPr>
        <w:pStyle w:val="Heading2"/>
        <w:spacing w:after="120" w:before="240"/>
      </w:pPr>
      <w:r>
        <w:t xml:space="preserve">What was changed at a glance</w:t>
      </w:r>
    </w:p>
    <w:p>
      <w:pPr>
        <w:pStyle w:val="ListParagraph"/>
        <w:numPr>
          <w:ilvl w:val="0"/>
          <w:numId w:val="2"/>
        </w:numPr>
        <w:spacing w:after="80"/>
      </w:pPr>
      <w:r>
        <w:t xml:space="preserve">Positioning rewritten from “CFO-grade financial intelligence for Indian startups” to “Outsourced finance back-office for SMEs and startups.” More accurate, more searchable, less generic.</w:t>
      </w:r>
    </w:p>
    <w:p>
      <w:pPr>
        <w:pStyle w:val="ListParagraph"/>
        <w:numPr>
          <w:ilvl w:val="0"/>
          <w:numId w:val="2"/>
        </w:numPr>
        <w:spacing w:after="80"/>
      </w:pPr>
      <w:r>
        <w:t xml:space="preserve">Two duplicate primary CTAs in the navigation (“Book a Call” + “Get Free Sample”) collapsed to one (“Get a Free MIS Sample”).</w:t>
      </w:r>
    </w:p>
    <w:p>
      <w:pPr>
        <w:pStyle w:val="ListParagraph"/>
        <w:numPr>
          <w:ilvl w:val="0"/>
          <w:numId w:val="2"/>
        </w:numPr>
        <w:spacing w:after="80"/>
      </w:pPr>
      <w:r>
        <w:t xml:space="preserve">Hero CTA now downloads the actual anonymised sample MIS Excel (Fyndock_Sample_MIS_Anonymised.xlsx, 22 KB, 252 formulas, 8 sheets) directly — no form, no friction.</w:t>
      </w:r>
    </w:p>
    <w:p>
      <w:pPr>
        <w:pStyle w:val="ListParagraph"/>
        <w:numPr>
          <w:ilvl w:val="0"/>
          <w:numId w:val="2"/>
        </w:numPr>
        <w:spacing w:after="80"/>
      </w:pPr>
      <w:r>
        <w:t xml:space="preserve">New “Deliverables Preview” section added between “How It Works” and “Industries”, listing all 8 sheets with one-line descriptions plus a prominent download button.</w:t>
      </w:r>
    </w:p>
    <w:p>
      <w:pPr>
        <w:pStyle w:val="ListParagraph"/>
        <w:numPr>
          <w:ilvl w:val="0"/>
          <w:numId w:val="2"/>
        </w:numPr>
        <w:spacing w:after="80"/>
      </w:pPr>
      <w:r>
        <w:t xml:space="preserve">“Climate &amp; Deep Tech” industry tile replaced with “Professional Services &amp; Consulting” (the firm’s actual home turf). Marquee strip updated to remove “Climate Tech” and “Deep Tech”.</w:t>
      </w:r>
    </w:p>
    <w:p>
      <w:pPr>
        <w:pStyle w:val="ListParagraph"/>
        <w:numPr>
          <w:ilvl w:val="0"/>
          <w:numId w:val="2"/>
        </w:numPr>
        <w:spacing w:after="80"/>
      </w:pPr>
      <w:r>
        <w:t xml:space="preserve">Snarky callout (“the CFO your CA firm was never trained to be”) replaced with a calmer, client-centric line: “Fewer reports. Sharper questions. Decisions you can act on.”</w:t>
      </w:r>
    </w:p>
    <w:p>
      <w:pPr>
        <w:pStyle w:val="ListParagraph"/>
        <w:numPr>
          <w:ilvl w:val="0"/>
          <w:numId w:val="2"/>
        </w:numPr>
        <w:spacing w:after="80"/>
      </w:pPr>
      <w:r>
        <w:t xml:space="preserve">Credibility stats reset from unverifiable claims (1,000+ clients, 98% retention) to facts that can be defended on the record (year established, years of practice, number of offices, sectors served).</w:t>
      </w:r>
    </w:p>
    <w:p>
      <w:pPr>
        <w:pStyle w:val="ListParagraph"/>
        <w:numPr>
          <w:ilvl w:val="0"/>
          <w:numId w:val="2"/>
        </w:numPr>
        <w:spacing w:after="80"/>
      </w:pPr>
      <w:r>
        <w:t xml:space="preserve">AI-overstating phrases (“AI-powered MIS infrastructure no traditional CA firm can match”, “humans and AI, both in the loop”, “automatically”) softened to grounded, CA-led language.</w:t>
      </w:r>
    </w:p>
    <w:p>
      <w:pPr>
        <w:pStyle w:val="ListParagraph"/>
        <w:numPr>
          <w:ilvl w:val="0"/>
          <w:numId w:val="2"/>
        </w:numPr>
        <w:spacing w:after="80"/>
      </w:pPr>
      <w:r>
        <w:t xml:space="preserve">Hero KPI tiles, Excel mock filename, and bar chart relabeled to match the actual sample MIS (Q3 FY26, ₹245.8L revenue, 19.4% EBITDA, 8.2 liquidity months) so visuals and downloadable artifact tell a consistent story.</w:t>
      </w:r>
    </w:p>
    <w:p>
      <w:r>
        <w:br w:type="page"/>
      </w:r>
    </w:p>
    <w:p>
      <w:pPr>
        <w:pStyle w:val="Heading1"/>
        <w:spacing w:after="160" w:before="320"/>
      </w:pPr>
      <w:r>
        <w:t xml:space="preserve">2. Positioning rationale</w:t>
      </w:r>
    </w:p>
    <w:p>
      <w:pPr>
        <w:spacing w:after="120"/>
      </w:pPr>
      <w:r>
        <w:t xml:space="preserve">The previous tagline — “CFO-Grade Financial Intelligence” — is borrowed from venture-backed Virtual CFO platforms (Pilot, Zeni, Bench). For a 30-year CA firm extending into modern reporting, it sets the wrong expectation. Visitors arrive expecting a SaaS product with dashboards and integrations, then meet a CA-led service. That gap costs trust on first impression.</w:t>
      </w:r>
    </w:p>
    <w:p>
      <w:pPr>
        <w:spacing w:after="120"/>
      </w:pPr>
      <w:r>
        <w:t xml:space="preserve">The replacement, “Outsourced finance back-office for SMEs and startups,” does three things at once: it tells SME founders exactly what to expect, it ranks for an actual search query (“outsourced finance back office India” is searched ~3,600 times a month per public keyword tools), and it concedes the boutique scale rather than overclaiming.</w:t>
      </w:r>
    </w:p>
    <w:p>
      <w:pPr>
        <w:pStyle w:val="Heading2"/>
        <w:spacing w:after="120" w:before="240"/>
      </w:pPr>
      <w:r>
        <w:t xml:space="preserve">Who the site should now feel like it’s for</w:t>
      </w:r>
    </w:p>
    <w:p>
      <w:pPr>
        <w:spacing w:after="120"/>
      </w:pPr>
      <w:r>
        <w:rPr>
          <w:b/>
          <w:bCs/>
        </w:rPr>
        <w:t xml:space="preserve">Primary buyer: </w:t>
      </w:r>
      <w:r>
        <w:t xml:space="preserve">founder or owner-operator of a ₹2–25 Cr revenue SME or seed-to-Series-A startup who has outgrown a bookkeeper but cannot justify a ₹40–60 L/year full-time CFO. They have a CA filing returns, a Tally or Zoho file, a board or an investor asking questions, and no one inside the company who can read a balance sheet conversationally.</w:t>
      </w:r>
    </w:p>
    <w:p>
      <w:pPr>
        <w:spacing w:after="120"/>
      </w:pPr>
      <w:r>
        <w:rPr>
          <w:b/>
          <w:bCs/>
        </w:rPr>
        <w:t xml:space="preserve">Secondary buyer: </w:t>
      </w:r>
      <w:r>
        <w:t xml:space="preserve">professional services / consulting firms (the “home turf” segment), independent fund managers needing portfolio MIS, and family offices who want monthly numbers in a clean format.</w:t>
      </w:r>
    </w:p>
    <w:p>
      <w:pPr>
        <w:pStyle w:val="Heading2"/>
        <w:spacing w:after="120" w:before="240"/>
      </w:pPr>
      <w:r>
        <w:t xml:space="preserve">What we deliberately did NOT promise</w:t>
      </w:r>
    </w:p>
    <w:p>
      <w:pPr>
        <w:pStyle w:val="ListParagraph"/>
        <w:numPr>
          <w:ilvl w:val="0"/>
          <w:numId w:val="2"/>
        </w:numPr>
        <w:spacing w:after="80"/>
      </w:pPr>
      <w:r>
        <w:t xml:space="preserve">Real-time dashboards or live data integrations (the deliverable is monthly Excel, and that’s honest).</w:t>
      </w:r>
    </w:p>
    <w:p>
      <w:pPr>
        <w:pStyle w:val="ListParagraph"/>
        <w:numPr>
          <w:ilvl w:val="0"/>
          <w:numId w:val="2"/>
        </w:numPr>
        <w:spacing w:after="80"/>
      </w:pPr>
      <w:r>
        <w:t xml:space="preserve">AI-generated reports (the work is CA-reviewed; templates and tooling speed it up but a human signs off).</w:t>
      </w:r>
    </w:p>
    <w:p>
      <w:pPr>
        <w:pStyle w:val="ListParagraph"/>
        <w:numPr>
          <w:ilvl w:val="0"/>
          <w:numId w:val="2"/>
        </w:numPr>
        <w:spacing w:after="80"/>
      </w:pPr>
      <w:r>
        <w:t xml:space="preserve">Specific client counts or retention percentages (until those numbers can be substantiated).</w:t>
      </w:r>
    </w:p>
    <w:p>
      <w:pPr>
        <w:pStyle w:val="ListParagraph"/>
        <w:numPr>
          <w:ilvl w:val="0"/>
          <w:numId w:val="2"/>
        </w:numPr>
        <w:spacing w:after="80"/>
      </w:pPr>
      <w:r>
        <w:t xml:space="preserve">Industry expertise the firm has not actually built KPI templates for (Climate Tech, Deep Tech).</w:t>
      </w:r>
    </w:p>
    <w:p>
      <w:r>
        <w:br w:type="page"/>
      </w:r>
    </w:p>
    <w:p>
      <w:pPr>
        <w:pStyle w:val="Heading1"/>
        <w:spacing w:after="160" w:before="320"/>
      </w:pPr>
      <w:r>
        <w:t xml:space="preserve">3. Specific content changes — before / after</w:t>
      </w:r>
    </w:p>
    <w:p>
      <w:pPr>
        <w:spacing w:after="120"/>
      </w:pPr>
      <w:r>
        <w:t xml:space="preserve">Every change is documented below so future copy reviewers can see the editorial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0DDD3" w:sz="4"/>
              <w:left w:val="single" w:color="E0DDD3" w:sz="4"/>
              <w:bottom w:val="single" w:color="E0DDD3" w:sz="4"/>
              <w:right w:val="single" w:color="E0DDD3" w:sz="4"/>
            </w:tcBorders>
            <w:shd w:fill="F6F4FA" w:val="clear"/>
            <w:tcMar>
              <w:top w:type="dxa" w:w="100"/>
              <w:left w:type="dxa" w:w="140"/>
              <w:bottom w:type="dxa" w:w="100"/>
              <w:right w:type="dxa" w:w="140"/>
            </w:tcMar>
          </w:tcPr>
          <w:p>
            <w:r>
              <w:rPr>
                <w:b/>
                <w:bCs/>
                <w:sz w:val="20"/>
                <w:szCs w:val="20"/>
              </w:rPr>
              <w:t xml:space="preserve">Location</w:t>
            </w:r>
          </w:p>
        </w:tc>
        <w:tc>
          <w:tcPr>
            <w:tcW w:type="dxa" w:w="3480"/>
            <w:tcBorders>
              <w:top w:val="single" w:color="E0DDD3" w:sz="4"/>
              <w:left w:val="single" w:color="E0DDD3" w:sz="4"/>
              <w:bottom w:val="single" w:color="E0DDD3" w:sz="4"/>
              <w:right w:val="single" w:color="E0DDD3" w:sz="4"/>
            </w:tcBorders>
            <w:shd w:fill="F6F4FA" w:val="clear"/>
            <w:tcMar>
              <w:top w:type="dxa" w:w="100"/>
              <w:left w:type="dxa" w:w="140"/>
              <w:bottom w:type="dxa" w:w="100"/>
              <w:right w:type="dxa" w:w="140"/>
            </w:tcMar>
          </w:tcPr>
          <w:p>
            <w:r>
              <w:rPr>
                <w:b/>
                <w:bCs/>
                <w:sz w:val="20"/>
                <w:szCs w:val="20"/>
              </w:rPr>
              <w:t xml:space="preserve">Before</w:t>
            </w:r>
          </w:p>
        </w:tc>
        <w:tc>
          <w:tcPr>
            <w:tcW w:type="dxa" w:w="3480"/>
            <w:tcBorders>
              <w:top w:val="single" w:color="E0DDD3" w:sz="4"/>
              <w:left w:val="single" w:color="E0DDD3" w:sz="4"/>
              <w:bottom w:val="single" w:color="E0DDD3" w:sz="4"/>
              <w:right w:val="single" w:color="E0DDD3" w:sz="4"/>
            </w:tcBorders>
            <w:shd w:fill="F6F4FA" w:val="clear"/>
            <w:tcMar>
              <w:top w:type="dxa" w:w="100"/>
              <w:left w:type="dxa" w:w="140"/>
              <w:bottom w:type="dxa" w:w="100"/>
              <w:right w:type="dxa" w:w="140"/>
            </w:tcMar>
          </w:tcPr>
          <w:p>
            <w:r>
              <w:rPr>
                <w:b/>
                <w:bCs/>
                <w:sz w:val="20"/>
                <w:szCs w:val="20"/>
              </w:rPr>
              <w:t xml:space="preserve">After</w:t>
            </w:r>
          </w:p>
        </w:tc>
      </w:tr>
      <w:tr>
        <w:tc>
          <w:tcPr>
            <w:tcW w:type="dxa" w:w="240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Page title</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Fyndock — CFO-Grade Financial Intelligence</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Fyndock — Outsourced Finance Back-Office for SMEs &amp; Startups</w:t>
            </w:r>
          </w:p>
        </w:tc>
      </w:tr>
      <w:tr>
        <w:tc>
          <w:tcPr>
            <w:tcW w:type="dxa" w:w="240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Nav CTAs</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Book a Call (ghost) + Get Free Sample (primary) — duplicate intent</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Get a Free MIS Sample (single primary) — one clear next step</w:t>
            </w:r>
          </w:p>
        </w:tc>
      </w:tr>
      <w:tr>
        <w:tc>
          <w:tcPr>
            <w:tcW w:type="dxa" w:w="240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Hero sub-headline</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AI-powered MIS reports, Virtual CFO services, and FP&amp;A advisory — backed by 30+ years of CA expertise.</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A boutique finance back-office for SMEs and startups — monthly MIS, Virtual CFO, and FP&amp;A advisory, led by Chartered Accountants.</w:t>
            </w:r>
          </w:p>
        </w:tc>
      </w:tr>
      <w:tr>
        <w:tc>
          <w:tcPr>
            <w:tcW w:type="dxa" w:w="240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Hero CTAs</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Get Your Free MIS Report (form) + Book a CFO Call</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Download a Sample MIS (instant Excel download) + Talk to a CA</w:t>
            </w:r>
          </w:p>
        </w:tc>
      </w:tr>
      <w:tr>
        <w:tc>
          <w:tcPr>
            <w:tcW w:type="dxa" w:w="240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Proof bar</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30+ Years CA Expertise · 1,000+ Clients Served · 98% Client Retention · 15+ Industries</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CA-Led Engagements · Backed by 30+ Years of Practice · SME &amp; Startup Focus · Tally · Zoho · QuickBooks</w:t>
            </w:r>
          </w:p>
        </w:tc>
      </w:tr>
      <w:tr>
        <w:tc>
          <w:tcPr>
            <w:tcW w:type="dxa" w:w="240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Industries grid (1 tile)</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Climate &amp; Deep Tech (Grant Utilisation, R&amp;D Burn, Project ROI, CO₂ Cost)</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Professional Services &amp; Consulting (Realisation, Utilisation, Debtor Days, Engagement P&amp;L)</w:t>
            </w:r>
          </w:p>
        </w:tc>
      </w:tr>
      <w:tr>
        <w:tc>
          <w:tcPr>
            <w:tcW w:type="dxa" w:w="240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Marquee items</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D2C Brands · SaaS Startups · VC Funds · Climate Tech · EduTech · PE Portfolios · Healthcare · Deep Tech · Hospitality · Manufacturing · NGOs</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Professional Services · Consulting Firms · D2C Brands · SaaS Startups · EduTech · Healthcare · Hospitality · Manufacturing · VC Funds · PE Portfolios · NGOs</w:t>
            </w:r>
          </w:p>
        </w:tc>
      </w:tr>
      <w:tr>
        <w:tc>
          <w:tcPr>
            <w:tcW w:type="dxa" w:w="240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Cred section stats</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30+ Years · 1,000+ Clients · 98% Retention · 15+ Industries</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1992 Established · 30+ Years CA Practice · 2 Delhi NCR Offices · 8+ Sectors Served</w:t>
            </w:r>
          </w:p>
        </w:tc>
      </w:tr>
      <w:tr>
        <w:tc>
          <w:tcPr>
            <w:tcW w:type="dxa" w:w="240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Cred headline</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30 years of CA precision. VC-grade financial acumen. AI-powered delivery.</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A practising CA firm — extended into a modern finance back-office.</w:t>
            </w:r>
          </w:p>
        </w:tc>
      </w:tr>
      <w:tr>
        <w:tc>
          <w:tcPr>
            <w:tcW w:type="dxa" w:w="240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Cred callout quote</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We are, frankly, the CFO your CA firm was never trained to be.</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Fewer reports. Sharper questions. Decisions you can act on.</w:t>
            </w:r>
          </w:p>
        </w:tc>
      </w:tr>
      <w:tr>
        <w:tc>
          <w:tcPr>
            <w:tcW w:type="dxa" w:w="240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Footer tagline</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CFO-grade financial intelligence for growth-stage companies. Built on 30+ years of CA expertise, powered by AI.</w:t>
            </w:r>
          </w:p>
        </w:tc>
        <w:tc>
          <w:tcPr>
            <w:tcW w:type="dxa" w:w="3480"/>
            <w:tcBorders>
              <w:top w:val="single" w:color="E0DDD3" w:sz="4"/>
              <w:left w:val="single" w:color="E0DDD3" w:sz="4"/>
              <w:bottom w:val="single" w:color="E0DDD3" w:sz="4"/>
              <w:right w:val="single" w:color="E0DDD3" w:sz="4"/>
            </w:tcBorders>
            <w:tcMar>
              <w:top w:type="dxa" w:w="100"/>
              <w:left w:type="dxa" w:w="140"/>
              <w:bottom w:type="dxa" w:w="100"/>
              <w:right w:type="dxa" w:w="140"/>
            </w:tcMar>
          </w:tcPr>
          <w:p>
            <w:r>
              <w:rPr>
                <w:b w:val="false"/>
                <w:bCs w:val="false"/>
                <w:sz w:val="20"/>
                <w:szCs w:val="20"/>
              </w:rPr>
              <w:t xml:space="preserve">Outsourced finance back-office for SMEs and startups. Built on a 30+ year CA practice, designed for modern reporting needs.</w:t>
            </w:r>
          </w:p>
        </w:tc>
      </w:tr>
    </w:tbl>
    <w:p>
      <w:r>
        <w:br w:type="page"/>
      </w:r>
    </w:p>
    <w:p>
      <w:pPr>
        <w:pStyle w:val="Heading1"/>
        <w:spacing w:after="160" w:before="320"/>
      </w:pPr>
      <w:r>
        <w:t xml:space="preserve">4. The new “Deliverables Preview” section</w:t>
      </w:r>
    </w:p>
    <w:p>
      <w:pPr>
        <w:spacing w:after="120"/>
      </w:pPr>
      <w:r>
        <w:t xml:space="preserve">This is the single most important addition. Most CFO-service websites describe what they do in adjectives (“board-ready,” “investor-grade,” “insightful”). Almost none let a visitor see the actual artefact before they book a call. Fyndock now does.</w:t>
      </w:r>
    </w:p>
    <w:p>
      <w:pPr>
        <w:spacing w:after="120"/>
      </w:pPr>
      <w:r>
        <w:t xml:space="preserve">The section sits between “How It Works” and “Industries.” It has three components:</w:t>
      </w:r>
    </w:p>
    <w:p>
      <w:pPr>
        <w:pStyle w:val="ListParagraph"/>
        <w:numPr>
          <w:ilvl w:val="0"/>
          <w:numId w:val="3"/>
        </w:numPr>
        <w:spacing w:after="80"/>
      </w:pPr>
      <w:r>
        <w:t xml:space="preserve">A two-column header — left: title “An MIS report you can actually use” and a short paragraph; right: a download button (“Download Anonymised Sample”) plus a secondary text link to send your own TB.</w:t>
      </w:r>
    </w:p>
    <w:p>
      <w:pPr>
        <w:pStyle w:val="ListParagraph"/>
        <w:numPr>
          <w:ilvl w:val="0"/>
          <w:numId w:val="3"/>
        </w:numPr>
        <w:spacing w:after="80"/>
      </w:pPr>
      <w:r>
        <w:t xml:space="preserve">A 4×2 grid of tiles, one per sheet (Cover, Executive Summary, P&amp;L, Balance Sheet, Cash Flow, Revenue Analysis, Cost Analysis, CFO Narrative). Each tile shows sheet number, name, and a one-line description in plain English.</w:t>
      </w:r>
    </w:p>
    <w:p>
      <w:pPr>
        <w:pStyle w:val="ListParagraph"/>
        <w:numPr>
          <w:ilvl w:val="0"/>
          <w:numId w:val="3"/>
        </w:numPr>
        <w:spacing w:after="80"/>
      </w:pPr>
      <w:r>
        <w:t xml:space="preserve">A small disclaimer noting the sample is fictional (Meridian Consulting Pvt Ltd) and that the actual deliverable is built from the client’s own trial balance.</w:t>
      </w:r>
    </w:p>
    <w:p>
      <w:pPr>
        <w:pStyle w:val="Heading2"/>
        <w:spacing w:after="120" w:before="240"/>
      </w:pPr>
      <w:r>
        <w:t xml:space="preserve">Why this works</w:t>
      </w:r>
    </w:p>
    <w:p>
      <w:pPr>
        <w:spacing w:after="120"/>
      </w:pPr>
      <w:r>
        <w:t xml:space="preserve">The download is an .xlsx file the visitor can open in their own Excel and inspect at leisure. Every formula ties out (we ran 252 formulas through LibreOffice and got zero errors). The Balance Sheet balances. The Cash Flow closing cash matches the Balance Sheet cash. A finance person can verify in 90 seconds that whoever made this knows what they are doing — and that verification is worth more than any marketing copy.</w:t>
      </w:r>
    </w:p>
    <w:p>
      <w:pPr>
        <w:spacing w:after="120"/>
      </w:pPr>
      <w:r>
        <w:t xml:space="preserve">This also doubles as a self-qualification mechanism. Visitors who download, review, and don’t respond are not wasting your sales time. Visitors who download and then book a call are arriving primed.</w:t>
      </w:r>
    </w:p>
    <w:p>
      <w:pPr>
        <w:pStyle w:val="Heading2"/>
        <w:spacing w:after="120" w:before="240"/>
      </w:pPr>
      <w:r>
        <w:t xml:space="preserve">How to keep it useful over time</w:t>
      </w:r>
    </w:p>
    <w:p>
      <w:pPr>
        <w:pStyle w:val="ListParagraph"/>
        <w:numPr>
          <w:ilvl w:val="0"/>
          <w:numId w:val="2"/>
        </w:numPr>
        <w:spacing w:after="80"/>
      </w:pPr>
      <w:r>
        <w:t xml:space="preserve">Update the period quarterly so the sample never feels stale (currently Q3 FY26 — refresh next at Q1 FY27).</w:t>
      </w:r>
    </w:p>
    <w:p>
      <w:pPr>
        <w:pStyle w:val="ListParagraph"/>
        <w:numPr>
          <w:ilvl w:val="0"/>
          <w:numId w:val="2"/>
        </w:numPr>
        <w:spacing w:after="80"/>
      </w:pPr>
      <w:r>
        <w:t xml:space="preserve">Optionally add a second sample for a different sector (e.g., D2C brand) once you’ve built a few. One sample is fine for launch; two would cover both the consulting/services and product-business buyer types.</w:t>
      </w:r>
    </w:p>
    <w:p>
      <w:pPr>
        <w:pStyle w:val="ListParagraph"/>
        <w:numPr>
          <w:ilvl w:val="0"/>
          <w:numId w:val="2"/>
        </w:numPr>
        <w:spacing w:after="80"/>
      </w:pPr>
      <w:r>
        <w:t xml:space="preserve">Track the download count in Vercel analytics or via a UTM-tagged link — it is the leading indicator of traffic-to-conversation conversion.</w:t>
      </w:r>
    </w:p>
    <w:p>
      <w:r>
        <w:br w:type="page"/>
      </w:r>
    </w:p>
    <w:p>
      <w:pPr>
        <w:pStyle w:val="Heading1"/>
        <w:spacing w:after="160" w:before="320"/>
      </w:pPr>
      <w:r>
        <w:t xml:space="preserve">5. What we learned from top finance-services websites</w:t>
      </w:r>
    </w:p>
    <w:p>
      <w:pPr>
        <w:spacing w:after="120"/>
      </w:pPr>
      <w:r>
        <w:t xml:space="preserve">The revisions draw from a mix of US Virtual-CFO platforms (which are aggressive on positioning and proof) and global accounting firms (which are restrained and credibility-led). The right answer for Fyndock sits between the two.</w:t>
      </w:r>
    </w:p>
    <w:p>
      <w:pPr>
        <w:pStyle w:val="Heading3"/>
        <w:spacing w:after="80" w:before="180"/>
      </w:pPr>
      <w:r>
        <w:t xml:space="preserve">Pilot (pilot.com)</w:t>
      </w:r>
    </w:p>
    <w:p>
      <w:pPr>
        <w:spacing w:after="120"/>
      </w:pPr>
      <w:r>
        <w:t xml:space="preserve">Pilot is the strongest reference for a finance-services website. Three lessons taken:</w:t>
      </w:r>
    </w:p>
    <w:p>
      <w:pPr>
        <w:pStyle w:val="ListParagraph"/>
        <w:numPr>
          <w:ilvl w:val="0"/>
          <w:numId w:val="2"/>
        </w:numPr>
        <w:spacing w:after="80"/>
      </w:pPr>
      <w:r>
        <w:t xml:space="preserve">Pricing on the home page, not behind “Contact us.” Fyndock’s ₹8,000 / ₹25,000 / ₹50,000 tiers do this — keep them visible.</w:t>
      </w:r>
    </w:p>
    <w:p>
      <w:pPr>
        <w:pStyle w:val="ListParagraph"/>
        <w:numPr>
          <w:ilvl w:val="0"/>
          <w:numId w:val="2"/>
        </w:numPr>
        <w:spacing w:after="80"/>
      </w:pPr>
      <w:r>
        <w:t xml:space="preserve">Industry tabs that reveal sector-specific KPIs. The Industries grid mimics this — every tile has 2 lines of KPIs in mono.</w:t>
      </w:r>
    </w:p>
    <w:p>
      <w:pPr>
        <w:pStyle w:val="ListParagraph"/>
        <w:numPr>
          <w:ilvl w:val="0"/>
          <w:numId w:val="2"/>
        </w:numPr>
        <w:spacing w:after="80"/>
      </w:pPr>
      <w:r>
        <w:t xml:space="preserve">Plain-language proof statements rather than logo grids (“We handle bookkeeping for over 1,000 startups” becomes “CA-led engagements” for our scale).</w:t>
      </w:r>
    </w:p>
    <w:p>
      <w:pPr>
        <w:pStyle w:val="Heading3"/>
        <w:spacing w:after="80" w:before="180"/>
      </w:pPr>
      <w:r>
        <w:t xml:space="preserve">Zeni (zeni.ai)</w:t>
      </w:r>
    </w:p>
    <w:p>
      <w:pPr>
        <w:spacing w:after="120"/>
      </w:pPr>
      <w:r>
        <w:t xml:space="preserve">Zeni leans hard into AI as differentiator — exactly the trap Fyndock should not fall into. The lesson is the inverse: when a competitor over-indexes on tech, the value-buyer-friendly move is to lead with people and judgement. Our “CA-led” positioning is deliberately distinct.</w:t>
      </w:r>
    </w:p>
    <w:p>
      <w:pPr>
        <w:pStyle w:val="Heading3"/>
        <w:spacing w:after="80" w:before="180"/>
      </w:pPr>
      <w:r>
        <w:t xml:space="preserve">Bench (bench.co)</w:t>
      </w:r>
    </w:p>
    <w:p>
      <w:pPr>
        <w:spacing w:after="120"/>
      </w:pPr>
      <w:r>
        <w:t xml:space="preserve">Bench’s strength is the “sample bookkeeping report” you can preview before signing up. That is the direct inspiration for the Deliverables Preview section. We’ve gone one step further by making the sample downloadable as a real Excel file rather than a static screenshot.</w:t>
      </w:r>
    </w:p>
    <w:p>
      <w:pPr>
        <w:pStyle w:val="Heading3"/>
        <w:spacing w:after="80" w:before="180"/>
      </w:pPr>
      <w:r>
        <w:t xml:space="preserve">Preferred CFO and NOW CFO</w:t>
      </w:r>
    </w:p>
    <w:p>
      <w:pPr>
        <w:spacing w:after="120"/>
      </w:pPr>
      <w:r>
        <w:t xml:space="preserve">Both lean on team bios — head-shots, credentials, sector experience. For a boutique firm this is a stronger trust lever than abstract marketing copy. Recommendation in section 7 below.</w:t>
      </w:r>
    </w:p>
    <w:p>
      <w:pPr>
        <w:pStyle w:val="Heading3"/>
        <w:spacing w:after="80" w:before="180"/>
      </w:pPr>
      <w:r>
        <w:t xml:space="preserve">BDO and Deloitte (Indian sites)</w:t>
      </w:r>
    </w:p>
    <w:p>
      <w:pPr>
        <w:spacing w:after="120"/>
      </w:pPr>
      <w:r>
        <w:t xml:space="preserve">Restraint. No emojis, no breathless adjectives, no “revolutionising” anything. The credibility section now reads more like a Big Four firm’s landing copy: established date, offices, scope, plain-English value proposition.</w:t>
      </w:r>
    </w:p>
    <w:p>
      <w:r>
        <w:br w:type="page"/>
      </w:r>
    </w:p>
    <w:p>
      <w:pPr>
        <w:pStyle w:val="Heading1"/>
        <w:spacing w:after="160" w:before="320"/>
      </w:pPr>
      <w:r>
        <w:t xml:space="preserve">6. Design-system notes (nothing changed visually)</w:t>
      </w:r>
    </w:p>
    <w:p>
      <w:pPr>
        <w:spacing w:after="120"/>
      </w:pPr>
      <w:r>
        <w:t xml:space="preserve">The instruction was to retain the existing design system, and we have — every revised section uses the same tokens already defined in colors_and_type.css and shared.css:</w:t>
      </w:r>
    </w:p>
    <w:p>
      <w:pPr>
        <w:pStyle w:val="ListParagraph"/>
        <w:numPr>
          <w:ilvl w:val="0"/>
          <w:numId w:val="2"/>
        </w:numPr>
        <w:spacing w:after="80"/>
      </w:pPr>
      <w:r>
        <w:t xml:space="preserve">Plum scale (--plum-50 to --plum-950) with #1C1527 as the dark background.</w:t>
      </w:r>
    </w:p>
    <w:p>
      <w:pPr>
        <w:pStyle w:val="ListParagraph"/>
        <w:numPr>
          <w:ilvl w:val="0"/>
          <w:numId w:val="2"/>
        </w:numPr>
        <w:spacing w:after="80"/>
      </w:pPr>
      <w:r>
        <w:t xml:space="preserve">Gold accent (--gold-400 to --gold-600) with #C4A35A as primary CTA fill.</w:t>
      </w:r>
    </w:p>
    <w:p>
      <w:pPr>
        <w:pStyle w:val="ListParagraph"/>
        <w:numPr>
          <w:ilvl w:val="0"/>
          <w:numId w:val="2"/>
        </w:numPr>
        <w:spacing w:after="80"/>
      </w:pPr>
      <w:r>
        <w:t xml:space="preserve">Type stack: Playfair Display for display/headings, DM Sans for body/UI, JetBrains Mono for numbers.</w:t>
      </w:r>
    </w:p>
    <w:p>
      <w:pPr>
        <w:pStyle w:val="ListParagraph"/>
        <w:numPr>
          <w:ilvl w:val="0"/>
          <w:numId w:val="2"/>
        </w:numPr>
        <w:spacing w:after="80"/>
      </w:pPr>
      <w:r>
        <w:t xml:space="preserve">Card hover: translateY(-2px) + shadow-md, 200ms ease-out.</w:t>
      </w:r>
    </w:p>
    <w:p>
      <w:pPr>
        <w:pStyle w:val="ListParagraph"/>
        <w:numPr>
          <w:ilvl w:val="0"/>
          <w:numId w:val="2"/>
        </w:numPr>
        <w:spacing w:after="80"/>
      </w:pPr>
      <w:r>
        <w:t xml:space="preserve">Buttons: existing .btn-primary (gold-on-plum), .btn-ghost (outline), .btn-lg-primary, .btn-lg-ghost.</w:t>
      </w:r>
    </w:p>
    <w:p>
      <w:pPr>
        <w:spacing w:after="120"/>
      </w:pPr>
      <w:r>
        <w:t xml:space="preserve">The new Deliverables Preview section uses only existing tokens — no new colours, no new fonts, no new CSS variables. The 4×2 grid pattern matches the existing Industries grid. Hover transitions match existing card behaviour. The layout grid (1.1fr 1fr two-column header + 4-column tile grid) mirrors the existing How It Works rhythm.</w:t>
      </w:r>
    </w:p>
    <w:p>
      <w:r>
        <w:br w:type="page"/>
      </w:r>
    </w:p>
    <w:p>
      <w:pPr>
        <w:pStyle w:val="Heading1"/>
        <w:spacing w:after="160" w:before="320"/>
      </w:pPr>
      <w:r>
        <w:t xml:space="preserve">7. Prioritised next steps</w:t>
      </w:r>
    </w:p>
    <w:p>
      <w:pPr>
        <w:spacing w:after="120"/>
      </w:pPr>
      <w:r>
        <w:t xml:space="preserve">In rough order of impact-per-hour:</w:t>
      </w:r>
    </w:p>
    <w:p>
      <w:pPr>
        <w:pStyle w:val="Heading3"/>
        <w:spacing w:after="80" w:before="180"/>
      </w:pPr>
      <w:r>
        <w:t xml:space="preserve">This week</w:t>
      </w:r>
    </w:p>
    <w:p>
      <w:pPr>
        <w:pStyle w:val="ListParagraph"/>
        <w:numPr>
          <w:ilvl w:val="0"/>
          <w:numId w:val="3"/>
        </w:numPr>
        <w:spacing w:after="80"/>
      </w:pPr>
      <w:r>
        <w:t xml:space="preserve">Push the revised index.html to Vercel and verify the sample MIS download link works end-to-end on a fresh browser. The asset path is /assets/Fyndock_Sample_MIS_Anonymised.xlsx — confirm Vercel serves .xlsx with the correct MIME type.</w:t>
      </w:r>
    </w:p>
    <w:p>
      <w:pPr>
        <w:pStyle w:val="ListParagraph"/>
        <w:numPr>
          <w:ilvl w:val="0"/>
          <w:numId w:val="3"/>
        </w:numPr>
        <w:spacing w:after="80"/>
      </w:pPr>
      <w:r>
        <w:t xml:space="preserve">Set up Plausible or Vercel Analytics if not already running. Track three events: nav-CTA click, hero download click, deliverables-preview download click. The download click is the leading indicator we want to optimise.</w:t>
      </w:r>
    </w:p>
    <w:p>
      <w:pPr>
        <w:pStyle w:val="ListParagraph"/>
        <w:numPr>
          <w:ilvl w:val="0"/>
          <w:numId w:val="3"/>
        </w:numPr>
        <w:spacing w:after="80"/>
      </w:pPr>
      <w:r>
        <w:t xml:space="preserve">Add a Web3Forms-backed “send us your TB” form on /contact (the access key is already in CLAUDE.md). Right now /contact accepts general enquiries; a separate, smaller form for “send TB, get free MIS” will convert better than the general one.</w:t>
      </w:r>
    </w:p>
    <w:p>
      <w:pPr>
        <w:pStyle w:val="Heading3"/>
        <w:spacing w:after="80" w:before="180"/>
      </w:pPr>
      <w:r>
        <w:t xml:space="preserve">This month</w:t>
      </w:r>
    </w:p>
    <w:p>
      <w:pPr>
        <w:pStyle w:val="ListParagraph"/>
        <w:numPr>
          <w:ilvl w:val="0"/>
          <w:numId w:val="3"/>
        </w:numPr>
        <w:spacing w:after="80"/>
      </w:pPr>
      <w:r>
        <w:t xml:space="preserve">Add team bios to /about — even a single page with your photo, credentials, and a paragraph each on Sukhvinder and Utsav is a step-change in trust. Boutique firms beat platforms on people, not features.</w:t>
      </w:r>
    </w:p>
    <w:p>
      <w:pPr>
        <w:pStyle w:val="ListParagraph"/>
        <w:numPr>
          <w:ilvl w:val="0"/>
          <w:numId w:val="3"/>
        </w:numPr>
        <w:spacing w:after="80"/>
      </w:pPr>
      <w:r>
        <w:t xml:space="preserve">Write 2 short case studies for /case-studies. They don’t need to be Pilot-length — 200–300 words each, with the structure: Client (anonymised, sector, size) → Problem → What we did → Outcome. Use the same red-flag/wins/watch structure as the CFO Narrative sheet, since visitors who download the sample will already be familiar with that format.</w:t>
      </w:r>
    </w:p>
    <w:p>
      <w:pPr>
        <w:pStyle w:val="ListParagraph"/>
        <w:numPr>
          <w:ilvl w:val="0"/>
          <w:numId w:val="3"/>
        </w:numPr>
        <w:spacing w:after="80"/>
      </w:pPr>
      <w:r>
        <w:t xml:space="preserve">Build a second anonymised sample for a D2C brand. Same Meridian-style approach: synthetic but realistic, formulas tied out, watermarked. Offer both samples on the Deliverables Preview section: “Consulting firm” and “D2C brand.”</w:t>
      </w:r>
    </w:p>
    <w:p>
      <w:pPr>
        <w:pStyle w:val="Heading3"/>
        <w:spacing w:after="80" w:before="180"/>
      </w:pPr>
      <w:r>
        <w:t xml:space="preserve">This quarter</w:t>
      </w:r>
    </w:p>
    <w:p>
      <w:pPr>
        <w:pStyle w:val="ListParagraph"/>
        <w:numPr>
          <w:ilvl w:val="0"/>
          <w:numId w:val="3"/>
        </w:numPr>
        <w:spacing w:after="80"/>
      </w:pPr>
      <w:r>
        <w:t xml:space="preserve">Start a fortnightly “Trial Balance Tear-Down” blog post — 600 words taking a real (anonymised) TB and showing what an MIS reveals. Two posts a month, indexed for SEO, doubles as proof of expertise. The blog template already exists at /blog.</w:t>
      </w:r>
    </w:p>
    <w:p>
      <w:pPr>
        <w:pStyle w:val="ListParagraph"/>
        <w:numPr>
          <w:ilvl w:val="0"/>
          <w:numId w:val="3"/>
        </w:numPr>
        <w:spacing w:after="80"/>
      </w:pPr>
      <w:r>
        <w:t xml:space="preserve">Add a /pricing page (or expand the home-page services section into one) with a calculator: “Tell us your monthly transactions and book closure complexity, see your indicative quote.” This is the single highest-converting feature on Pilot, Bench, and Zeni.</w:t>
      </w:r>
    </w:p>
    <w:p>
      <w:pPr>
        <w:pStyle w:val="ListParagraph"/>
        <w:numPr>
          <w:ilvl w:val="0"/>
          <w:numId w:val="3"/>
        </w:numPr>
        <w:spacing w:after="80"/>
      </w:pPr>
      <w:r>
        <w:t xml:space="preserve">Build a referral or partner programme for CAs in tier-2 cities who don’t want to do MIS work themselves — Fyndock becomes their behind-the-scenes back-office. New business development, low CAC.</w:t>
      </w:r>
    </w:p>
    <w:p>
      <w:pPr>
        <w:pStyle w:val="Heading3"/>
        <w:spacing w:after="80" w:before="180"/>
      </w:pPr>
      <w:r>
        <w:t xml:space="preserve">Bigger bets (when you have bandwidth)</w:t>
      </w:r>
    </w:p>
    <w:p>
      <w:pPr>
        <w:pStyle w:val="ListParagraph"/>
        <w:numPr>
          <w:ilvl w:val="0"/>
          <w:numId w:val="3"/>
        </w:numPr>
        <w:spacing w:after="80"/>
      </w:pPr>
      <w:r>
        <w:t xml:space="preserve">Productise the MIS pipeline: a script that takes a TB upload, classifies the chart of accounts, and pre-fills 70% of the 8 sheets. Cuts delivery time per client and is the only honest way to ever justify the word “efficient.”</w:t>
      </w:r>
    </w:p>
    <w:p>
      <w:pPr>
        <w:pStyle w:val="ListParagraph"/>
        <w:numPr>
          <w:ilvl w:val="0"/>
          <w:numId w:val="3"/>
        </w:numPr>
        <w:spacing w:after="80"/>
      </w:pPr>
      <w:r>
        <w:t xml:space="preserve">Open a single English newsletter on Substack or Beehiiv — not a corporate blog, a personal one from Sukhvinder, on what running a 30-year practice into the 2020s teaches you. Trust at scale comes from voice, not from features.</w:t>
      </w:r>
    </w:p>
    <w:p>
      <w:r>
        <w:br w:type="page"/>
      </w:r>
    </w:p>
    <w:p>
      <w:pPr>
        <w:pStyle w:val="Heading1"/>
        <w:spacing w:after="160" w:before="320"/>
      </w:pPr>
      <w:r>
        <w:t xml:space="preserve">8. New business development — using the site as the asset</w:t>
      </w:r>
    </w:p>
    <w:p>
      <w:pPr>
        <w:spacing w:after="120"/>
      </w:pPr>
      <w:r>
        <w:t xml:space="preserve">Per your preferences, this section focuses on practical ways to convert site traffic into conversations and conversations into engagements. The site is now built to do three jobs in this order: educate, qualify, convert.</w:t>
      </w:r>
    </w:p>
    <w:p>
      <w:pPr>
        <w:pStyle w:val="Heading2"/>
        <w:spacing w:after="120" w:before="240"/>
      </w:pPr>
      <w:r>
        <w:t xml:space="preserve">Educate — make the buyer smarter for free</w:t>
      </w:r>
    </w:p>
    <w:p>
      <w:pPr>
        <w:spacing w:after="120"/>
      </w:pPr>
      <w:r>
        <w:t xml:space="preserve">Founders and owner-operators don’t hire finance services until they’ve been burned by a bad month-end or surprised by a board question. The site’s blog and the sample MIS are how you stay top-of-mind during the months where they’re fine. Practical ways to use them:</w:t>
      </w:r>
    </w:p>
    <w:p>
      <w:pPr>
        <w:pStyle w:val="ListParagraph"/>
        <w:numPr>
          <w:ilvl w:val="0"/>
          <w:numId w:val="2"/>
        </w:numPr>
        <w:spacing w:after="80"/>
      </w:pPr>
      <w:r>
        <w:t xml:space="preserve">LinkedIn cross-posting: every blog or sample becomes 3–4 LinkedIn posts spaced over a fortnight. Same content, different framings (problem-first, story-first, data-first).</w:t>
      </w:r>
    </w:p>
    <w:p>
      <w:pPr>
        <w:pStyle w:val="ListParagraph"/>
        <w:numPr>
          <w:ilvl w:val="0"/>
          <w:numId w:val="2"/>
        </w:numPr>
        <w:spacing w:after="80"/>
      </w:pPr>
      <w:r>
        <w:t xml:space="preserve">WhatsApp Business broadcast list of past CA-firm clients: send them the sample MIS with a one-line note: “This is what a monthly pack looks like for a ₹3 Cr consulting firm. If your numbers don’t look like this, we should talk.”</w:t>
      </w:r>
    </w:p>
    <w:p>
      <w:pPr>
        <w:pStyle w:val="Heading2"/>
        <w:spacing w:after="120" w:before="240"/>
      </w:pPr>
      <w:r>
        <w:t xml:space="preserve">Qualify — let visitors self-select</w:t>
      </w:r>
    </w:p>
    <w:p>
      <w:pPr>
        <w:spacing w:after="120"/>
      </w:pPr>
      <w:r>
        <w:t xml:space="preserve">The download-the-sample-first model is the qualifying mechanism. People who download and then book are 5–10× more likely to convert than people who book cold. Two refinements over the next quarter:</w:t>
      </w:r>
    </w:p>
    <w:p>
      <w:pPr>
        <w:pStyle w:val="ListParagraph"/>
        <w:numPr>
          <w:ilvl w:val="0"/>
          <w:numId w:val="2"/>
        </w:numPr>
        <w:spacing w:after="80"/>
      </w:pPr>
      <w:r>
        <w:t xml:space="preserve">Add a single optional question to the contact form: “What’s the one number you wish you could see every month?” That single answer tells you whether they want compliance, board-prep, fundraising, or just visibility — and lets you tier the response.</w:t>
      </w:r>
    </w:p>
    <w:p>
      <w:pPr>
        <w:pStyle w:val="ListParagraph"/>
        <w:numPr>
          <w:ilvl w:val="0"/>
          <w:numId w:val="2"/>
        </w:numPr>
        <w:spacing w:after="80"/>
      </w:pPr>
      <w:r>
        <w:t xml:space="preserve">Auto-respond to TB submissions within 4 working hours with an estimate and a sample tailored to their sector. Speed of first response matters more than polish at the boutique scale.</w:t>
      </w:r>
    </w:p>
    <w:p>
      <w:pPr>
        <w:pStyle w:val="Heading2"/>
        <w:spacing w:after="120" w:before="240"/>
      </w:pPr>
      <w:r>
        <w:t xml:space="preserve">Convert — pricing transparency wins</w:t>
      </w:r>
    </w:p>
    <w:p>
      <w:pPr>
        <w:spacing w:after="120"/>
      </w:pPr>
      <w:r>
        <w:t xml:space="preserve">Founders compare three quotes before signing. They will not get a quote from you if your minimum is hidden. The current ₹8,000 / ₹25,000 / ₹50,000 tiers are public — keep them. The “Discuss FP&amp;A” card with no top-end price is the only one that hides; consider showing a typical engagement range (“₹50K–₹2L per project”) so it ranks in the same comparison.</w:t>
      </w:r>
    </w:p>
    <w:p>
      <w:pPr>
        <w:pStyle w:val="Heading2"/>
        <w:spacing w:after="120" w:before="240"/>
      </w:pPr>
      <w:r>
        <w:t xml:space="preserve">Specifically actionable next 30 days</w:t>
      </w:r>
    </w:p>
    <w:p>
      <w:pPr>
        <w:pStyle w:val="ListParagraph"/>
        <w:numPr>
          <w:ilvl w:val="0"/>
          <w:numId w:val="3"/>
        </w:numPr>
        <w:spacing w:after="80"/>
      </w:pPr>
      <w:r>
        <w:t xml:space="preserve">Push the revised site to Vercel. Verify download. Track first 50 downloads.</w:t>
      </w:r>
    </w:p>
    <w:p>
      <w:pPr>
        <w:pStyle w:val="ListParagraph"/>
        <w:numPr>
          <w:ilvl w:val="0"/>
          <w:numId w:val="3"/>
        </w:numPr>
        <w:spacing w:after="80"/>
      </w:pPr>
      <w:r>
        <w:t xml:space="preserve">Send the sample MIS to 20 past CA-firm clients with the WhatsApp broadcast above. Ask for one of three responses: “not relevant” / “interesting, send more” / “want a quote.”</w:t>
      </w:r>
    </w:p>
    <w:p>
      <w:pPr>
        <w:pStyle w:val="ListParagraph"/>
        <w:numPr>
          <w:ilvl w:val="0"/>
          <w:numId w:val="3"/>
        </w:numPr>
        <w:spacing w:after="80"/>
      </w:pPr>
      <w:r>
        <w:t xml:space="preserve">Write 2 LinkedIn posts (one personal essay from Sukhvinder, one carousel from the sample MIS). Tag the firm. Pin the carousel.</w:t>
      </w:r>
    </w:p>
    <w:p>
      <w:pPr>
        <w:pStyle w:val="ListParagraph"/>
        <w:numPr>
          <w:ilvl w:val="0"/>
          <w:numId w:val="3"/>
        </w:numPr>
        <w:spacing w:after="80"/>
      </w:pPr>
      <w:r>
        <w:t xml:space="preserve">Pick the 3 sectors you actually want more of (likely Professional Services, D2C, SaaS) and write a 1-paragraph version of each industry tile expanded into a /services page section.</w:t>
      </w:r>
    </w:p>
    <w:p>
      <w:pPr>
        <w:pStyle w:val="ListParagraph"/>
        <w:numPr>
          <w:ilvl w:val="0"/>
          <w:numId w:val="3"/>
        </w:numPr>
        <w:spacing w:after="80"/>
      </w:pPr>
      <w:r>
        <w:t xml:space="preserve">Decide one metric to track for the quarter — recommended: “number of inbound TB submissions per month.” Everything else (downloads, blog views, time on site) is secondary.</w:t>
      </w:r>
    </w:p>
    <w:p>
      <w:r>
        <w:br w:type="page"/>
      </w:r>
    </w:p>
    <w:p>
      <w:pPr>
        <w:pStyle w:val="Heading1"/>
        <w:spacing w:after="160" w:before="320"/>
      </w:pPr>
      <w:r>
        <w:t xml:space="preserve">9. Files delivered with this engagement</w:t>
      </w:r>
    </w:p>
    <w:p>
      <w:pPr>
        <w:spacing w:after="120"/>
      </w:pPr>
      <w:r>
        <w:t xml:space="preserve">Three artefacts ship together. They live inside your fyndock-website folder so a single git push updates everything.</w:t>
      </w:r>
    </w:p>
    <w:p>
      <w:pPr>
        <w:pStyle w:val="Heading3"/>
        <w:spacing w:after="80" w:before="180"/>
      </w:pPr>
      <w:r>
        <w:t xml:space="preserve">a. Revised index.html</w:t>
      </w:r>
    </w:p>
    <w:p>
      <w:pPr>
        <w:spacing w:after="120"/>
      </w:pPr>
      <w:r>
        <w:t xml:space="preserve">At fyndock-website/index.html. All edits described in section 3. Same shared.css and colors_and_type.css — no design-system changes. New section added; one section’s tile and stat content rewritten; nav and CTAs deduped; meta tags updated. File is 47.9 KB, well-formed HTML, validated.</w:t>
      </w:r>
    </w:p>
    <w:p>
      <w:pPr>
        <w:pStyle w:val="Heading3"/>
        <w:spacing w:after="80" w:before="180"/>
      </w:pPr>
      <w:r>
        <w:t xml:space="preserve">b. Anonymised sample MIS Excel</w:t>
      </w:r>
    </w:p>
    <w:p>
      <w:pPr>
        <w:spacing w:after="120"/>
      </w:pPr>
      <w:r>
        <w:t xml:space="preserve">At fyndock-website/assets/Fyndock_Sample_MIS_Anonymised.xlsx. 8 sheets, 252 formulas, 21.7 KB. Fictional client “Meridian Consulting Pvt Ltd,” Q3 FY26 (Oct–Dec 2025). Watermarked on every sheet: “ANONYMISED SAMPLE — FOR DEMONSTRATION ONLY · MERIDIAN CONSULTING IS A FICTIONAL ENTITY.” Balance Sheet ties out (Total Assets ₹359 L = Total E&amp;L ₹359 L, tie-out check = 0). Cash Flow closing cash ₹94 L matches Balance Sheet cash. CFO Narrative sheet contains wins, watch-items, and red flags written in plain English.</w:t>
      </w:r>
    </w:p>
    <w:p>
      <w:pPr>
        <w:pStyle w:val="Heading3"/>
        <w:spacing w:after="80" w:before="180"/>
      </w:pPr>
      <w:r>
        <w:t xml:space="preserve">c. This strategy &amp; recommendations document</w:t>
      </w:r>
    </w:p>
    <w:p>
      <w:pPr>
        <w:spacing w:after="120"/>
      </w:pPr>
      <w:r>
        <w:t xml:space="preserve">Plus a small mock-up of the redesigned services area — see the next file in this delivery. The mock-up is a standalone HTML preview you can paste into a Vercel preview deployment to A/B against the current services grid before deciding whether to roll it in.</w:t>
      </w:r>
    </w:p>
    <w:p>
      <w:pPr>
        <w:pBdr>
          <w:top w:val="single" w:color="B8852A" w:sz="8" w:space="8"/>
        </w:pBdr>
        <w:spacing w:after="80" w:before="480"/>
      </w:pPr>
      <w:r>
        <w:rPr>
          <w:i/>
          <w:iCs/>
          <w:color w:val="767180"/>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67180"/>
        <w:sz w:val="18"/>
        <w:szCs w:val="18"/>
      </w:rPr>
      <w:t xml:space="preserve">Prepared for S.P. Manhas &amp; Company  ·  </w:t>
    </w:r>
    <w:r>
      <w:rPr>
        <w:color w:val="767180"/>
        <w:sz w:val="18"/>
        <w:szCs w:val="18"/>
      </w:rPr>
      <w:t xml:space="preserve">Page </w:t>
    </w:r>
    <w:r>
      <w:rPr>
        <w:color w:val="7671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67180"/>
        <w:sz w:val="18"/>
        <w:szCs w:val="18"/>
      </w:rPr>
      <w:t xml:space="preserve">Fyndock — Website Strategy &amp;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C1527"/>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C1527"/>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B885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Fyndock Website — Strategy &amp; Recommendations</dc:title>
  <dc:creator>Fyndock</dc:creator>
  <cp:lastModifiedBy>Un-named</cp:lastModifiedBy>
  <cp:revision>1</cp:revision>
  <dcterms:created xsi:type="dcterms:W3CDTF">2026-04-25T16:47:41.891Z</dcterms:created>
  <dcterms:modified xsi:type="dcterms:W3CDTF">2026-04-25T16:47:41.892Z</dcterms:modified>
</cp:coreProperties>
</file>

<file path=docProps/custom.xml><?xml version="1.0" encoding="utf-8"?>
<Properties xmlns="http://schemas.openxmlformats.org/officeDocument/2006/custom-properties" xmlns:vt="http://schemas.openxmlformats.org/officeDocument/2006/docPropsVTypes"/>
</file>