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39</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46</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46</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54</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57</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57</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64</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66</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68</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71</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73</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70</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77</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80</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86</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47</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52</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58</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58</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65</w:t>
      </w:r>
    </w:p>
    <w:p>
      <w:pPr>
        <w:tabs>
          <w:tab w:pos="8504" w:val="right" w:leader="dot"/>
        </w:tabs>
        <w:spacing w:line="501" w:lineRule="exact"/>
        <w:ind w:left="0"/>
      </w:pPr>
      <w:r>
        <w:rPr>
          <w:rFonts w:ascii="Times New Roman" w:hAnsi="Times New Roman" w:eastAsia="HY신명조"/>
          <w:b w:val="0"/>
          <w:sz w:val="22"/>
        </w:rPr>
        <w:t>Table 5-8. Dose-response experiment — collisions in settled encounters (n=10 seeds per cell, ledger adjudication)</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69</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49</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Figure 5-6. Dose-response experiment (120 runs, ledger adjudication)</w:t>
      </w:r>
      <w:r>
        <w:rPr>
          <w:rFonts w:ascii="Times New Roman" w:hAnsi="Times New Roman" w:eastAsia="HY신명조"/>
          <w:b w:val="0"/>
          <w:sz w:val="22"/>
        </w:rPr>
        <w:tab/>
        <w:t>68</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pedestrian-physics oracle, and a human visual cross-check protocol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triple determination scheme consisting of a real-time ledger of the ego vehicle's collision sensor, a pedestrian physics oracle, and human visual cross-checking,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triple scheme for simulation collision determination as a methodology. It combines a real-time ledger of the ego collision sensor (RAW-HIT), a pedestrian physics oracle (kinematic anomalies at collision), and a human visual cross-checking protocol,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the main matrix of fault type × severity × traffic density × method comprising 1,131 valid cases, we quantify the monitoring and evacuation behavior and the reduction in exposure.</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9).</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8.</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4-3. </w:t>
      </w:r>
      <w:r>
        <w:rPr>
          <w:rFonts w:ascii="Times New Roman" w:hAnsi="Times New Roman" w:eastAsia="HY신명조"/>
          <w:b w:val="0"/>
          <w:sz w:val="18"/>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three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Third, a human visual-comparison protocol. Videos of all cases were assigned identifiers and delivered to a reviewer together with the machine adjudication set for comparison (verdict_review.csv). This review was an open full-coverage cross-check rather than a blind review masking machine verdicts and arm identities, with a pre-set rule that the ledger and physics oracle prevail on disagreement. Machine and human adjudications agreed in all encounter-experiment cases of this thesis.</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8"/>
        </w:rPr>
        <w:t xml:space="preserve">Table 4-4. </w:t>
      </w:r>
      <w:r>
        <w:rPr>
          <w:rFonts w:ascii="Times New Roman" w:hAnsi="Times New Roman" w:eastAsia="HY신명조"/>
          <w:b w:val="0"/>
          <w:sz w:val="18"/>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Detection</w:t>
            </w:r>
          </w:p>
        </w:tc>
        <w:tc>
          <w:tcPr>
            <w:tcW w:type="dxa" w:w="2126"/>
          </w:tcPr>
          <w:p>
            <w:pPr>
              <w:keepNext/>
              <w:spacing w:line="288" w:lineRule="auto" w:before="20" w:after="20"/>
              <w:jc w:val="center"/>
            </w:pPr>
            <w:r/>
            <w:r>
              <w:rPr>
                <w:rFonts w:ascii="Times New Roman" w:hAnsi="Times New Roman" w:eastAsia="HY신명조"/>
                <w:b/>
                <w:sz w:val="18"/>
              </w:rPr>
              <w:t>Response</w:t>
            </w:r>
          </w:p>
        </w:tc>
        <w:tc>
          <w:tcPr>
            <w:tcW w:type="dxa" w:w="2126"/>
          </w:tcPr>
          <w:p>
            <w:pPr>
              <w:keepNext/>
              <w:spacing w:line="288" w:lineRule="auto" w:before="20" w:after="20"/>
              <w:jc w:val="center"/>
            </w:pPr>
            <w:r/>
            <w:r>
              <w:rPr>
                <w:rFonts w:ascii="Times New Roman" w:hAnsi="Times New Roman" w:eastAsia="HY신명조"/>
                <w:b/>
                <w:sz w:val="18"/>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Shadow detection (log-only)</w:t>
            </w:r>
          </w:p>
        </w:tc>
        <w:tc>
          <w:tcPr>
            <w:tcW w:type="dxa" w:w="2126"/>
          </w:tcPr>
          <w:p>
            <w:pPr>
              <w:keepNext/>
              <w:spacing w:line="288" w:lineRule="auto" w:before="20" w:after="20"/>
              <w:jc w:val="left"/>
            </w:pPr>
            <w:r/>
            <w:r>
              <w:rPr>
                <w:rFonts w:ascii="Times New Roman" w:hAnsi="Times New Roman" w:eastAsia="HY신명조"/>
                <w:b w:val="0"/>
                <w:sz w:val="18"/>
              </w:rPr>
              <w:t>None — stock continued driving</w:t>
            </w:r>
          </w:p>
        </w:tc>
        <w:tc>
          <w:tcPr>
            <w:tcW w:type="dxa" w:w="2126"/>
          </w:tcPr>
          <w:p>
            <w:pPr>
              <w:keepNext/>
              <w:spacing w:line="288" w:lineRule="auto" w:before="20" w:after="20"/>
              <w:jc w:val="left"/>
            </w:pPr>
            <w:r/>
            <w:r>
              <w:rPr>
                <w:rFonts w:ascii="Times New Roman" w:hAnsi="Times New Roman" w:eastAsia="HY신명조"/>
                <w:b w:val="0"/>
                <w:sz w:val="18"/>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In-lane stop (stop-type MRM)</w:t>
            </w:r>
          </w:p>
        </w:tc>
        <w:tc>
          <w:tcPr>
            <w:tcW w:type="dxa" w:w="2126"/>
          </w:tcPr>
          <w:p>
            <w:pPr>
              <w:keepNext/>
              <w:spacing w:line="288" w:lineRule="auto" w:before="20" w:after="20"/>
              <w:jc w:val="left"/>
            </w:pPr>
            <w:r/>
            <w:r>
              <w:rPr>
                <w:rFonts w:ascii="Times New Roman" w:hAnsi="Times New Roman" w:eastAsia="HY신명조"/>
                <w:b w:val="0"/>
                <w:sz w:val="18"/>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Shoulder evacuation</w:t>
            </w:r>
          </w:p>
        </w:tc>
        <w:tc>
          <w:tcPr>
            <w:tcW w:type="dxa" w:w="2126"/>
          </w:tcPr>
          <w:p>
            <w:pPr>
              <w:keepNext/>
              <w:spacing w:line="288" w:lineRule="auto" w:before="20" w:after="20"/>
              <w:jc w:val="left"/>
            </w:pPr>
            <w:r/>
            <w:r>
              <w:rPr>
                <w:rFonts w:ascii="Times New Roman" w:hAnsi="Times New Roman" w:eastAsia="HY신명조"/>
                <w:b w:val="0"/>
                <w:sz w:val="18"/>
              </w:rPr>
              <w:t>None</w:t>
            </w:r>
          </w:p>
        </w:tc>
      </w:tr>
      <w:tr>
        <w:trPr>
          <w:cantSplit/>
        </w:trPr>
        <w:tc>
          <w:tcPr>
            <w:tcW w:type="dxa" w:w="2126"/>
          </w:tcPr>
          <w:p>
            <w:pPr>
              <w:spacing w:line="288" w:lineRule="auto" w:before="20" w:after="20"/>
              <w:jc w:val="left"/>
            </w:pPr>
            <w:r/>
            <w:r>
              <w:rPr>
                <w:rFonts w:ascii="Times New Roman" w:hAnsi="Times New Roman" w:eastAsia="HY신명조"/>
                <w:b w:val="0"/>
                <w:sz w:val="18"/>
              </w:rPr>
              <w:t>A4 capped evacuation</w:t>
            </w:r>
          </w:p>
        </w:tc>
        <w:tc>
          <w:tcPr>
            <w:tcW w:type="dxa" w:w="2126"/>
          </w:tcPr>
          <w:p>
            <w:pPr>
              <w:spacing w:line="288" w:lineRule="auto" w:before="20" w:after="20"/>
              <w:jc w:val="left"/>
            </w:pPr>
            <w:r/>
            <w:r>
              <w:rPr>
                <w:rFonts w:ascii="Times New Roman" w:hAnsi="Times New Roman" w:eastAsia="HY신명조"/>
                <w:b w:val="0"/>
                <w:sz w:val="18"/>
              </w:rPr>
              <w:t>Proposed detection</w:t>
            </w:r>
          </w:p>
        </w:tc>
        <w:tc>
          <w:tcPr>
            <w:tcW w:type="dxa" w:w="2126"/>
          </w:tcPr>
          <w:p>
            <w:pPr>
              <w:spacing w:line="288" w:lineRule="auto" w:before="20" w:after="20"/>
              <w:jc w:val="left"/>
            </w:pPr>
            <w:r/>
            <w:r>
              <w:rPr>
                <w:rFonts w:ascii="Times New Roman" w:hAnsi="Times New Roman" w:eastAsia="HY신명조"/>
                <w:b w:val="0"/>
                <w:sz w:val="18"/>
              </w:rPr>
              <w:t>Shoulder evacuation</w:t>
            </w:r>
          </w:p>
        </w:tc>
        <w:tc>
          <w:tcPr>
            <w:tcW w:type="dxa" w:w="2126"/>
          </w:tcPr>
          <w:p>
            <w:pPr>
              <w:spacing w:line="288" w:lineRule="auto" w:before="20" w:after="20"/>
              <w:jc w:val="left"/>
            </w:pPr>
            <w:r/>
            <w:r>
              <w:rPr>
                <w:rFonts w:ascii="Times New Roman" w:hAnsi="Times New Roman" w:eastAsia="HY신명조"/>
                <w:b w:val="0"/>
                <w:sz w:val="18"/>
              </w:rPr>
              <w:t>3.0 m/s cap</w:t>
            </w:r>
          </w:p>
        </w:tc>
      </w:tr>
    </w:tbl>
    <w:p>
      <w:pPr>
        <w:spacing w:line="312" w:lineRule="auto" w:before="0" w:after="0"/>
      </w:pPr>
      <w:r>
        <w:rPr>
          <w:rFonts w:ascii="Times New Roman" w:hAnsi="Times New Roman" w:eastAsia="HY신명조"/>
          <w:b w:val="0"/>
          <w:sz w:val="18"/>
        </w:rPr>
        <w:t>The explicit cap of A4 was found post hoc to be undelivered to the planning layer (Chapter 5, Sections 5 and 8) — A3 and A4 are de facto the same policy; the pre-specified contrast labels are kept as written.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the ten first-round seeds (S02–S11) plus ten extension-round seeds under identical rules (S12–S21) — twenty seeds in total (S01 was excluded in advance as a development seed) —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6:0 first falls below 0.05 with p=0.03125). A1↔A2 and A2↔A3 are treated only as descriptive, mechanism-level analyses, and Fisher's exact test is used for unpaired auxiliary comparisons. For the dose-response experiment (Chapter 5, Section 8),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4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supplementary campaign (navigation extension, Table 5-1 †); camera and LiDAR death (*) are ledger-based simulation-time re-measurements of the hard-fail fast path (Chapter 5, Section 9).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8)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Collisions</w:t>
            </w:r>
          </w:p>
        </w:tc>
        <w:tc>
          <w:tcPr>
            <w:tcW w:type="dxa" w:w="2126"/>
          </w:tcPr>
          <w:p>
            <w:pPr>
              <w:keepNext/>
              <w:spacing w:line="288" w:lineRule="auto" w:before="20" w:after="20"/>
              <w:jc w:val="center"/>
            </w:pPr>
            <w:r/>
            <w:r>
              <w:rPr>
                <w:rFonts w:ascii="Times New Roman" w:hAnsi="Times New Roman" w:eastAsia="HY신명조"/>
                <w:b/>
                <w:sz w:val="18"/>
              </w:rPr>
              <w:t>Collision rate [Wilson 95% CI]</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14/20</w:t>
            </w:r>
          </w:p>
        </w:tc>
        <w:tc>
          <w:tcPr>
            <w:tcW w:type="dxa" w:w="2126"/>
          </w:tcPr>
          <w:p>
            <w:pPr>
              <w:keepNext/>
              <w:spacing w:line="288" w:lineRule="auto" w:before="20" w:after="20"/>
              <w:jc w:val="left"/>
            </w:pPr>
            <w:r/>
            <w:r>
              <w:rPr>
                <w:rFonts w:ascii="Times New Roman" w:hAnsi="Times New Roman" w:eastAsia="HY신명조"/>
                <w:b w:val="0"/>
                <w:sz w:val="18"/>
              </w:rPr>
              <w:t>70% [48.1, 85.5]</w:t>
            </w:r>
          </w:p>
        </w:tc>
        <w:tc>
          <w:tcPr>
            <w:tcW w:type="dxa" w:w="2126"/>
          </w:tcPr>
          <w:p>
            <w:pPr>
              <w:keepNext/>
              <w:spacing w:line="288" w:lineRule="auto" w:before="20" w:after="20"/>
              <w:jc w:val="left"/>
            </w:pPr>
            <w:r/>
            <w:r>
              <w:rPr>
                <w:rFonts w:ascii="Times New Roman" w:hAnsi="Times New Roman" w:eastAsia="HY신명조"/>
                <w:b w:val="0"/>
                <w:sz w:val="18"/>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0/20</w:t>
            </w:r>
          </w:p>
        </w:tc>
        <w:tc>
          <w:tcPr>
            <w:tcW w:type="dxa" w:w="2126"/>
          </w:tcPr>
          <w:p>
            <w:pPr>
              <w:keepNext/>
              <w:spacing w:line="288" w:lineRule="auto" w:before="20" w:after="20"/>
              <w:jc w:val="left"/>
            </w:pPr>
            <w:r/>
            <w:r>
              <w:rPr>
                <w:rFonts w:ascii="Times New Roman" w:hAnsi="Times New Roman" w:eastAsia="HY신명조"/>
                <w:b w:val="0"/>
                <w:sz w:val="18"/>
              </w:rPr>
              <w:t>0% [0.0, 16.1]</w:t>
            </w:r>
          </w:p>
        </w:tc>
        <w:tc>
          <w:tcPr>
            <w:tcW w:type="dxa" w:w="2126"/>
          </w:tcPr>
          <w:p>
            <w:pPr>
              <w:keepNext/>
              <w:spacing w:line="288" w:lineRule="auto" w:before="20" w:after="20"/>
              <w:jc w:val="left"/>
            </w:pPr>
            <w:r/>
            <w:r>
              <w:rPr>
                <w:rFonts w:ascii="Times New Roman" w:hAnsi="Times New Roman" w:eastAsia="HY신명조"/>
                <w:b w:val="0"/>
                <w:sz w:val="18"/>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10/20</w:t>
            </w:r>
          </w:p>
        </w:tc>
        <w:tc>
          <w:tcPr>
            <w:tcW w:type="dxa" w:w="2126"/>
          </w:tcPr>
          <w:p>
            <w:pPr>
              <w:keepNext/>
              <w:spacing w:line="288" w:lineRule="auto" w:before="20" w:after="20"/>
              <w:jc w:val="left"/>
            </w:pPr>
            <w:r/>
            <w:r>
              <w:rPr>
                <w:rFonts w:ascii="Times New Roman" w:hAnsi="Times New Roman" w:eastAsia="HY신명조"/>
                <w:b w:val="0"/>
                <w:sz w:val="18"/>
              </w:rPr>
              <w:t>50% [29.9, 70.1]</w:t>
            </w:r>
          </w:p>
        </w:tc>
        <w:tc>
          <w:tcPr>
            <w:tcW w:type="dxa" w:w="2126"/>
          </w:tcPr>
          <w:p>
            <w:pPr>
              <w:keepNext/>
              <w:spacing w:line="288" w:lineRule="auto" w:before="20" w:after="20"/>
              <w:jc w:val="left"/>
            </w:pPr>
            <w:r/>
            <w:r>
              <w:rPr>
                <w:rFonts w:ascii="Times New Roman" w:hAnsi="Times New Roman" w:eastAsia="HY신명조"/>
                <w:b w:val="0"/>
                <w:sz w:val="18"/>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8"/>
              </w:rPr>
              <w:t>A4 nominally capped(3.0) evacuation</w:t>
            </w:r>
          </w:p>
        </w:tc>
        <w:tc>
          <w:tcPr>
            <w:tcW w:type="dxa" w:w="2126"/>
          </w:tcPr>
          <w:p>
            <w:pPr>
              <w:spacing w:line="288" w:lineRule="auto" w:before="20" w:after="20"/>
              <w:jc w:val="left"/>
            </w:pPr>
            <w:r/>
            <w:r>
              <w:rPr>
                <w:rFonts w:ascii="Times New Roman" w:hAnsi="Times New Roman" w:eastAsia="HY신명조"/>
                <w:b w:val="0"/>
                <w:sz w:val="18"/>
              </w:rPr>
              <w:t>11/20</w:t>
            </w:r>
          </w:p>
        </w:tc>
        <w:tc>
          <w:tcPr>
            <w:tcW w:type="dxa" w:w="2126"/>
          </w:tcPr>
          <w:p>
            <w:pPr>
              <w:spacing w:line="288" w:lineRule="auto" w:before="20" w:after="20"/>
              <w:jc w:val="left"/>
            </w:pPr>
            <w:r/>
            <w:r>
              <w:rPr>
                <w:rFonts w:ascii="Times New Roman" w:hAnsi="Times New Roman" w:eastAsia="HY신명조"/>
                <w:b w:val="0"/>
                <w:sz w:val="18"/>
              </w:rPr>
              <w:t>55% [34.2, 74.2]</w:t>
            </w:r>
          </w:p>
        </w:tc>
        <w:tc>
          <w:tcPr>
            <w:tcW w:type="dxa" w:w="2126"/>
          </w:tcPr>
          <w:p>
            <w:pPr>
              <w:spacing w:line="288" w:lineRule="auto" w:before="20" w:after="20"/>
              <w:jc w:val="left"/>
            </w:pPr>
            <w:r/>
            <w:r>
              <w:rPr>
                <w:rFonts w:ascii="Times New Roman" w:hAnsi="Times New Roman" w:eastAsia="HY신명조"/>
                <w:b w:val="0"/>
                <w:sz w:val="18"/>
              </w:rPr>
              <w:t>All collisions in the transient</w:t>
            </w:r>
          </w:p>
        </w:tc>
      </w:tr>
    </w:tbl>
    <w:p>
      <w:pPr>
        <w:spacing w:line="312" w:lineRule="auto" w:before="0" w:after="0"/>
      </w:pPr>
      <w:r>
        <w:rPr>
          <w:rFonts w:ascii="Times New Roman" w:hAnsi="Times New Roman" w:eastAsia="HY신명조"/>
          <w:b w:val="0"/>
          <w:sz w:val="18"/>
        </w:rPr>
        <w:t>The explicit cap of A4 was not delivered, so A3 and A4 are de facto the same policy (Section 8).</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Seed</w:t>
            </w:r>
          </w:p>
        </w:tc>
        <w:tc>
          <w:tcPr>
            <w:tcW w:type="dxa" w:w="1701"/>
          </w:tcPr>
          <w:p>
            <w:pPr>
              <w:spacing w:line="288" w:lineRule="auto" w:before="20" w:after="20"/>
              <w:jc w:val="center"/>
            </w:pPr>
            <w:r/>
            <w:r>
              <w:rPr>
                <w:rFonts w:ascii="Times New Roman" w:hAnsi="Times New Roman" w:eastAsia="HY신명조"/>
                <w:b/>
                <w:sz w:val="18"/>
              </w:rPr>
              <w:t>A1 stock</w:t>
            </w:r>
          </w:p>
        </w:tc>
        <w:tc>
          <w:tcPr>
            <w:tcW w:type="dxa" w:w="1701"/>
          </w:tcPr>
          <w:p>
            <w:pPr>
              <w:spacing w:line="288" w:lineRule="auto" w:before="20" w:after="20"/>
              <w:jc w:val="center"/>
            </w:pPr>
            <w:r/>
            <w:r>
              <w:rPr>
                <w:rFonts w:ascii="Times New Roman" w:hAnsi="Times New Roman" w:eastAsia="HY신명조"/>
                <w:b/>
                <w:sz w:val="18"/>
              </w:rPr>
              <w:t>A2 stop</w:t>
            </w:r>
          </w:p>
        </w:tc>
        <w:tc>
          <w:tcPr>
            <w:tcW w:type="dxa" w:w="1701"/>
          </w:tcPr>
          <w:p>
            <w:pPr>
              <w:spacing w:line="288" w:lineRule="auto" w:before="20" w:after="20"/>
              <w:jc w:val="center"/>
            </w:pPr>
            <w:r/>
            <w:r>
              <w:rPr>
                <w:rFonts w:ascii="Times New Roman" w:hAnsi="Times New Roman" w:eastAsia="HY신명조"/>
                <w:b/>
                <w:sz w:val="18"/>
              </w:rPr>
              <w:t>A3 uncapped evacuation</w:t>
            </w:r>
          </w:p>
        </w:tc>
        <w:tc>
          <w:tcPr>
            <w:tcW w:type="dxa" w:w="1701"/>
          </w:tcPr>
          <w:p>
            <w:pPr>
              <w:spacing w:line="288" w:lineRule="auto" w:before="20" w:after="20"/>
              <w:jc w:val="center"/>
            </w:pPr>
            <w:r/>
            <w:r>
              <w:rPr>
                <w:rFonts w:ascii="Times New Roman" w:hAnsi="Times New Roman" w:eastAsia="HY신명조"/>
                <w:b/>
                <w:sz w:val="18"/>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8"/>
              </w:rPr>
              <w:t>S02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S04</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S07</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S09</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S11</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S14</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S17</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S19</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S21</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Total (collisions)</w:t>
            </w:r>
          </w:p>
        </w:tc>
        <w:tc>
          <w:tcPr>
            <w:tcW w:type="dxa" w:w="1701"/>
          </w:tcPr>
          <w:p>
            <w:pPr>
              <w:spacing w:line="288" w:lineRule="auto" w:before="20" w:after="20"/>
              <w:jc w:val="left"/>
            </w:pPr>
            <w:r/>
            <w:r>
              <w:rPr>
                <w:rFonts w:ascii="Times New Roman" w:hAnsi="Times New Roman" w:eastAsia="HY신명조"/>
                <w:b w:val="0"/>
                <w:sz w:val="18"/>
              </w:rPr>
              <w:t>14/20</w:t>
            </w:r>
          </w:p>
        </w:tc>
        <w:tc>
          <w:tcPr>
            <w:tcW w:type="dxa" w:w="1701"/>
          </w:tcPr>
          <w:p>
            <w:pPr>
              <w:spacing w:line="288" w:lineRule="auto" w:before="20" w:after="20"/>
              <w:jc w:val="left"/>
            </w:pPr>
            <w:r/>
            <w:r>
              <w:rPr>
                <w:rFonts w:ascii="Times New Roman" w:hAnsi="Times New Roman" w:eastAsia="HY신명조"/>
                <w:b w:val="0"/>
                <w:sz w:val="18"/>
              </w:rPr>
              <w:t>0/20</w:t>
            </w:r>
          </w:p>
        </w:tc>
        <w:tc>
          <w:tcPr>
            <w:tcW w:type="dxa" w:w="1701"/>
          </w:tcPr>
          <w:p>
            <w:pPr>
              <w:spacing w:line="288" w:lineRule="auto" w:before="20" w:after="20"/>
              <w:jc w:val="left"/>
            </w:pPr>
            <w:r/>
            <w:r>
              <w:rPr>
                <w:rFonts w:ascii="Times New Roman" w:hAnsi="Times New Roman" w:eastAsia="HY신명조"/>
                <w:b w:val="0"/>
                <w:sz w:val="18"/>
              </w:rPr>
              <w:t>10/20</w:t>
            </w:r>
          </w:p>
        </w:tc>
        <w:tc>
          <w:tcPr>
            <w:tcW w:type="dxa" w:w="1701"/>
          </w:tcPr>
          <w:p>
            <w:pPr>
              <w:spacing w:line="288" w:lineRule="auto" w:before="20" w:after="20"/>
              <w:jc w:val="left"/>
            </w:pPr>
            <w:r/>
            <w:r>
              <w:rPr>
                <w:rFonts w:ascii="Times New Roman" w:hAnsi="Times New Roman" w:eastAsia="HY신명조"/>
                <w:b w:val="0"/>
                <w:sz w:val="18"/>
              </w:rPr>
              <w:t>11/20</w:t>
            </w:r>
          </w:p>
        </w:tc>
      </w:tr>
    </w:tbl>
    <w:p>
      <w:pPr>
        <w:spacing w:line="312" w:lineRule="auto" w:before="0" w:after="0"/>
      </w:pPr>
      <w:r>
        <w:rPr>
          <w:rFonts w:ascii="Times New Roman" w:hAnsi="Times New Roman" w:eastAsia="HY신명조"/>
          <w:b w:val="0"/>
          <w:sz w:val="18"/>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 post-hoc implementation audit, however, found that the explicit cap of A4 was not delivered to the planning layer (Chapter 3, Section 6), so A3 and A4 are de facto repeated measurements of the same policy (naturally decelerating evacuation), consistent with p=1.0.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The ablation therefore cannot test the increment of the explicit cap, and its causal effect is verified in a separate dose-response experiment (Section 8).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 The figures of Figure 5-4 must therefore be read only as clearance times conditional on collision-free evacuations; a policy-level comparison including collisions as competing events (cumulative incidence analysis) was not performed.</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Metric</w:t>
            </w:r>
          </w:p>
        </w:tc>
        <w:tc>
          <w:tcPr>
            <w:tcW w:type="dxa" w:w="2126"/>
          </w:tcPr>
          <w:p>
            <w:pPr>
              <w:keepNext/>
              <w:spacing w:line="288" w:lineRule="auto" w:before="20" w:after="20"/>
              <w:jc w:val="center"/>
            </w:pPr>
            <w:r/>
            <w:r>
              <w:rPr>
                <w:rFonts w:ascii="Times New Roman" w:hAnsi="Times New Roman" w:eastAsia="HY신명조"/>
                <w:b/>
                <w:sz w:val="18"/>
              </w:rPr>
              <w:t>A1 stock</w:t>
            </w:r>
          </w:p>
        </w:tc>
        <w:tc>
          <w:tcPr>
            <w:tcW w:type="dxa" w:w="2126"/>
          </w:tcPr>
          <w:p>
            <w:pPr>
              <w:keepNext/>
              <w:spacing w:line="288" w:lineRule="auto" w:before="20" w:after="20"/>
              <w:jc w:val="center"/>
            </w:pPr>
            <w:r/>
            <w:r>
              <w:rPr>
                <w:rFonts w:ascii="Times New Roman" w:hAnsi="Times New Roman" w:eastAsia="HY신명조"/>
                <w:b/>
                <w:sz w:val="18"/>
              </w:rPr>
              <w:t>A2 stop</w:t>
            </w:r>
          </w:p>
        </w:tc>
        <w:tc>
          <w:tcPr>
            <w:tcW w:type="dxa" w:w="2126"/>
          </w:tcPr>
          <w:p>
            <w:pPr>
              <w:keepNext/>
              <w:spacing w:line="288" w:lineRule="auto" w:before="20" w:after="20"/>
              <w:jc w:val="center"/>
            </w:pPr>
            <w:r/>
            <w:r>
              <w:rPr>
                <w:rFonts w:ascii="Times New Roman" w:hAnsi="Times New Roman" w:eastAsia="HY신명조"/>
                <w:b/>
                <w:sz w:val="18"/>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8"/>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8"/>
              </w:rPr>
              <w:t>50.0 m</w:t>
            </w:r>
          </w:p>
        </w:tc>
        <w:tc>
          <w:tcPr>
            <w:tcW w:type="dxa" w:w="2126"/>
          </w:tcPr>
          <w:p>
            <w:pPr>
              <w:keepNext/>
              <w:spacing w:line="288" w:lineRule="auto" w:before="20" w:after="20"/>
              <w:jc w:val="left"/>
            </w:pPr>
            <w:r/>
            <w:r>
              <w:rPr>
                <w:rFonts w:ascii="Times New Roman" w:hAnsi="Times New Roman" w:eastAsia="HY신명조"/>
                <w:b w:val="0"/>
                <w:sz w:val="18"/>
              </w:rPr>
              <w:t>0.0 m</w:t>
            </w:r>
          </w:p>
        </w:tc>
        <w:tc>
          <w:tcPr>
            <w:tcW w:type="dxa" w:w="2126"/>
          </w:tcPr>
          <w:p>
            <w:pPr>
              <w:keepNext/>
              <w:spacing w:line="288" w:lineRule="auto" w:before="20" w:after="20"/>
              <w:jc w:val="left"/>
            </w:pPr>
            <w:r/>
            <w:r>
              <w:rPr>
                <w:rFonts w:ascii="Times New Roman" w:hAnsi="Times New Roman" w:eastAsia="HY신명조"/>
                <w:b w:val="0"/>
                <w:sz w:val="18"/>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① Collision — clearance failure</w:t>
            </w:r>
          </w:p>
          <w:p>
            <w:pPr>
              <w:keepNext/>
              <w:spacing w:line="288" w:lineRule="auto" w:before="20" w:after="20"/>
              <w:jc w:val="left"/>
            </w:pPr>
            <w:r>
              <w:rPr>
                <w:rFonts w:ascii="Times New Roman" w:hAnsi="Times New Roman" w:eastAsia="HY신명조"/>
                <w:b w:val="0"/>
                <w:sz w:val="18"/>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7 cases</w:t>
            </w:r>
          </w:p>
          <w:p>
            <w:pPr>
              <w:keepNext/>
              <w:spacing w:line="288" w:lineRule="auto" w:before="20" w:after="20"/>
              <w:jc w:val="left"/>
            </w:pPr>
            <w:r>
              <w:rPr>
                <w:rFonts w:ascii="Times New Roman" w:hAnsi="Times New Roman" w:eastAsia="HY신명조"/>
                <w:b w:val="0"/>
                <w:sz w:val="18"/>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② No collision, departure</w:t>
            </w:r>
          </w:p>
          <w:p>
            <w:pPr>
              <w:keepNext/>
              <w:spacing w:line="288" w:lineRule="auto" w:before="20" w:after="20"/>
              <w:jc w:val="left"/>
            </w:pPr>
            <w:r>
              <w:rPr>
                <w:rFonts w:ascii="Times New Roman" w:hAnsi="Times New Roman" w:eastAsia="HY신명조"/>
                <w:b w:val="0"/>
                <w:sz w:val="18"/>
              </w:rPr>
              <w:t>observed within horizon</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6 cases</w:t>
            </w:r>
          </w:p>
          <w:p>
            <w:pPr>
              <w:keepNext/>
              <w:spacing w:line="288" w:lineRule="auto" w:before="20" w:after="20"/>
              <w:jc w:val="left"/>
            </w:pPr>
            <w:r>
              <w:rPr>
                <w:rFonts w:ascii="Times New Roman" w:hAnsi="Times New Roman" w:eastAsia="HY신명조"/>
                <w:b w:val="0"/>
                <w:sz w:val="18"/>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8"/>
              </w:rPr>
              <w:t>T_lat-clear ③ No collision, no departure within horizon</w:t>
            </w:r>
          </w:p>
          <w:p>
            <w:pPr>
              <w:spacing w:line="288" w:lineRule="auto" w:before="20" w:after="20"/>
              <w:jc w:val="left"/>
            </w:pPr>
            <w:r>
              <w:rPr>
                <w:rFonts w:ascii="Times New Roman" w:hAnsi="Times New Roman" w:eastAsia="HY신명조"/>
                <w:b w:val="0"/>
                <w:sz w:val="18"/>
              </w:rPr>
              <w:t>(right-censored)</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7 cases</w:t>
            </w:r>
          </w:p>
        </w:tc>
      </w:tr>
    </w:tbl>
    <w:p>
      <w:pPr>
        <w:spacing w:line="312" w:lineRule="auto" w:before="0" w:after="0"/>
      </w:pPr>
      <w:r>
        <w:rPr>
          <w:rFonts w:ascii="Times New Roman" w:hAnsi="Times New Roman" w:eastAsia="HY신명조"/>
          <w:b w:val="0"/>
          <w:sz w:val="18"/>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11/20, whereas launches in low-speed settled cruise with deceleration complete (restart cruise, 8 m encounter; measured encounter speed about 3.0 m/s)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5-5. </w:t>
      </w:r>
      <w:r>
        <w:rPr>
          <w:rFonts w:ascii="Times New Roman" w:hAnsi="Times New Roman" w:eastAsia="HY신명조"/>
          <w:b w:val="0"/>
          <w:sz w:val="18"/>
        </w:rPr>
        <w:t>Ablation results (ledger verdicts, pooled n = 20). (a) Collision/avoidance decomposition of the four arms — launched in the detection + 3 s transient. (b) The same low-speed evacuation policy in two regimes — 11/20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8),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5-7.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cannot test the increment of the explicit cap because the cap was not delivered (Chapter 3, Section 6), and the two ladders of Sections 3 and 7 used different launch protocols.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Sections 6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8).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5-8.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7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5-6.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11/20)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5-9.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null A3↔A4 difference in the ablation (Chapter 5, Section 5) is not an absence of a cap effect but an inability to test it — the undelivered cap made both arms de facto uncapped (Chapter 3, Section 6). The dose-response experiment on settled encounters in which the cap actually holds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11/20 ablation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8).</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human visual inspection,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in 11 of the 12 fault conditions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a same-seed four-arm ablation (n=20 per arm), detection+stop collided in 0/20, evacuation in 10–11/20 (all during the transient), and the stock stack under continued driving in 14/20, while the same evacuation policy under settled cruise showed 0/8 collisions.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9).</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11/20 vs settled 0/8; dose-response 10:0, p=0.002) — the transient statement is restricted to the single launch instant (detection + 3 s) of the ablation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triple adjudication of real-time ledger, physics oracle, and visual cross-check,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visual cross-check)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