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8. 하드 페일 판정 지연: 1.5 s 마감 검증</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59</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59</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63</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65</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72</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4-4.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5-3. 거리 사다리 결과 (원장·영상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표 5-8. 하드 페일 감지·판정 지연(시뮬레이션 시간, 원장 기준)과 1.5 s 마감 준수</w:t>
      </w:r>
      <w:r>
        <w:rPr>
          <w:rFonts w:ascii="HY신명조" w:hAnsi="HY신명조" w:eastAsia="HY신명조"/>
          <w:b w:val="0"/>
          <w:sz w:val="22"/>
        </w:rPr>
        <w:tab/>
        <w:t>57</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55</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지속(A1)↔상한 대피(A4) p=0.375). 반면 같은 상한 대피 정책이 감속 완료 후의 정착 순항에서는 8회 전부 무충돌이었다.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즉각적이지만, 정차 차량은 후속 교통을 차단하고 2차 충돌 기회를 만들며 그 비용이 차로 점유 해소까지 지속된다. 반대로 고장을 감지하지 못한 채 계속 주행하는 것은 열화된 지각으로 위험에 노출되는 거리를 늘린다 — 본 연구의 무감시 관찰에서 순정 스택은 고장 주입 상태로 238~275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60555"/>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60555"/>
                    </a:xfrm>
                    <a:prstGeom prst="rect"/>
                  </pic:spPr>
                </pic:pic>
              </a:graphicData>
            </a:graphic>
          </wp:inline>
        </w:drawing>
      </w:r>
    </w:p>
    <w:p>
      <w:pPr>
        <w:keepLines/>
        <w:spacing w:line="312" w:lineRule="auto" w:before="40" w:after="0"/>
      </w:pPr>
      <w:r>
        <w:rPr>
          <w:rFonts w:ascii="HY신명조" w:hAnsi="HY신명조" w:eastAsia="HY신명조"/>
          <w:b/>
          <w:sz w:val="19"/>
        </w:rPr>
        <w:t xml:space="preserve">그림 1-1. </w:t>
      </w:r>
      <w:r>
        <w:rPr>
          <w:rFonts w:ascii="HY신명조" w:hAnsi="HY신명조" w:eastAsia="HY신명조"/>
          <w:b w:val="0"/>
          <w:sz w:val="19"/>
        </w:rPr>
        <w:t>문제 설정. (a) 센서 고장 시의 단계적 대피 선택지 — ① 여유 공간(free space), ② 주차장, ③ 전방 갓길, ④ 차로 내 정지 — 는 비용함수로 서열화된다.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감지·대응 시간 단축(FTTI 내 여유 확보)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정차)까지만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 FDTI·대응 시간 FRTI·안전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정차가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9"/>
        </w:rPr>
        <w:t xml:space="preserve">표 2-1. </w:t>
      </w:r>
      <w:r>
        <w:rPr>
          <w:rFonts w:ascii="HY신명조" w:hAnsi="HY신명조" w:eastAsia="HY신명조"/>
          <w:b w:val="0"/>
          <w:sz w:val="19"/>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rPr>
          <w:cantSplit/>
        </w:trP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 열화 모델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센서고장 전제형 MRM (Xue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○(11종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2931346"/>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2931346"/>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3-1. </w:t>
      </w:r>
      <w:r>
        <w:rPr>
          <w:rFonts w:ascii="HY신명조" w:hAnsi="HY신명조" w:eastAsia="HY신명조"/>
          <w:b w:val="0"/>
          <w:sz w:val="19"/>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최소위험상태(MRC)는 갓길·주차장 정차 또는 순정 차로 내 정지로 귀결된다.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3-2. </w:t>
      </w:r>
      <w:r>
        <w:rPr>
          <w:rFonts w:ascii="HY신명조" w:hAnsi="HY신명조" w:eastAsia="HY신명조"/>
          <w:b w:val="0"/>
          <w:sz w:val="19"/>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w:t>
      </w:r>
    </w:p>
    <w:p>
      <w:pPr>
        <w:keepNext/>
        <w:spacing w:line="240" w:lineRule="auto"/>
        <w:jc w:val="center"/>
      </w:pPr>
      <w:r>
        <w:drawing>
          <wp:inline xmlns:a="http://schemas.openxmlformats.org/drawingml/2006/main" xmlns:pic="http://schemas.openxmlformats.org/drawingml/2006/picture">
            <wp:extent cx="5400000" cy="1502830"/>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02830"/>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3-3. </w:t>
      </w:r>
      <w:r>
        <w:rPr>
          <w:rFonts w:ascii="HY신명조" w:hAnsi="HY신명조" w:eastAsia="HY신명조"/>
          <w:b w:val="0"/>
          <w:sz w:val="19"/>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8절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9"/>
        </w:rPr>
        <w:t xml:space="preserve">그림 3-4. </w:t>
      </w:r>
      <w:r>
        <w:rPr>
          <w:rFonts w:ascii="HY신명조" w:hAnsi="HY신명조" w:eastAsia="HY신명조"/>
          <w:b w:val="0"/>
          <w:sz w:val="19"/>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 준수는 실측으로 확인되었다(건강도 비례 캡은 구현·미사용 — 표 4-5). 상한은 Autoware 속도 상한 후보 입력 토픽으로 전달한다 — 상한 출력 직접 발행 구현은 셀렉터와 경합해 재출발을 차단함을 실측 확인 후 수정했으며, 중재자(arbiter)의 입력측에 개입하라는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9"/>
        </w:rPr>
        <w:t xml:space="preserve">그림 4-1. </w:t>
      </w:r>
      <w:r>
        <w:rPr>
          <w:rFonts w:ascii="HY신명조" w:hAnsi="HY신명조" w:eastAsia="HY신명조"/>
          <w:b w:val="0"/>
          <w:sz w:val="19"/>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9"/>
        </w:rPr>
        <w:t xml:space="preserve">표 4-1. </w:t>
      </w:r>
      <w:r>
        <w:rPr>
          <w:rFonts w:ascii="HY신명조" w:hAnsi="HY신명조" w:eastAsia="HY신명조"/>
          <w:b w:val="0"/>
          <w:sz w:val="19"/>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12" w:lineRule="auto" w:before="40" w:after="0"/>
      </w:pPr>
      <w:r>
        <w:rPr>
          <w:rFonts w:ascii="HY신명조" w:hAnsi="HY신명조" w:eastAsia="HY신명조"/>
          <w:b/>
          <w:sz w:val="19"/>
        </w:rPr>
        <w:t xml:space="preserve">표 4-2. </w:t>
      </w:r>
      <w:r>
        <w:rPr>
          <w:rFonts w:ascii="HY신명조" w:hAnsi="HY신명조" w:eastAsia="HY신명조"/>
          <w:b w:val="0"/>
          <w:sz w:val="19"/>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gb</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imb</w:t>
            </w:r>
          </w:p>
        </w:tc>
        <w:tc>
          <w:tcPr>
            <w:tcW w:type="dxa" w:w="2126"/>
          </w:tcPr>
          <w:p>
            <w:pPr>
              <w:keepNext/>
              <w:spacing w:line="288" w:lineRule="auto" w:before="20" w:after="20"/>
              <w:jc w:val="left"/>
            </w:pPr>
            <w:r/>
            <w:r>
              <w:rPr>
                <w:rFonts w:ascii="HY신명조" w:hAnsi="HY신명조" w:eastAsia="HY신명조"/>
                <w:b w:val="0"/>
                <w:sz w:val="19"/>
              </w:rPr>
              <w:t>IMU 자이로 바이어스</w:t>
            </w:r>
          </w:p>
        </w:tc>
        <w:tc>
          <w:tcPr>
            <w:tcW w:type="dxa" w:w="2126"/>
          </w:tcPr>
          <w:p>
            <w:pPr>
              <w:keepNext/>
              <w:spacing w:line="288" w:lineRule="auto" w:before="20" w:after="20"/>
              <w:jc w:val="left"/>
            </w:pPr>
            <w:r/>
            <w:r>
              <w:rPr>
                <w:rFonts w:ascii="HY신명조" w:hAnsi="HY신명조" w:eastAsia="HY신명조"/>
                <w:b w:val="0"/>
                <w:sz w:val="19"/>
              </w:rPr>
              <w:t>계단형 고정 편향</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imd</w:t>
            </w:r>
          </w:p>
        </w:tc>
        <w:tc>
          <w:tcPr>
            <w:tcW w:type="dxa" w:w="2126"/>
          </w:tcPr>
          <w:p>
            <w:pPr>
              <w:keepNext/>
              <w:spacing w:line="288" w:lineRule="auto" w:before="20" w:after="20"/>
              <w:jc w:val="left"/>
            </w:pPr>
            <w:r/>
            <w:r>
              <w:rPr>
                <w:rFonts w:ascii="HY신명조" w:hAnsi="HY신명조" w:eastAsia="HY신명조"/>
                <w:b w:val="0"/>
                <w:sz w:val="19"/>
              </w:rPr>
              <w:t>IMU 바이어스 드리프트</w:t>
            </w:r>
          </w:p>
        </w:tc>
        <w:tc>
          <w:tcPr>
            <w:tcW w:type="dxa" w:w="2126"/>
          </w:tcPr>
          <w:p>
            <w:pPr>
              <w:keepNext/>
              <w:spacing w:line="288" w:lineRule="auto" w:before="20" w:after="20"/>
              <w:jc w:val="left"/>
            </w:pPr>
            <w:r/>
            <w:r>
              <w:rPr>
                <w:rFonts w:ascii="HY신명조" w:hAnsi="HY신명조" w:eastAsia="HY신명조"/>
                <w:b w:val="0"/>
                <w:sz w:val="19"/>
              </w:rPr>
              <w:t>시간 비례 램프</w:t>
            </w:r>
          </w:p>
        </w:tc>
        <w:tc>
          <w:tcPr>
            <w:tcW w:type="dxa" w:w="2126"/>
          </w:tcPr>
          <w:p>
            <w:pPr>
              <w:keepNext/>
              <w:spacing w:line="288" w:lineRule="auto" w:before="20" w:after="20"/>
              <w:jc w:val="left"/>
            </w:pPr>
            <w:r/>
            <w:r>
              <w:rPr>
                <w:rFonts w:ascii="HY신명조" w:hAnsi="HY신명조" w:eastAsia="HY신명조"/>
                <w:b w:val="0"/>
                <w:sz w:val="19"/>
              </w:rPr>
              <w:t>mid/high</w:t>
            </w:r>
          </w:p>
        </w:tc>
      </w:tr>
      <w:tr>
        <w:trPr>
          <w:cantSplit/>
        </w:trPr>
        <w:tc>
          <w:tcPr>
            <w:tcW w:type="dxa" w:w="2126"/>
          </w:tcPr>
          <w:p>
            <w:pPr>
              <w:spacing w:line="288" w:lineRule="auto" w:before="20" w:after="20"/>
              <w:jc w:val="left"/>
            </w:pPr>
            <w:r/>
            <w:r>
              <w:rPr>
                <w:rFonts w:ascii="HY신명조" w:hAnsi="HY신명조" w:eastAsia="HY신명조"/>
                <w:b w:val="0"/>
                <w:sz w:val="19"/>
              </w:rPr>
              <w:t>gf</w:t>
            </w:r>
          </w:p>
        </w:tc>
        <w:tc>
          <w:tcPr>
            <w:tcW w:type="dxa" w:w="2126"/>
          </w:tcPr>
          <w:p>
            <w:pPr>
              <w:spacing w:line="288" w:lineRule="auto" w:before="20" w:after="20"/>
              <w:jc w:val="left"/>
            </w:pPr>
            <w:r/>
            <w:r>
              <w:rPr>
                <w:rFonts w:ascii="HY신명조" w:hAnsi="HY신명조" w:eastAsia="HY신명조"/>
                <w:b w:val="0"/>
                <w:sz w:val="19"/>
              </w:rPr>
              <w:t>GNSS 두절</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312" w:lineRule="auto" w:before="0" w:after="0"/>
      </w:pPr>
      <w:r>
        <w:rPr>
          <w:rFonts w:ascii="HY신명조" w:hAnsi="HY신명조" w:eastAsia="HY신명조"/>
          <w:b w:val="0"/>
          <w:sz w:val="19"/>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9"/>
        </w:rPr>
        <w:t xml:space="preserve">그림 4-2. </w:t>
      </w:r>
      <w:r>
        <w:rPr>
          <w:rFonts w:ascii="HY신명조" w:hAnsi="HY신명조" w:eastAsia="HY신명조"/>
          <w:b w:val="0"/>
          <w:sz w:val="19"/>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9"/>
        </w:rPr>
        <w:t xml:space="preserve">표 4-3. </w:t>
      </w:r>
      <w:r>
        <w:rPr>
          <w:rFonts w:ascii="HY신명조" w:hAnsi="HY신명조" w:eastAsia="HY신명조"/>
          <w:b w:val="0"/>
          <w:sz w:val="19"/>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블록</w:t>
            </w:r>
          </w:p>
        </w:tc>
        <w:tc>
          <w:tcPr>
            <w:tcW w:type="dxa" w:w="2126"/>
          </w:tcPr>
          <w:p>
            <w:pPr>
              <w:keepNext/>
              <w:spacing w:line="288" w:lineRule="auto" w:before="20" w:after="20"/>
              <w:jc w:val="center"/>
            </w:pPr>
            <w:r/>
            <w:r>
              <w:rPr>
                <w:rFonts w:ascii="HY신명조" w:hAnsi="HY신명조" w:eastAsia="HY신명조"/>
                <w:b/>
                <w:sz w:val="19"/>
              </w:rPr>
              <w:t>계획</w:t>
            </w:r>
          </w:p>
        </w:tc>
        <w:tc>
          <w:tcPr>
            <w:tcW w:type="dxa" w:w="2126"/>
          </w:tcPr>
          <w:p>
            <w:pPr>
              <w:keepNext/>
              <w:spacing w:line="288" w:lineRule="auto" w:before="20" w:after="20"/>
              <w:jc w:val="center"/>
            </w:pPr>
            <w:r/>
            <w:r>
              <w:rPr>
                <w:rFonts w:ascii="HY신명조" w:hAnsi="HY신명조" w:eastAsia="HY신명조"/>
                <w:b/>
                <w:sz w:val="19"/>
              </w:rPr>
              <w:t>최종 유효</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141</w:t>
            </w:r>
          </w:p>
        </w:tc>
        <w:tc>
          <w:tcPr>
            <w:tcW w:type="dxa" w:w="2126"/>
          </w:tcPr>
          <w:p>
            <w:pPr>
              <w:keepNext/>
              <w:spacing w:line="288" w:lineRule="auto" w:before="20" w:after="20"/>
              <w:jc w:val="left"/>
            </w:pPr>
            <w:r/>
            <w:r>
              <w:rPr>
                <w:rFonts w:ascii="HY신명조" w:hAnsi="HY신명조" w:eastAsia="HY신명조"/>
                <w:b w:val="0"/>
                <w:sz w:val="19"/>
              </w:rPr>
              <w:t>고강도 39 부족 — 최종 파라미터 배치가 51행에서 중단(공격적 교통 30 전량·방어적 9 미실행). 후속 재실행 60런은 교통 스폰 소거(밀도 조건 불성립)와 트리거 이탈로 채택 기준 미달</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180</w:t>
            </w:r>
          </w:p>
        </w:tc>
        <w:tc>
          <w:tcPr>
            <w:tcW w:type="dxa" w:w="2126"/>
          </w:tcPr>
          <w:p>
            <w:pPr>
              <w:keepNext/>
              <w:spacing w:line="288" w:lineRule="auto" w:before="20" w:after="20"/>
              <w:jc w:val="left"/>
            </w:pPr>
            <w:r/>
            <w:r>
              <w:rPr>
                <w:rFonts w:ascii="HY신명조" w:hAnsi="HY신명조" w:eastAsia="HY신명조"/>
                <w:b w:val="0"/>
                <w:sz w:val="19"/>
              </w:rPr>
              <w:t>1행 CARLA_DIED — 블록 통계에서 제외</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nf</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오발동 대조</w:t>
            </w:r>
          </w:p>
        </w:tc>
      </w:tr>
      <w:tr>
        <w:trPr>
          <w:cantSplit/>
        </w:trPr>
        <w:tc>
          <w:tcPr>
            <w:tcW w:type="dxa" w:w="2126"/>
          </w:tcPr>
          <w:p>
            <w:pPr>
              <w:spacing w:line="288" w:lineRule="auto" w:before="20" w:after="20"/>
              <w:jc w:val="left"/>
            </w:pPr>
            <w:r/>
            <w:r>
              <w:rPr>
                <w:rFonts w:ascii="HY신명조" w:hAnsi="HY신명조" w:eastAsia="HY신명조"/>
                <w:b w:val="0"/>
                <w:sz w:val="19"/>
              </w:rPr>
              <w:t>계</w:t>
            </w:r>
          </w:p>
        </w:tc>
        <w:tc>
          <w:tcPr>
            <w:tcW w:type="dxa" w:w="2126"/>
          </w:tcPr>
          <w:p>
            <w:pPr>
              <w:spacing w:line="288" w:lineRule="auto" w:before="20" w:after="20"/>
              <w:jc w:val="left"/>
            </w:pPr>
            <w:r/>
            <w:r>
              <w:rPr>
                <w:rFonts w:ascii="HY신명조" w:hAnsi="HY신명조" w:eastAsia="HY신명조"/>
                <w:b w:val="0"/>
                <w:sz w:val="19"/>
              </w:rPr>
              <w:t>1,170</w:t>
            </w:r>
          </w:p>
        </w:tc>
        <w:tc>
          <w:tcPr>
            <w:tcW w:type="dxa" w:w="2126"/>
          </w:tcPr>
          <w:p>
            <w:pPr>
              <w:spacing w:line="288" w:lineRule="auto" w:before="20" w:after="20"/>
              <w:jc w:val="left"/>
            </w:pPr>
            <w:r/>
            <w:r>
              <w:rPr>
                <w:rFonts w:ascii="HY신명조" w:hAnsi="HY신명조" w:eastAsia="HY신명조"/>
                <w:b w:val="0"/>
                <w:sz w:val="19"/>
              </w:rPr>
              <w:t>1,131</w:t>
            </w:r>
          </w:p>
        </w:tc>
        <w:tc>
          <w:tcPr>
            <w:tcW w:type="dxa" w:w="2126"/>
          </w:tcPr>
          <w:p>
            <w:pPr>
              <w:spacing w:line="288" w:lineRule="auto" w:before="20" w:after="20"/>
              <w:jc w:val="left"/>
            </w:pPr>
            <w:r/>
            <w:r>
              <w:rPr>
                <w:rFonts w:ascii="HY신명조" w:hAnsi="HY신명조" w:eastAsia="HY신명조"/>
                <w:b w:val="0"/>
                <w:sz w:val="19"/>
              </w:rPr>
            </w:r>
          </w:p>
        </w:tc>
      </w:tr>
    </w:tbl>
    <w:p>
      <w:pPr>
        <w:spacing w:line="312" w:lineRule="auto" w:before="0" w:after="0"/>
      </w:pPr>
      <w:r>
        <w:rPr>
          <w:rFonts w:ascii="HY신명조" w:hAnsi="HY신명조" w:eastAsia="HY신명조"/>
          <w:b w:val="0"/>
          <w:sz w:val="19"/>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506304"/>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506304"/>
                    </a:xfrm>
                    <a:prstGeom prst="rect"/>
                  </pic:spPr>
                </pic:pic>
              </a:graphicData>
            </a:graphic>
          </wp:inline>
        </w:drawing>
      </w:r>
    </w:p>
    <w:p>
      <w:pPr>
        <w:keepLines/>
        <w:spacing w:line="312" w:lineRule="auto" w:before="40" w:after="0"/>
      </w:pPr>
      <w:r>
        <w:rPr>
          <w:rFonts w:ascii="HY신명조" w:hAnsi="HY신명조" w:eastAsia="HY신명조"/>
          <w:b/>
          <w:sz w:val="19"/>
        </w:rPr>
        <w:t xml:space="preserve">그림 4-3. </w:t>
      </w:r>
      <w:r>
        <w:rPr>
          <w:rFonts w:ascii="HY신명조" w:hAnsi="HY신명조" w:eastAsia="HY신명조"/>
          <w:b w:val="0"/>
          <w:sz w:val="19"/>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사망해 간격 기록이 소실된 사례(5절) 이후 리스너에 워치독 재시작을 두어 기록 채널의 생존을 보장했고, 8 m 조우 비교에서는 비교하려는 상태의 성립을 확인한 뒤 길목 트리거를 활성화하는 무장(arm) 방식으로 상태 불일치 조우의 혼입을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4-4). 설계는 외부 전문가 2회 검토를 반영해 확정했다.</w:t>
      </w:r>
    </w:p>
    <w:p>
      <w:pPr>
        <w:keepNext/>
        <w:spacing w:line="312" w:lineRule="auto" w:before="40" w:after="0"/>
      </w:pPr>
      <w:r>
        <w:rPr>
          <w:rFonts w:ascii="HY신명조" w:hAnsi="HY신명조" w:eastAsia="HY신명조"/>
          <w:b/>
          <w:sz w:val="19"/>
        </w:rPr>
        <w:t xml:space="preserve">표 4-4. </w:t>
      </w:r>
      <w:r>
        <w:rPr>
          <w:rFonts w:ascii="HY신명조" w:hAnsi="HY신명조" w:eastAsia="HY신명조"/>
          <w:b w:val="0"/>
          <w:sz w:val="19"/>
        </w:rPr>
        <w:t>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10개(S02~S11, S01은 개발용 사전 제외)를 4팔이 공유하며, 각 시드는 고장 시점·보행 속도·횡방향 지터·CARLA·고장 파형·보행자 난수를 고정한다(구체 값은 표 4-5)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재실행했다(절제 1차 회차에서 S05 2회). 본 실행 전 스모크 케이스로 4팔의 고장 파형 체크섬 일치(첫 20샘플), 감지 시점 차이 Δt_detect &lt; 0.3 s, 발사 기하 8±0.2 m, A1 무결성(감지기 on/off의 속도 프로파일 차이 &lt; 0.05 m/s RMS)을 검증한 뒤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6:0부터 p=0.03125로 0.05 미만에 도달한다). A1↔A2, A2↔A3는 기술적·기전 분석으로만 다루고, 비쌍대 보조 비교에는 Fisher 정확검정을 쓴다.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 대피 팔 20런에 대한 탐색적 분석으로 A3·A4를 합산한다 — 확장 회차는 반환 계측을 수집하지 않았고 팔별 분해는 표본이 부족하다):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9"/>
        </w:rPr>
        <w:t xml:space="preserve">표 4-5. </w:t>
      </w:r>
      <w:r>
        <w:rPr>
          <w:rFonts w:ascii="HY신명조" w:hAnsi="HY신명조" w:eastAsia="HY신명조"/>
          <w:b w:val="0"/>
          <w:sz w:val="19"/>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v_max≈3.89 m/s 역산 하회; 건강도 비례 캡은 구현·미사용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 사다리 경계에 보정한 공칭값 — 설계용 근사식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비용함수 가중치</w:t>
            </w:r>
          </w:p>
        </w:tc>
        <w:tc>
          <w:tcPr>
            <w:tcW w:type="dxa" w:w="2835"/>
          </w:tcPr>
          <w:p>
            <w:pPr>
              <w:keepNext/>
              <w:spacing w:line="288" w:lineRule="auto" w:before="20" w:after="20"/>
              <w:jc w:val="left"/>
            </w:pPr>
            <w:r/>
            <w:r>
              <w:rPr>
                <w:rFonts w:ascii="HY신명조" w:hAnsi="HY신명조" w:eastAsia="HY신명조"/>
                <w:b w:val="0"/>
                <w:sz w:val="19"/>
              </w:rPr>
              <w:t>w_t=7.0/s · w_tl=200 · w_sec=500 · w_loc=14/s</w:t>
            </w:r>
          </w:p>
        </w:tc>
        <w:tc>
          <w:tcPr>
            <w:tcW w:type="dxa" w:w="2835"/>
          </w:tcPr>
          <w:p>
            <w:pPr>
              <w:keepNext/>
              <w:spacing w:line="288" w:lineRule="auto" w:before="20" w:after="20"/>
              <w:jc w:val="left"/>
            </w:pPr>
            <w:r/>
            <w:r>
              <w:rPr>
                <w:rFonts w:ascii="HY신명조" w:hAnsi="HY신명조" w:eastAsia="HY신명조"/>
                <w:b w:val="0"/>
                <w:sz w:val="19"/>
              </w:rPr>
              <w:t>식 (3-8); 신호등당 대기 기대 15 s, 갓길 MRC 벌점 175(저하 주행 약 25 s 상당)</w:t>
            </w:r>
          </w:p>
        </w:tc>
      </w:tr>
      <w:tr>
        <w:trPr>
          <w:cantSplit/>
        </w:trPr>
        <w:tc>
          <w:tcPr>
            <w:tcW w:type="dxa" w:w="2835"/>
          </w:tcPr>
          <w:p>
            <w:pPr>
              <w:keepNext/>
              <w:spacing w:line="288" w:lineRule="auto" w:before="20" w:after="20"/>
              <w:jc w:val="left"/>
            </w:pPr>
            <w:r/>
            <w:r>
              <w:rPr>
                <w:rFonts w:ascii="HY신명조" w:hAnsi="HY신명조" w:eastAsia="HY신명조"/>
                <w:b w:val="0"/>
                <w:sz w:val="19"/>
              </w:rPr>
              <w:t>대피 후보 하드 제약</w:t>
            </w:r>
          </w:p>
        </w:tc>
        <w:tc>
          <w:tcPr>
            <w:tcW w:type="dxa" w:w="2835"/>
          </w:tcPr>
          <w:p>
            <w:pPr>
              <w:keepNext/>
              <w:spacing w:line="288" w:lineRule="auto" w:before="20" w:after="20"/>
              <w:jc w:val="left"/>
            </w:pPr>
            <w:r/>
            <w:r>
              <w:rPr>
                <w:rFonts w:ascii="HY신명조" w:hAnsi="HY신명조" w:eastAsia="HY신명조"/>
                <w:b w:val="0"/>
                <w:sz w:val="19"/>
              </w:rPr>
              <w:t>최소 접근거리 25 m · 갓길 최소 길이 7.0 m</w:t>
            </w:r>
          </w:p>
        </w:tc>
        <w:tc>
          <w:tcPr>
            <w:tcW w:type="dxa" w:w="2835"/>
          </w:tcPr>
          <w:p>
            <w:pPr>
              <w:keepNext/>
              <w:spacing w:line="288" w:lineRule="auto" w:before="20" w:after="20"/>
              <w:jc w:val="left"/>
            </w:pPr>
            <w:r/>
            <w:r>
              <w:rPr>
                <w:rFonts w:ascii="HY신명조" w:hAnsi="HY신명조" w:eastAsia="HY신명조"/>
                <w:b w:val="0"/>
                <w:sz w:val="19"/>
              </w:rPr>
              <w:t>미달 후보는 비용 무한대(제3장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실측(틱 계측 조우 런 n=90): 0.5 s 창 중앙 2.46(1.2~3.0)·1 s 창 중앙 2.50 m/s — 가속 과도는 제6장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절제 시드</w:t>
            </w:r>
          </w:p>
        </w:tc>
        <w:tc>
          <w:tcPr>
            <w:tcW w:type="dxa" w:w="2835"/>
          </w:tcPr>
          <w:p>
            <w:pPr>
              <w:keepNext/>
              <w:spacing w:line="288" w:lineRule="auto" w:before="20" w:after="20"/>
              <w:jc w:val="left"/>
            </w:pPr>
            <w:r/>
            <w:r>
              <w:rPr>
                <w:rFonts w:ascii="HY신명조" w:hAnsi="HY신명조" w:eastAsia="HY신명조"/>
                <w:b w:val="0"/>
                <w:sz w:val="19"/>
              </w:rPr>
              <w:t>S02~S11 (10개, 4팔 쌍대 공유;</w:t>
            </w:r>
          </w:p>
          <w:p>
            <w:pPr>
              <w:keepNext/>
              <w:spacing w:line="288" w:lineRule="auto" w:before="20" w:after="20"/>
              <w:jc w:val="left"/>
            </w:pPr>
            <w:r>
              <w:rPr>
                <w:rFonts w:ascii="HY신명조" w:hAnsi="HY신명조" w:eastAsia="HY신명조"/>
                <w:b w:val="0"/>
                <w:sz w:val="19"/>
              </w:rPr>
              <w:t>S01은 개발용 제외)</w:t>
            </w:r>
          </w:p>
        </w:tc>
        <w:tc>
          <w:tcPr>
            <w:tcW w:type="dxa" w:w="2835"/>
          </w:tcPr>
          <w:p>
            <w:pPr>
              <w:keepNext/>
              <w:spacing w:line="288" w:lineRule="auto" w:before="20" w:after="20"/>
              <w:jc w:val="left"/>
            </w:pPr>
            <w:r/>
            <w:r>
              <w:rPr>
                <w:rFonts w:ascii="HY신명조" w:hAnsi="HY신명조" w:eastAsia="HY신명조"/>
                <w:b w:val="0"/>
                <w:sz w:val="19"/>
              </w:rPr>
              <w:t>고장 시점 11~44 s·보행 2.5/3.0 m/s 블록·횡 지터·</w:t>
            </w:r>
          </w:p>
          <w:p>
            <w:pPr>
              <w:keepNext/>
              <w:spacing w:line="288" w:lineRule="auto" w:before="20" w:after="20"/>
              <w:jc w:val="left"/>
            </w:pPr>
            <w:r>
              <w:rPr>
                <w:rFonts w:ascii="HY신명조" w:hAnsi="HY신명조" w:eastAsia="HY신명조"/>
                <w:b w:val="0"/>
                <w:sz w:val="19"/>
              </w:rPr>
              <w:t>CARLA·고장 파형(FAULT_SEED)·보행자 난수 고정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9"/>
        </w:rPr>
        <w:t xml:space="preserve">표 5-1. </w:t>
      </w:r>
      <w:r>
        <w:rPr>
          <w:rFonts w:ascii="HY신명조" w:hAnsi="HY신명조" w:eastAsia="HY신명조"/>
          <w:b w:val="0"/>
          <w:sz w:val="19"/>
        </w:rPr>
        <w:t>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0.98*</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1.00*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2.3</w:t>
            </w:r>
          </w:p>
        </w:tc>
      </w:tr>
      <w:tr>
        <w:trPr>
          <w:cantSplit/>
        </w:trPr>
        <w:tc>
          <w:tcPr>
            <w:tcW w:type="dxa" w:w="1701"/>
          </w:tcPr>
          <w:p>
            <w:pPr>
              <w:spacing w:line="288" w:lineRule="auto" w:before="20" w:after="20"/>
              <w:jc w:val="left"/>
            </w:pPr>
            <w:r/>
            <w:r>
              <w:rPr>
                <w:rFonts w:ascii="HY신명조" w:hAnsi="HY신명조" w:eastAsia="HY신명조"/>
                <w:b w:val="0"/>
                <w:sz w:val="19"/>
              </w:rPr>
              <w:t>gb† GNSS 상관 편향</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3.0</w:t>
            </w:r>
          </w:p>
        </w:tc>
      </w:tr>
      <w:tr>
        <w:trPr>
          <w:cantSplit/>
        </w:trPr>
        <w:tc>
          <w:tcPr>
            <w:tcW w:type="dxa" w:w="1701"/>
          </w:tcPr>
          <w:p>
            <w:pPr>
              <w:spacing w:line="288" w:lineRule="auto" w:before="20" w:after="20"/>
              <w:jc w:val="left"/>
            </w:pPr>
            <w:r/>
            <w:r>
              <w:rPr>
                <w:rFonts w:ascii="HY신명조" w:hAnsi="HY신명조" w:eastAsia="HY신명조"/>
                <w:b w:val="0"/>
                <w:sz w:val="19"/>
              </w:rPr>
              <w:t>gf† GNSS 두절</w:t>
            </w:r>
          </w:p>
        </w:tc>
        <w:tc>
          <w:tcPr>
            <w:tcW w:type="dxa" w:w="1701"/>
          </w:tcPr>
          <w:p>
            <w:pPr>
              <w:spacing w:line="288" w:lineRule="auto" w:before="20" w:after="20"/>
              <w:jc w:val="left"/>
            </w:pPr>
            <w:r/>
            <w:r>
              <w:rPr>
                <w:rFonts w:ascii="HY신명조" w:hAnsi="HY신명조" w:eastAsia="HY신명조"/>
                <w:b w:val="0"/>
                <w:sz w:val="19"/>
              </w:rPr>
              <w:t>-</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imb† IMU 자이로 바이어스</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3.6</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44</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5.4</w:t>
            </w:r>
          </w:p>
        </w:tc>
      </w:tr>
      <w:tr>
        <w:trPr>
          <w:cantSplit/>
        </w:trPr>
        <w:tc>
          <w:tcPr>
            <w:tcW w:type="dxa" w:w="1701"/>
          </w:tcPr>
          <w:p>
            <w:pPr>
              <w:spacing w:line="288" w:lineRule="auto" w:before="20" w:after="20"/>
              <w:jc w:val="left"/>
            </w:pPr>
            <w:r/>
            <w:r>
              <w:rPr>
                <w:rFonts w:ascii="HY신명조" w:hAnsi="HY신명조" w:eastAsia="HY신명조"/>
                <w:b w:val="0"/>
                <w:sz w:val="19"/>
              </w:rPr>
              <w:t>imd† IMU 바이어스 램프</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43</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8.6</w:t>
            </w:r>
          </w:p>
        </w:tc>
      </w:tr>
    </w:tbl>
    <w:p>
      <w:pPr>
        <w:spacing w:line="312" w:lineRule="auto" w:before="0" w:after="0"/>
      </w:pPr>
      <w:r>
        <w:rPr>
          <w:rFonts w:ascii="HY신명조" w:hAnsi="HY신명조" w:eastAsia="HY신명조"/>
          <w:b w:val="0"/>
          <w:sz w:val="19"/>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8절 표 5-8에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5-1. </w:t>
      </w:r>
      <w:r>
        <w:rPr>
          <w:rFonts w:ascii="HY신명조" w:hAnsi="HY신명조" w:eastAsia="HY신명조"/>
          <w:b w:val="0"/>
          <w:sz w:val="19"/>
        </w:rPr>
        <w:t>고장 조건별 감지 지연 분포(제안 팔, 주입 시점 기준). 상단은 본 캠페인, 하단은 보조 캠페인(항법 확장, 표 5-1 †)이며, 카메라·라이다 사망(*)은 하드 페일 고속경로의 원장 기반 시뮬레이션 시간 재계측이다(제5장 8절).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5-2. </w:t>
      </w:r>
      <w:r>
        <w:rPr>
          <w:rFonts w:ascii="HY신명조" w:hAnsi="HY신명조" w:eastAsia="HY신명조"/>
          <w:b w:val="0"/>
          <w:sz w:val="19"/>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9"/>
        </w:rPr>
        <w:t xml:space="preserve">표 5-2. </w:t>
      </w:r>
      <w:r>
        <w:rPr>
          <w:rFonts w:ascii="HY신명조" w:hAnsi="HY신명조" w:eastAsia="HY신명조"/>
          <w:b w:val="0"/>
          <w:sz w:val="19"/>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정직한 단서로, 본 매트릭스 케이스에는 보행자 돌발 주입이 없으며 케이스 수준 "충돌 0" 주장은 5절의 원장 도입 이전 데이터이므로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9"/>
        </w:rPr>
        <w:t xml:space="preserve">표 5-3. </w:t>
      </w:r>
      <w:r>
        <w:rPr>
          <w:rFonts w:ascii="HY신명조" w:hAnsi="HY신명조" w:eastAsia="HY신명조"/>
          <w:b w:val="0"/>
          <w:sz w:val="19"/>
        </w:rPr>
        <w:t>거리 사다리 결과 (원장·영상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5-3. </w:t>
      </w:r>
      <w:r>
        <w:rPr>
          <w:rFonts w:ascii="HY신명조" w:hAnsi="HY신명조" w:eastAsia="HY신명조"/>
          <w:b w:val="0"/>
          <w:sz w:val="19"/>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9"/>
        </w:rPr>
        <w:t xml:space="preserve">표 5-4. </w:t>
      </w:r>
      <w:r>
        <w:rPr>
          <w:rFonts w:ascii="HY신명조" w:hAnsi="HY신명조" w:eastAsia="HY신명조"/>
          <w:b w:val="0"/>
          <w:sz w:val="19"/>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14/20</w:t>
            </w:r>
          </w:p>
        </w:tc>
        <w:tc>
          <w:tcPr>
            <w:tcW w:type="dxa" w:w="2126"/>
          </w:tcPr>
          <w:p>
            <w:pPr>
              <w:keepNext/>
              <w:spacing w:line="288" w:lineRule="auto" w:before="20" w:after="20"/>
              <w:jc w:val="left"/>
            </w:pPr>
            <w:r/>
            <w:r>
              <w:rPr>
                <w:rFonts w:ascii="HY신명조" w:hAnsi="HY신명조" w:eastAsia="HY신명조"/>
                <w:b w:val="0"/>
                <w:sz w:val="19"/>
              </w:rPr>
              <w:t>70% [48.1, 85.5]</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0/20</w:t>
            </w:r>
          </w:p>
        </w:tc>
        <w:tc>
          <w:tcPr>
            <w:tcW w:type="dxa" w:w="2126"/>
          </w:tcPr>
          <w:p>
            <w:pPr>
              <w:keepNext/>
              <w:spacing w:line="288" w:lineRule="auto" w:before="20" w:after="20"/>
              <w:jc w:val="left"/>
            </w:pPr>
            <w:r/>
            <w:r>
              <w:rPr>
                <w:rFonts w:ascii="HY신명조" w:hAnsi="HY신명조" w:eastAsia="HY신명조"/>
                <w:b w:val="0"/>
                <w:sz w:val="19"/>
              </w:rPr>
              <w:t>0% [0.0, 16.1]</w:t>
            </w:r>
          </w:p>
        </w:tc>
        <w:tc>
          <w:tcPr>
            <w:tcW w:type="dxa" w:w="2126"/>
          </w:tcPr>
          <w:p>
            <w:pPr>
              <w:keepNext/>
              <w:spacing w:line="288" w:lineRule="auto" w:before="20" w:after="20"/>
              <w:jc w:val="left"/>
            </w:pPr>
            <w:r/>
            <w:r>
              <w:rPr>
                <w:rFonts w:ascii="HY신명조" w:hAnsi="HY신명조" w:eastAsia="HY신명조"/>
                <w:b w:val="0"/>
                <w:sz w:val="19"/>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10/20</w:t>
            </w:r>
          </w:p>
        </w:tc>
        <w:tc>
          <w:tcPr>
            <w:tcW w:type="dxa" w:w="2126"/>
          </w:tcPr>
          <w:p>
            <w:pPr>
              <w:keepNext/>
              <w:spacing w:line="288" w:lineRule="auto" w:before="20" w:after="20"/>
              <w:jc w:val="left"/>
            </w:pPr>
            <w:r/>
            <w:r>
              <w:rPr>
                <w:rFonts w:ascii="HY신명조" w:hAnsi="HY신명조" w:eastAsia="HY신명조"/>
                <w:b w:val="0"/>
                <w:sz w:val="19"/>
              </w:rPr>
              <w:t>50% [29.9, 70.1]</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11/20</w:t>
            </w:r>
          </w:p>
        </w:tc>
        <w:tc>
          <w:tcPr>
            <w:tcW w:type="dxa" w:w="2126"/>
          </w:tcPr>
          <w:p>
            <w:pPr>
              <w:spacing w:line="288" w:lineRule="auto" w:before="20" w:after="20"/>
              <w:jc w:val="left"/>
            </w:pPr>
            <w:r/>
            <w:r>
              <w:rPr>
                <w:rFonts w:ascii="HY신명조" w:hAnsi="HY신명조" w:eastAsia="HY신명조"/>
                <w:b w:val="0"/>
                <w:sz w:val="19"/>
              </w:rPr>
              <w:t>55% [34.2, 74.2]</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유의하지 않아 합산 추정(표 5-4)을 보고하되, 소표본 점추정이 표본 확대로 이동할 수 있음을 보여주는 사례로 명시한다. 시드 간 이질성이 뚜렷하다: S06·S09·S11·S16·S17은 4팔 전부 회피(조우 기하가 관대), S05·S07·S08·S12·S13·S15·S19·S20·S21은 A2(정지)를 제외한 세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9"/>
        </w:rPr>
        <w:t xml:space="preserve">표 5-5. </w:t>
      </w:r>
      <w:r>
        <w:rPr>
          <w:rFonts w:ascii="HY신명조" w:hAnsi="HY신명조" w:eastAsia="HY신명조"/>
          <w:b w:val="0"/>
          <w:sz w:val="19"/>
        </w:rPr>
        <w:t>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rPr>
          <w:cantSplit/>
        </w:trP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S14</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S16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S17</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S19</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S21</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14/20</w:t>
            </w:r>
          </w:p>
        </w:tc>
        <w:tc>
          <w:tcPr>
            <w:tcW w:type="dxa" w:w="1701"/>
          </w:tcPr>
          <w:p>
            <w:pPr>
              <w:spacing w:line="288" w:lineRule="auto" w:before="20" w:after="20"/>
              <w:jc w:val="left"/>
            </w:pPr>
            <w:r/>
            <w:r>
              <w:rPr>
                <w:rFonts w:ascii="HY신명조" w:hAnsi="HY신명조" w:eastAsia="HY신명조"/>
                <w:b w:val="0"/>
                <w:sz w:val="19"/>
              </w:rPr>
              <w:t>0/20</w:t>
            </w:r>
          </w:p>
        </w:tc>
        <w:tc>
          <w:tcPr>
            <w:tcW w:type="dxa" w:w="1701"/>
          </w:tcPr>
          <w:p>
            <w:pPr>
              <w:spacing w:line="288" w:lineRule="auto" w:before="20" w:after="20"/>
              <w:jc w:val="left"/>
            </w:pPr>
            <w:r/>
            <w:r>
              <w:rPr>
                <w:rFonts w:ascii="HY신명조" w:hAnsi="HY신명조" w:eastAsia="HY신명조"/>
                <w:b w:val="0"/>
                <w:sz w:val="19"/>
              </w:rPr>
              <w:t>10/20</w:t>
            </w:r>
          </w:p>
        </w:tc>
        <w:tc>
          <w:tcPr>
            <w:tcW w:type="dxa" w:w="1701"/>
          </w:tcPr>
          <w:p>
            <w:pPr>
              <w:spacing w:line="288" w:lineRule="auto" w:before="20" w:after="20"/>
              <w:jc w:val="left"/>
            </w:pPr>
            <w:r/>
            <w:r>
              <w:rPr>
                <w:rFonts w:ascii="HY신명조" w:hAnsi="HY신명조" w:eastAsia="HY신명조"/>
                <w:b w:val="0"/>
                <w:sz w:val="19"/>
              </w:rPr>
              <w:t>11/20</w:t>
            </w:r>
          </w:p>
        </w:tc>
      </w:tr>
    </w:tbl>
    <w:p>
      <w:pPr>
        <w:spacing w:line="312" w:lineRule="auto" w:before="0" w:after="0"/>
      </w:pPr>
      <w:r>
        <w:rPr>
          <w:rFonts w:ascii="HY신명조" w:hAnsi="HY신명조" w:eastAsia="HY신명조"/>
          <w:b w:val="0"/>
          <w:sz w:val="19"/>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사후(secondary) 분석으로, 사전 지정에 포함하지 않았던 A2↔A4를 같은 방식으로 검정하면 불일치쌍은 11:0으로 정확 양측 p=9.8×10⁻⁴이다 — 이 8 m·과도구간 충돌 종결점에 한정하면 차로 내 정지가 대피보다 명백히 우세하며, RQ2 트레이드오프의 충돌 측 비용을 정량화한다(사전 지정이 아니므로 탐색적 사후 분석으로 표시한다). 즉 본 표본에서 명시적 속도 상한의 충돌 감소 증분은 검출되지 않았다("추가로 예방된 충돌이 관찰되지 않았다"는 서술이며, 동등성의 주장이 아니다 — n=20의 표본 크기 한계는 제6장 3절에서 논한다).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 중 1차 회차(S02~S11)의 팔별 충돌 수(A3 3건+A4 4건)와 산술적으로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w:t>
      </w:r>
    </w:p>
    <w:p>
      <w:pPr>
        <w:keepNext/>
        <w:spacing w:line="312" w:lineRule="auto" w:before="40" w:after="0"/>
      </w:pPr>
      <w:r>
        <w:rPr>
          <w:rFonts w:ascii="HY신명조" w:hAnsi="HY신명조" w:eastAsia="HY신명조"/>
          <w:b/>
          <w:sz w:val="19"/>
        </w:rPr>
        <w:t xml:space="preserve">표 5-6. </w:t>
      </w:r>
      <w:r>
        <w:rPr>
          <w:rFonts w:ascii="HY신명조" w:hAnsi="HY신명조" w:eastAsia="HY신명조"/>
          <w:b w:val="0"/>
          <w:sz w:val="19"/>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5-4. </w:t>
      </w:r>
      <w:r>
        <w:rPr>
          <w:rFonts w:ascii="HY신명조" w:hAnsi="HY신명조" w:eastAsia="HY신명조"/>
          <w:b w:val="0"/>
          <w:sz w:val="19"/>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부분표본의 탐색적 분석, A3·A4 합산).</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선명하다(그림 5-5): 감지+3 s의 과도구간(감속 미완) 발사에서는 11/20이 충돌한 반면, 감속이 완료된 정착 순항(3.0 m/s 재출발 순항, 8 m 조우 재실험)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HY신명조" w:hAnsi="HY신명조" w:eastAsia="HY신명조"/>
          <w:b/>
          <w:sz w:val="19"/>
        </w:rPr>
        <w:t xml:space="preserve">그림 5-5. </w:t>
      </w:r>
      <w:r>
        <w:rPr>
          <w:rFonts w:ascii="HY신명조" w:hAnsi="HY신명조" w:eastAsia="HY신명조"/>
          <w:b w:val="0"/>
          <w:sz w:val="19"/>
        </w:rPr>
        <w:t>절제 실험 결과(원장 판정, 합산 n=20). (a) 4팔의 충돌/회피 분해 — 감지+3 s 과도구간 발사. (b) 동일 상한(3.0 m/s) 대피 정책의 2체제 대비 — 과도구간 11/20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5-7).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표적에 대한 여유 요구와 재출발 직후 가속 프로파일의 비정상 구간으로 설명되며, 모델은 하한 근사로 해석해야 한다. 종합하면 속도별 경계는 4.2 m/s → 8~11 m, 3.0 m/s → 7~8 m로, 속도 상한은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9"/>
        </w:rPr>
        <w:t xml:space="preserve">표 5-7. </w:t>
      </w:r>
      <w:r>
        <w:rPr>
          <w:rFonts w:ascii="HY신명조" w:hAnsi="HY신명조" w:eastAsia="HY신명조"/>
          <w:b w:val="0"/>
          <w:sz w:val="19"/>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사양으로 둔다.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5-8,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9"/>
        </w:rPr>
        <w:t xml:space="preserve">표 5-8. </w:t>
      </w:r>
      <w:r>
        <w:rPr>
          <w:rFonts w:ascii="HY신명조" w:hAnsi="HY신명조" w:eastAsia="HY신명조"/>
          <w:b w:val="0"/>
          <w:sz w:val="19"/>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9"/>
              </w:rPr>
              <w:t>아종</w:t>
            </w:r>
          </w:p>
        </w:tc>
        <w:tc>
          <w:tcPr>
            <w:tcW w:type="dxa" w:w="1215"/>
          </w:tcPr>
          <w:p>
            <w:pPr>
              <w:keepNext/>
              <w:spacing w:line="288" w:lineRule="auto" w:before="20" w:after="20"/>
              <w:jc w:val="center"/>
            </w:pPr>
            <w:r/>
            <w:r>
              <w:rPr>
                <w:rFonts w:ascii="HY신명조" w:hAnsi="HY신명조" w:eastAsia="HY신명조"/>
                <w:b/>
                <w:sz w:val="19"/>
              </w:rPr>
              <w:t>n</w:t>
            </w:r>
          </w:p>
        </w:tc>
        <w:tc>
          <w:tcPr>
            <w:tcW w:type="dxa" w:w="1215"/>
          </w:tcPr>
          <w:p>
            <w:pPr>
              <w:keepNext/>
              <w:spacing w:line="288" w:lineRule="auto" w:before="20" w:after="20"/>
              <w:jc w:val="center"/>
            </w:pPr>
            <w:r/>
            <w:r>
              <w:rPr>
                <w:rFonts w:ascii="HY신명조" w:hAnsi="HY신명조" w:eastAsia="HY신명조"/>
                <w:b/>
                <w:sz w:val="19"/>
              </w:rPr>
              <w:t>중앙 [s]</w:t>
            </w:r>
          </w:p>
        </w:tc>
        <w:tc>
          <w:tcPr>
            <w:tcW w:type="dxa" w:w="1215"/>
          </w:tcPr>
          <w:p>
            <w:pPr>
              <w:keepNext/>
              <w:spacing w:line="288" w:lineRule="auto" w:before="20" w:after="20"/>
              <w:jc w:val="center"/>
            </w:pPr>
            <w:r/>
            <w:r>
              <w:rPr>
                <w:rFonts w:ascii="HY신명조" w:hAnsi="HY신명조" w:eastAsia="HY신명조"/>
                <w:b/>
                <w:sz w:val="19"/>
              </w:rPr>
              <w:t>P95 [s]</w:t>
            </w:r>
          </w:p>
        </w:tc>
        <w:tc>
          <w:tcPr>
            <w:tcW w:type="dxa" w:w="1215"/>
          </w:tcPr>
          <w:p>
            <w:pPr>
              <w:keepNext/>
              <w:spacing w:line="288" w:lineRule="auto" w:before="20" w:after="20"/>
              <w:jc w:val="center"/>
            </w:pPr>
            <w:r/>
            <w:r>
              <w:rPr>
                <w:rFonts w:ascii="HY신명조" w:hAnsi="HY신명조" w:eastAsia="HY신명조"/>
                <w:b/>
                <w:sz w:val="19"/>
              </w:rPr>
              <w:t>최대 [s]</w:t>
            </w:r>
          </w:p>
        </w:tc>
        <w:tc>
          <w:tcPr>
            <w:tcW w:type="dxa" w:w="1215"/>
          </w:tcPr>
          <w:p>
            <w:pPr>
              <w:keepNext/>
              <w:spacing w:line="288" w:lineRule="auto" w:before="20" w:after="20"/>
              <w:jc w:val="center"/>
            </w:pPr>
            <w:r/>
            <w:r>
              <w:rPr>
                <w:rFonts w:ascii="HY신명조" w:hAnsi="HY신명조" w:eastAsia="HY신명조"/>
                <w:b/>
                <w:sz w:val="19"/>
              </w:rPr>
              <w:t>&gt;1.5 s</w:t>
            </w:r>
          </w:p>
        </w:tc>
        <w:tc>
          <w:tcPr>
            <w:tcW w:type="dxa" w:w="1215"/>
          </w:tcPr>
          <w:p>
            <w:pPr>
              <w:keepNext/>
              <w:spacing w:line="288" w:lineRule="auto" w:before="20" w:after="20"/>
              <w:jc w:val="center"/>
            </w:pPr>
            <w:r/>
            <w:r>
              <w:rPr>
                <w:rFonts w:ascii="HY신명조" w:hAnsi="HY신명조" w:eastAsia="HY신명조"/>
                <w:b/>
                <w:sz w:val="19"/>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9"/>
              </w:rPr>
              <w:t>cf-제안</w:t>
            </w:r>
          </w:p>
        </w:tc>
        <w:tc>
          <w:tcPr>
            <w:tcW w:type="dxa" w:w="1215"/>
          </w:tcPr>
          <w:p>
            <w:pPr>
              <w:keepNext/>
              <w:spacing w:line="288" w:lineRule="auto" w:before="20" w:after="20"/>
              <w:jc w:val="left"/>
            </w:pPr>
            <w:r/>
            <w:r>
              <w:rPr>
                <w:rFonts w:ascii="HY신명조" w:hAnsi="HY신명조" w:eastAsia="HY신명조"/>
                <w:b w:val="0"/>
                <w:sz w:val="19"/>
              </w:rPr>
              <w:t>38</w:t>
            </w:r>
          </w:p>
        </w:tc>
        <w:tc>
          <w:tcPr>
            <w:tcW w:type="dxa" w:w="1215"/>
          </w:tcPr>
          <w:p>
            <w:pPr>
              <w:keepNext/>
              <w:spacing w:line="288" w:lineRule="auto" w:before="20" w:after="20"/>
              <w:jc w:val="left"/>
            </w:pPr>
            <w:r/>
            <w:r>
              <w:rPr>
                <w:rFonts w:ascii="HY신명조" w:hAnsi="HY신명조" w:eastAsia="HY신명조"/>
                <w:b w:val="0"/>
                <w:sz w:val="19"/>
              </w:rPr>
              <w:t>0.98</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cf-baseline</w:t>
            </w:r>
          </w:p>
        </w:tc>
        <w:tc>
          <w:tcPr>
            <w:tcW w:type="dxa" w:w="1215"/>
          </w:tcPr>
          <w:p>
            <w:pPr>
              <w:keepNext/>
              <w:spacing w:line="288" w:lineRule="auto" w:before="20" w:after="20"/>
              <w:jc w:val="left"/>
            </w:pPr>
            <w:r/>
            <w:r>
              <w:rPr>
                <w:rFonts w:ascii="HY신명조" w:hAnsi="HY신명조" w:eastAsia="HY신명조"/>
                <w:b w:val="0"/>
                <w:sz w:val="19"/>
              </w:rPr>
              <w:t>40</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1.05</w:t>
            </w:r>
          </w:p>
        </w:tc>
        <w:tc>
          <w:tcPr>
            <w:tcW w:type="dxa" w:w="1215"/>
          </w:tcPr>
          <w:p>
            <w:pPr>
              <w:keepNext/>
              <w:spacing w:line="288" w:lineRule="auto" w:before="20" w:after="20"/>
              <w:jc w:val="left"/>
            </w:pPr>
            <w:r/>
            <w:r>
              <w:rPr>
                <w:rFonts w:ascii="HY신명조" w:hAnsi="HY신명조" w:eastAsia="HY신명조"/>
                <w:b w:val="0"/>
                <w:sz w:val="19"/>
              </w:rPr>
              <w:t>1.10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44/44</w:t>
            </w:r>
          </w:p>
        </w:tc>
      </w:tr>
      <w:tr>
        <w:trPr>
          <w:cantSplit/>
        </w:trPr>
        <w:tc>
          <w:tcPr>
            <w:tcW w:type="dxa" w:w="1215"/>
          </w:tcPr>
          <w:p>
            <w:pPr>
              <w:keepNext/>
              <w:spacing w:line="288" w:lineRule="auto" w:before="20" w:after="20"/>
              <w:jc w:val="left"/>
            </w:pPr>
            <w:r/>
            <w:r>
              <w:rPr>
                <w:rFonts w:ascii="HY신명조" w:hAnsi="HY신명조" w:eastAsia="HY신명조"/>
                <w:b w:val="0"/>
                <w:sz w:val="19"/>
              </w:rPr>
              <w:t>lf-제안</w:t>
            </w:r>
          </w:p>
        </w:tc>
        <w:tc>
          <w:tcPr>
            <w:tcW w:type="dxa" w:w="1215"/>
          </w:tcPr>
          <w:p>
            <w:pPr>
              <w:keepNext/>
              <w:spacing w:line="288" w:lineRule="auto" w:before="20" w:after="20"/>
              <w:jc w:val="left"/>
            </w:pPr>
            <w:r/>
            <w:r>
              <w:rPr>
                <w:rFonts w:ascii="HY신명조" w:hAnsi="HY신명조" w:eastAsia="HY신명조"/>
                <w:b w:val="0"/>
                <w:sz w:val="19"/>
              </w:rPr>
              <w:t>41</w:t>
            </w:r>
          </w:p>
        </w:tc>
        <w:tc>
          <w:tcPr>
            <w:tcW w:type="dxa" w:w="1215"/>
          </w:tcPr>
          <w:p>
            <w:pPr>
              <w:keepNext/>
              <w:spacing w:line="288" w:lineRule="auto" w:before="20" w:after="20"/>
              <w:jc w:val="left"/>
            </w:pPr>
            <w:r/>
            <w:r>
              <w:rPr>
                <w:rFonts w:ascii="HY신명조" w:hAnsi="HY신명조" w:eastAsia="HY신명조"/>
                <w:b w:val="0"/>
                <w:sz w:val="19"/>
              </w:rPr>
              <w:t>1.00</w:t>
            </w:r>
          </w:p>
        </w:tc>
        <w:tc>
          <w:tcPr>
            <w:tcW w:type="dxa" w:w="1215"/>
          </w:tcPr>
          <w:p>
            <w:pPr>
              <w:keepNext/>
              <w:spacing w:line="288" w:lineRule="auto" w:before="20" w:after="20"/>
              <w:jc w:val="left"/>
            </w:pPr>
            <w:r/>
            <w:r>
              <w:rPr>
                <w:rFonts w:ascii="HY신명조" w:hAnsi="HY신명조" w:eastAsia="HY신명조"/>
                <w:b w:val="0"/>
                <w:sz w:val="19"/>
              </w:rPr>
              <w:t>1.15</w:t>
            </w:r>
          </w:p>
        </w:tc>
        <w:tc>
          <w:tcPr>
            <w:tcW w:type="dxa" w:w="1215"/>
          </w:tcPr>
          <w:p>
            <w:pPr>
              <w:keepNext/>
              <w:spacing w:line="288" w:lineRule="auto" w:before="20" w:after="20"/>
              <w:jc w:val="left"/>
            </w:pPr>
            <w:r/>
            <w:r>
              <w:rPr>
                <w:rFonts w:ascii="HY신명조" w:hAnsi="HY신명조" w:eastAsia="HY신명조"/>
                <w:b w:val="0"/>
                <w:sz w:val="19"/>
              </w:rPr>
              <w:t>1.20</w:t>
            </w:r>
          </w:p>
        </w:tc>
        <w:tc>
          <w:tcPr>
            <w:tcW w:type="dxa" w:w="1215"/>
          </w:tcPr>
          <w:p>
            <w:pPr>
              <w:keepNext/>
              <w:spacing w:line="288" w:lineRule="auto" w:before="20" w:after="20"/>
              <w:jc w:val="left"/>
            </w:pPr>
            <w:r/>
            <w:r>
              <w:rPr>
                <w:rFonts w:ascii="HY신명조" w:hAnsi="HY신명조" w:eastAsia="HY신명조"/>
                <w:b w:val="0"/>
                <w:sz w:val="19"/>
              </w:rPr>
              <w:t>0건</w:t>
            </w:r>
          </w:p>
        </w:tc>
        <w:tc>
          <w:tcPr>
            <w:tcW w:type="dxa" w:w="1215"/>
          </w:tcPr>
          <w:p>
            <w:pPr>
              <w:keepNext/>
              <w:spacing w:line="288" w:lineRule="auto" w:before="20" w:after="20"/>
              <w:jc w:val="left"/>
            </w:pPr>
            <w:r/>
            <w:r>
              <w:rPr>
                <w:rFonts w:ascii="HY신명조" w:hAnsi="HY신명조" w:eastAsia="HY신명조"/>
                <w:b w:val="0"/>
                <w:sz w:val="19"/>
              </w:rPr>
              <w:t>33/33</w:t>
            </w:r>
          </w:p>
        </w:tc>
      </w:tr>
      <w:tr>
        <w:trPr>
          <w:cantSplit/>
        </w:trPr>
        <w:tc>
          <w:tcPr>
            <w:tcW w:type="dxa" w:w="1215"/>
          </w:tcPr>
          <w:p>
            <w:pPr>
              <w:spacing w:line="288" w:lineRule="auto" w:before="20" w:after="20"/>
              <w:jc w:val="left"/>
            </w:pPr>
            <w:r/>
            <w:r>
              <w:rPr>
                <w:rFonts w:ascii="HY신명조" w:hAnsi="HY신명조" w:eastAsia="HY신명조"/>
                <w:b w:val="0"/>
                <w:sz w:val="19"/>
              </w:rPr>
              <w:t>lf-baseline</w:t>
            </w:r>
          </w:p>
        </w:tc>
        <w:tc>
          <w:tcPr>
            <w:tcW w:type="dxa" w:w="1215"/>
          </w:tcPr>
          <w:p>
            <w:pPr>
              <w:spacing w:line="288" w:lineRule="auto" w:before="20" w:after="20"/>
              <w:jc w:val="left"/>
            </w:pPr>
            <w:r/>
            <w:r>
              <w:rPr>
                <w:rFonts w:ascii="HY신명조" w:hAnsi="HY신명조" w:eastAsia="HY신명조"/>
                <w:b w:val="0"/>
                <w:sz w:val="19"/>
              </w:rPr>
              <w:t>40</w:t>
            </w:r>
          </w:p>
        </w:tc>
        <w:tc>
          <w:tcPr>
            <w:tcW w:type="dxa" w:w="1215"/>
          </w:tcPr>
          <w:p>
            <w:pPr>
              <w:spacing w:line="288" w:lineRule="auto" w:before="20" w:after="20"/>
              <w:jc w:val="left"/>
            </w:pPr>
            <w:r/>
            <w:r>
              <w:rPr>
                <w:rFonts w:ascii="HY신명조" w:hAnsi="HY신명조" w:eastAsia="HY신명조"/>
                <w:b w:val="0"/>
                <w:sz w:val="19"/>
              </w:rPr>
              <w:t>1.00</w:t>
            </w:r>
          </w:p>
        </w:tc>
        <w:tc>
          <w:tcPr>
            <w:tcW w:type="dxa" w:w="1215"/>
          </w:tcPr>
          <w:p>
            <w:pPr>
              <w:spacing w:line="288" w:lineRule="auto" w:before="20" w:after="20"/>
              <w:jc w:val="left"/>
            </w:pPr>
            <w:r/>
            <w:r>
              <w:rPr>
                <w:rFonts w:ascii="HY신명조" w:hAnsi="HY신명조" w:eastAsia="HY신명조"/>
                <w:b w:val="0"/>
                <w:sz w:val="19"/>
              </w:rPr>
              <w:t>1.15</w:t>
            </w:r>
          </w:p>
        </w:tc>
        <w:tc>
          <w:tcPr>
            <w:tcW w:type="dxa" w:w="1215"/>
          </w:tcPr>
          <w:p>
            <w:pPr>
              <w:spacing w:line="288" w:lineRule="auto" w:before="20" w:after="20"/>
              <w:jc w:val="left"/>
            </w:pPr>
            <w:r/>
            <w:r>
              <w:rPr>
                <w:rFonts w:ascii="HY신명조" w:hAnsi="HY신명조" w:eastAsia="HY신명조"/>
                <w:b w:val="0"/>
                <w:sz w:val="19"/>
              </w:rPr>
              <w:t>1.20</w:t>
            </w:r>
          </w:p>
        </w:tc>
        <w:tc>
          <w:tcPr>
            <w:tcW w:type="dxa" w:w="1215"/>
          </w:tcPr>
          <w:p>
            <w:pPr>
              <w:spacing w:line="288" w:lineRule="auto" w:before="20" w:after="20"/>
              <w:jc w:val="left"/>
            </w:pPr>
            <w:r/>
            <w:r>
              <w:rPr>
                <w:rFonts w:ascii="HY신명조" w:hAnsi="HY신명조" w:eastAsia="HY신명조"/>
                <w:b w:val="0"/>
                <w:sz w:val="19"/>
              </w:rPr>
              <w:t>0건</w:t>
            </w:r>
          </w:p>
        </w:tc>
        <w:tc>
          <w:tcPr>
            <w:tcW w:type="dxa" w:w="1215"/>
          </w:tcPr>
          <w:p>
            <w:pPr>
              <w:spacing w:line="288" w:lineRule="auto" w:before="20" w:after="20"/>
              <w:jc w:val="left"/>
            </w:pPr>
            <w:r/>
            <w:r>
              <w:rPr>
                <w:rFonts w:ascii="HY신명조" w:hAnsi="HY신명조" w:eastAsia="HY신명조"/>
                <w:b w:val="0"/>
                <w:sz w:val="19"/>
              </w:rPr>
              <w:t>35/35</w:t>
            </w:r>
          </w:p>
        </w:tc>
      </w:tr>
    </w:tbl>
    <w:p>
      <w:pPr>
        <w:spacing w:line="312" w:lineRule="auto" w:before="0" w:after="0"/>
      </w:pPr>
      <w:r>
        <w:rPr>
          <w:rFonts w:ascii="HY신명조" w:hAnsi="HY신명조" w:eastAsia="HY신명조"/>
          <w:b w:val="0"/>
          <w:sz w:val="19"/>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본 표본에서 검출되지 않았다(p=1.0, 제5장 5절). 이를 동등성의 증거로 읽어서는 안 된다 — 소표본 exact McNemar의 이산성은 제4장 8절에 명시했다(합산 n=20에서도 4:1, p=0.375). 관찰된 기전은 상한의 역할을 재정의한다: 대피 기동은 자연 저속화되어 정상 대피에서 속도가 상한에 거의 도달하지 않으며, 상한의 가치는 자연 감속에 의존하지 않는 명시적 재가속 억제 상계에 있다. 이는 폐루프 속도의 형식적 보장이 아니며(과도구간 조우 속도 실측 3.5~3.8 m/s), 정착 순항 0/8과 경계 이동(8~11→7~8 m)이 그 물리적 여유의 실측이다. 상한값 3.0 m/s는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검출률을 보였고(중앙 감지 지연: 하드 페일 약 1.0 s·열화형 2.1~5.0 s)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절제(팔당 n=20)에서 감지+정지는 0/20, 대피는 10~11/20(전부 과도구간), 순정 지속 주행은 14/20 충돌이었으며, 같은 대피 정책이 정착 순항에서는 0/8 무충돌이었다. 하드 페일(신호 두절)은 증거 성격을 구분하는 고속 판정 경로로 감지·판정을 1.5 s 마감 안에 완료한다(전 매트릭스 실측 최대 1.20 s, 제5장 8절).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집중된다 — 감지+3 s 단일 발사 시점 실험에 한정된 진술이다(과도 11/20 대 정착 0/8)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capped (3.0 m/s) evacuation in 11/20 (exact McNemar, native continuation (A1) vs capped evacuation (A4): p=0.375; no additional collisions were prevented by the explicit cap in the tested sample — not a claim of equivalence). Crucially, the same capped-evacuation policy in settled cruise after deceleration avoided collision in all encounters (0/8).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in widening the safety margin within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