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34</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37</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37</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42</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43</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46</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46</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51</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52</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56</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61</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68</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33</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36</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38</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42</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50</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53</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40</w:t>
      </w:r>
    </w:p>
    <w:p>
      <w:pPr>
        <w:tabs>
          <w:tab w:pos="8504" w:val="right" w:leader="dot"/>
        </w:tabs>
        <w:spacing w:line="501" w:lineRule="exact"/>
        <w:ind w:left="0"/>
      </w:pPr>
      <w:r>
        <w:rPr>
          <w:rFonts w:ascii="HY신명조" w:hAnsi="HY신명조" w:eastAsia="HY신명조"/>
          <w:b w:val="0"/>
          <w:sz w:val="22"/>
        </w:rPr>
        <w:t>그림 5-2. 정지거리 모델 d = vτ + v²/2a(τ=1.5 s, a=3.5 m/s²)와 거리 사다리 실측 회피/충돌 경계(음영 밴드)</w:t>
      </w:r>
      <w:r>
        <w:rPr>
          <w:rFonts w:ascii="HY신명조" w:hAnsi="HY신명조" w:eastAsia="HY신명조"/>
          <w:b w:val="0"/>
          <w:sz w:val="22"/>
        </w:rPr>
        <w:tab/>
        <w:t>45</w:t>
      </w:r>
    </w:p>
    <w:p>
      <w:pPr>
        <w:tabs>
          <w:tab w:pos="8504" w:val="right" w:leader="dot"/>
        </w:tabs>
        <w:spacing w:line="501" w:lineRule="exact"/>
        <w:ind w:left="0"/>
      </w:pPr>
      <w:r>
        <w:rPr>
          <w:rFonts w:ascii="HY신명조" w:hAnsi="HY신명조" w:eastAsia="HY신명조"/>
          <w:b w:val="0"/>
          <w:sz w:val="22"/>
        </w:rPr>
        <w:t>그림 5-3. 무충돌 대피 케이스의 차선 반환 Kaplan–Meier 곡선 (절제 1차 표본, 조건부 n=13)</w:t>
      </w:r>
      <w:r>
        <w:rPr>
          <w:rFonts w:ascii="HY신명조" w:hAnsi="HY신명조" w:eastAsia="HY신명조"/>
          <w:b w:val="0"/>
          <w:sz w:val="22"/>
        </w:rPr>
        <w:tab/>
        <w:t>51</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8" name="Picture 8"/>
            <wp:cNvGraphicFramePr>
              <a:graphicFrameLocks noChangeAspect="1"/>
            </wp:cNvGraphicFramePr>
            <a:graphic>
              <a:graphicData uri="http://schemas.openxmlformats.org/drawingml/2006/picture">
                <pic:pic>
                  <pic:nvPicPr>
                    <pic:cNvPr id="0" name="fig7_latency.png"/>
                    <pic:cNvPicPr/>
                  </pic:nvPicPr>
                  <pic:blipFill>
                    <a:blip r:embed="rId22"/>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점선의 obstacle 채널은 상태 전이 발동 채널이 아닌 MRM 이동 게이트 전용이며, 0.7 하방 요동(개활지·선회 시 섹터 커버리지 변화)은 발동 대상이 아니므로 오발동 0건과 모순되지 않는다. 단, GNSS 계열(gn)의 건강도는 /monitor/scores 토픽이 아니라 감독자 내부의 잔차 감지기(loc_meas/loc_jump)에서 산출되는 구조이므로, 본 관측은 /monitor/scores의 라이다 열화 채널 기준이다.</w:t>
      </w: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5-2).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9" name="Picture 9"/>
            <wp:cNvGraphicFramePr>
              <a:graphicFrameLocks noChangeAspect="1"/>
            </wp:cNvGraphicFramePr>
            <a:graphic>
              <a:graphicData uri="http://schemas.openxmlformats.org/drawingml/2006/picture">
                <pic:pic>
                  <pic:nvPicPr>
                    <pic:cNvPr id="0" name="fig8_stopdist.png"/>
                    <pic:cNvPicPr/>
                  </pic:nvPicPr>
                  <pic:blipFill>
                    <a:blip r:embed="rId23"/>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5-2.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0" name="Picture 10"/>
            <wp:cNvGraphicFramePr>
              <a:graphicFrameLocks noChangeAspect="1"/>
            </wp:cNvGraphicFramePr>
            <a:graphic>
              <a:graphicData uri="http://schemas.openxmlformats.org/drawingml/2006/picture">
                <pic:pic>
                  <pic:nvPicPr>
                    <pic:cNvPr id="0" name="fig9_km.png"/>
                    <pic:cNvPicPr/>
                  </pic:nvPicPr>
                  <pic:blipFill>
                    <a:blip r:embed="rId24"/>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5-3.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 감지+3 s의 과도구간(감속 미완) 발사에서는 11/20이 충돌한 반면, 감속이 완료된 정착 순항(3.0 m/s 재출발 순항, 8 m 조우 재실험) 발사에서는 0/8 무충돌이었다.</w:t>
      </w: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