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/>
      </w:pPr>
      <w:r>
        <w:rPr>
          <w:rFonts w:ascii="HY신명조" w:hAnsi="HY신명조" w:eastAsia="HY신명조"/>
          <w:b/>
          <w:sz w:val="22"/>
        </w:rPr>
        <w:t>Table 4.2. Valid cases per fault block in the main campaign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/>
                <w:sz w:val="18"/>
              </w:rPr>
              <w:t>Block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/>
                <w:sz w:val="18"/>
              </w:rPr>
              <w:t>Severity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/>
                <w:sz w:val="18"/>
              </w:rPr>
              <w:t>Valid cases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cf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-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cn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mid/high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180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gn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mid/high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180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lso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mid/high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180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lcl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mid/high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141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imn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mid/high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180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lf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-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nf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-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Total</w:t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</w:r>
          </w:p>
        </w:tc>
        <w:tc>
          <w:tcPr>
            <w:tcW w:type="dxa" w:w="2880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HY신명조" w:hAnsi="HY신명조" w:eastAsia="HY신명조"/>
                <w:b w:val="0"/>
                <w:sz w:val="18"/>
              </w:rPr>
              <w:t>1,131</w:t>
            </w:r>
          </w:p>
        </w:tc>
      </w:tr>
    </w:tbl>
    <w:p>
      <w:pPr>
        <w:spacing w:line="312" w:lineRule="auto"/>
      </w:pPr>
      <w:r>
        <w:rPr>
          <w:rFonts w:ascii="HY신명조" w:hAnsi="HY신명조" w:eastAsia="HY신명조"/>
          <w:b w:val="0"/>
          <w:sz w:val="18"/>
        </w:rPr>
        <w:t>nf is the false-activation control. The lcl block is smaller because its final high-severity batch was halted; one imn CARLA_DIED row and other infrastructure failures (CARLA_DIED/SETUP_FAIL) were replaced by same-condition re-runs, fixed in the merge 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