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50B7" w14:textId="77777777" w:rsidR="008417D6" w:rsidRPr="000A217A" w:rsidRDefault="008417D6" w:rsidP="008417D6">
      <w:pPr>
        <w:rPr>
          <w:rFonts w:ascii="HY신명조" w:eastAsia="HY신명조"/>
          <w:color w:val="FF0000"/>
          <w:sz w:val="26"/>
          <w:szCs w:val="26"/>
        </w:rPr>
      </w:pPr>
      <w:r w:rsidRPr="000A217A">
        <w:rPr>
          <w:rFonts w:ascii="HY신명조" w:eastAsia="HY신명조" w:hint="eastAsia"/>
          <w:b/>
          <w:bCs/>
          <w:color w:val="FF0000"/>
          <w:sz w:val="26"/>
          <w:szCs w:val="26"/>
        </w:rPr>
        <w:lastRenderedPageBreak/>
        <w:t>※ 본 페이지는 전자전기컴퓨터공학과</w:t>
      </w:r>
      <w:r>
        <w:rPr>
          <w:rFonts w:ascii="HY신명조" w:eastAsia="HY신명조" w:hint="eastAsia"/>
          <w:b/>
          <w:bCs/>
          <w:color w:val="FF0000"/>
          <w:sz w:val="26"/>
          <w:szCs w:val="26"/>
        </w:rPr>
        <w:t xml:space="preserve"> 본심 대상자</w:t>
      </w:r>
      <w:r w:rsidRPr="000A217A">
        <w:rPr>
          <w:rFonts w:ascii="HY신명조" w:eastAsia="HY신명조" w:hint="eastAsia"/>
          <w:b/>
          <w:bCs/>
          <w:color w:val="FF0000"/>
          <w:sz w:val="26"/>
          <w:szCs w:val="26"/>
        </w:rPr>
        <w:t xml:space="preserve">만 작성바랍니다. </w:t>
      </w:r>
    </w:p>
    <w:tbl>
      <w:tblPr>
        <w:tblStyle w:val="aa"/>
        <w:tblW w:w="0" w:type="auto"/>
        <w:tblLook w:val="04A0" w:firstRow="1" w:lastRow="0" w:firstColumn="1" w:lastColumn="0" w:noHBand="0" w:noVBand="1"/>
      </w:tblPr>
      <w:tblGrid>
        <w:gridCol w:w="1947"/>
        <w:gridCol w:w="6520"/>
      </w:tblGrid>
      <w:tr w:rsidR="008417D6" w14:paraId="4104EFEF" w14:textId="77777777" w:rsidTr="00BD0E18">
        <w:tc>
          <w:tcPr>
            <w:tcW w:w="1947" w:type="dxa"/>
          </w:tcPr>
          <w:p w14:paraId="1899440A"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학위 논문 제목</w:t>
            </w:r>
          </w:p>
        </w:tc>
        <w:tc>
          <w:tcPr>
            <w:tcW w:w="6520" w:type="dxa"/>
          </w:tcPr>
          <w:p>
            <w:pPr>
              <w:spacing w:line="312" w:lineRule="auto"/>
            </w:pPr>
            <w:r/>
            <w:r>
              <w:rPr>
                <w:rFonts w:ascii="HY신명조" w:hAnsi="HY신명조" w:eastAsia="HY신명조"/>
                <w:b w:val="0"/>
                <w:sz w:val="20"/>
              </w:rPr>
              <w:t>자율주행 차량의 페일세이프 운행을 위한 연속 센서 건강도 감시와 위험·잔여능력 기반 단계적 최소위험기동 감독</w:t>
            </w:r>
          </w:p>
        </w:tc>
      </w:tr>
      <w:tr w:rsidR="008417D6" w14:paraId="3AF951D3" w14:textId="77777777" w:rsidTr="00BD0E18">
        <w:tc>
          <w:tcPr>
            <w:tcW w:w="1947" w:type="dxa"/>
          </w:tcPr>
          <w:p w14:paraId="757589B9"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학과</w:t>
            </w:r>
          </w:p>
        </w:tc>
        <w:tc>
          <w:tcPr>
            <w:tcW w:w="6520" w:type="dxa"/>
          </w:tcPr>
          <w:p w14:paraId="39317F9C" w14:textId="77777777" w:rsidR="008417D6" w:rsidRDefault="008417D6" w:rsidP="00BD0E18">
            <w:pPr>
              <w:rPr>
                <w:rFonts w:ascii="HY신명조" w:eastAsia="HY신명조"/>
              </w:rPr>
            </w:pPr>
            <w:r>
              <w:rPr>
                <w:rFonts w:ascii="HY신명조" w:eastAsia="HY신명조" w:hint="eastAsia"/>
              </w:rPr>
              <w:t>전자전기컴퓨터공학과</w:t>
            </w:r>
          </w:p>
        </w:tc>
      </w:tr>
      <w:tr w:rsidR="008417D6" w14:paraId="02928788" w14:textId="77777777" w:rsidTr="00BD0E18">
        <w:tc>
          <w:tcPr>
            <w:tcW w:w="1947" w:type="dxa"/>
          </w:tcPr>
          <w:p w14:paraId="09C4D071"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학번</w:t>
            </w:r>
          </w:p>
        </w:tc>
        <w:tc>
          <w:tcPr>
            <w:tcW w:w="6520" w:type="dxa"/>
          </w:tcPr>
          <w:p>
            <w:r/>
            <w:r>
              <w:rPr>
                <w:rFonts w:ascii="HY신명조" w:hAnsi="HY신명조" w:eastAsia="HY신명조"/>
                <w:b w:val="0"/>
                <w:sz w:val="22"/>
              </w:rPr>
            </w:r>
          </w:p>
        </w:tc>
      </w:tr>
      <w:tr w:rsidR="008417D6" w14:paraId="029198F3" w14:textId="77777777" w:rsidTr="00BD0E18">
        <w:tc>
          <w:tcPr>
            <w:tcW w:w="1947" w:type="dxa"/>
          </w:tcPr>
          <w:p w14:paraId="4A661E15"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이름</w:t>
            </w:r>
          </w:p>
        </w:tc>
        <w:tc>
          <w:tcPr>
            <w:tcW w:w="6520" w:type="dxa"/>
          </w:tcPr>
          <w:p>
            <w:r/>
            <w:r>
              <w:rPr>
                <w:rFonts w:ascii="HY신명조" w:hAnsi="HY신명조" w:eastAsia="HY신명조"/>
                <w:b w:val="0"/>
                <w:sz w:val="22"/>
              </w:rPr>
              <w:t>엄태욱</w:t>
            </w:r>
          </w:p>
        </w:tc>
      </w:tr>
      <w:tr w:rsidR="008417D6" w14:paraId="75DB70BA" w14:textId="77777777" w:rsidTr="00BD0E18">
        <w:tc>
          <w:tcPr>
            <w:tcW w:w="1947" w:type="dxa"/>
          </w:tcPr>
          <w:p w14:paraId="26A55E72"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지도교수</w:t>
            </w:r>
          </w:p>
        </w:tc>
        <w:tc>
          <w:tcPr>
            <w:tcW w:w="6520" w:type="dxa"/>
          </w:tcPr>
          <w:p>
            <w:r/>
            <w:r>
              <w:rPr>
                <w:rFonts w:ascii="HY신명조" w:hAnsi="HY신명조" w:eastAsia="HY신명조"/>
                <w:b w:val="0"/>
                <w:sz w:val="22"/>
              </w:rPr>
              <w:t>국태용</w:t>
            </w:r>
          </w:p>
        </w:tc>
      </w:tr>
    </w:tbl>
    <w:p w14:paraId="7E80802F" w14:textId="77777777" w:rsidR="008417D6" w:rsidRPr="000A217A" w:rsidRDefault="008417D6" w:rsidP="008417D6">
      <w:pPr>
        <w:rPr>
          <w:rFonts w:ascii="HY신명조" w:eastAsia="HY신명조"/>
        </w:rPr>
      </w:pPr>
    </w:p>
    <w:p w14:paraId="22C28B94"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1. 논문 요약 (Abstract)</w:t>
      </w:r>
    </w:p>
    <w:p>
      <w:pPr>
        <w:spacing w:line="348" w:lineRule="auto" w:before="0" w:after="0"/>
        <w:ind w:firstLine="330"/>
      </w:pPr>
      <w:r>
        <w:rPr>
          <w:rFonts w:ascii="HY신명조" w:hAnsi="HY신명조" w:eastAsia="HY신명조"/>
          <w:b w:val="0"/>
          <w:sz w:val="22"/>
        </w:rPr>
        <w:t>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pPr>
        <w:spacing w:line="348" w:lineRule="auto" w:before="0" w:after="0"/>
        <w:ind w:firstLine="330"/>
      </w:pPr>
      <w:r>
        <w:rPr>
          <w:rFonts w:ascii="HY신명조" w:hAnsi="HY신명조" w:eastAsia="HY신명조"/>
          <w:b w:val="0"/>
          <w:sz w:val="22"/>
        </w:rPr>
        <w:t>검증은 Autoware 0.39.0과 CARLA 0.9.16의 폐루프 환경(Town07, 제한속도 15 km/h)에서 수행하였다. 총 1,862 유효 케이스의 단일 폐루프 실험으로 감시·대피 거동을 검증하였고, 고장 상태 주행거리(노출)를 무감시 순정의 대표 관찰 238~251 m 대비 감시+대피의 32~58 m로 단축함을 보였다(라이다 클러터는 275→11~12 m). 하드 페일은 고속 판정 경로로 1.5 s 설계 마감 안에 판정되며(실측 최대 1.20 s), 항법 고장 4종을 포함한 전 조건에서 100% 검출을 확인하였다. 안전성은 에고 충돌 센서 실시간 원장(RAW-HIT)과 보행자 물리 오라클의 이중 판정 체계 위에서 보행자 돌발 조우 수준으로 정량화하였다: 회피/충돌 경계는 4.2 m/s에서 8~11 m(모델 8.8 m와 일치), 3.0 m/s에서 7~8 m였다.</w:t>
      </w:r>
    </w:p>
    <w:p>
      <w:pPr>
        <w:spacing w:line="348" w:lineRule="auto" w:before="0" w:after="0"/>
        <w:ind w:firstLine="330"/>
      </w:pPr>
      <w:r>
        <w:rPr>
          <w:rFonts w:ascii="HY신명조" w:hAnsi="HY신명조" w:eastAsia="HY신명조"/>
          <w:b w:val="0"/>
          <w:sz w:val="22"/>
        </w:rPr>
        <w:t>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종결점)에서 상한 4.2 대 3.0 m/s는 8 m 쌍대 불일치 10:0(exact McNemar p=0.002)으로 충돌 감소 효과가 검출되었고, 회피/충돌 경계는 상한을 낮출수록 단조로 안쪽 이동했다(9 m 초과→약 7 m). 즉 최소위험기동의 선택은 즉시 충돌 위험과 차선 반환·차선 밖 대피 위치 확보 가능성 사이의 시간적 트레이드오프이며, 대피의 잔존 위험은 감지 후 과도구간에 집중된다 — 더 이른 감지와 더 빠른 감속이 전체 고장 대응 위험 창을 축소할 것임을 실험적으로 뒷받침하는, FTTI 이내 여유 확보 필요성에 대한 조우 수준의 정량적 근거를 제공한다.</w:t>
      </w:r>
    </w:p>
    <w:p>
      <w:pPr>
        <w:spacing w:line="348" w:lineRule="auto" w:before="0" w:after="0"/>
      </w:pPr>
      <w:r>
        <w:rPr>
          <w:rFonts w:ascii="HY신명조" w:hAnsi="HY신명조" w:eastAsia="HY신명조"/>
          <w:b/>
          <w:sz w:val="22"/>
        </w:rPr>
        <w:t>Key Words: 자율주행, 페일세이프, 최소위험기동(MRM), 센서 고장 감지, FTTI</w:t>
      </w:r>
    </w:p>
    <w:p w14:paraId="1BC616B1" w14:textId="77777777" w:rsidR="008417D6" w:rsidRPr="000A217A" w:rsidRDefault="008417D6" w:rsidP="008417D6">
      <w:pPr>
        <w:rPr>
          <w:rFonts w:ascii="HY신명조" w:eastAsia="HY신명조"/>
        </w:rPr>
      </w:pPr>
    </w:p>
    <w:p w14:paraId="19614258"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2. 논문 기여도 (Contribution)</w:t>
      </w:r>
    </w:p>
    <w:p w14:paraId="433AECBB" w14:textId="77777777" w:rsidR="008417D6" w:rsidRPr="000A217A" w:rsidRDefault="008417D6" w:rsidP="008417D6">
      <w:pPr>
        <w:rPr>
          <w:rFonts w:ascii="HY신명조" w:eastAsia="HY신명조"/>
        </w:rPr>
      </w:pPr>
      <w:r w:rsidRPr="000A217A">
        <w:rPr>
          <w:rFonts w:ascii="HY신명조" w:eastAsia="HY신명조" w:hint="eastAsia"/>
        </w:rPr>
        <w:t>학위 논문에서 소개된 대표적인 기존 연구들과 학위 논문에서 수행된 연구와의 차이점, 학위 논문의 학술적/기술적 기여도를 정량적/정성적으로 기술해 주십시오. 논문 기여도 작성 시 아래의 표를 이용해 주십시오.</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254"/>
        <w:gridCol w:w="7154"/>
      </w:tblGrid>
      <w:tr w:rsidR="008417D6" w:rsidRPr="000A217A" w14:paraId="211A8831"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469895B4" w14:textId="77777777" w:rsidR="008417D6" w:rsidRPr="000A217A" w:rsidRDefault="008417D6" w:rsidP="00BD0E18">
            <w:pPr>
              <w:jc w:val="center"/>
              <w:rPr>
                <w:rFonts w:ascii="HY신명조" w:eastAsia="HY신명조"/>
              </w:rPr>
            </w:pPr>
            <w:r w:rsidRPr="000A217A">
              <w:rPr>
                <w:rFonts w:ascii="HY신명조" w:eastAsia="HY신명조" w:hint="eastAsia"/>
                <w:b/>
                <w:bCs/>
              </w:rPr>
              <w:t>기존 연구</w:t>
            </w:r>
          </w:p>
        </w:tc>
        <w:tc>
          <w:tcPr>
            <w:tcW w:w="71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66B3F713" w14:textId="77777777" w:rsidR="008417D6" w:rsidRPr="000A217A" w:rsidRDefault="008417D6" w:rsidP="00BD0E18">
            <w:pPr>
              <w:jc w:val="center"/>
              <w:rPr>
                <w:rFonts w:ascii="HY신명조" w:eastAsia="HY신명조"/>
              </w:rPr>
            </w:pPr>
            <w:r w:rsidRPr="000A217A">
              <w:rPr>
                <w:rFonts w:ascii="HY신명조" w:eastAsia="HY신명조" w:hint="eastAsia"/>
                <w:b/>
                <w:bCs/>
              </w:rPr>
              <w:t>학위 논문과의 차이점</w:t>
            </w:r>
          </w:p>
        </w:tc>
      </w:tr>
      <w:tr w:rsidR="008417D6" w:rsidRPr="000A217A" w14:paraId="094267E4"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1E7960C" w14:textId="77777777" w:rsidR="008417D6" w:rsidRPr="000A217A" w:rsidRDefault="008417D6" w:rsidP="00BD0E18">
            <w:pPr>
              <w:jc w:val="center"/>
              <w:rPr>
                <w:rFonts w:ascii="HY신명조" w:eastAsia="HY신명조"/>
              </w:rPr>
            </w:pPr>
            <w:r w:rsidRPr="000A217A">
              <w:rPr>
                <w:rFonts w:ascii="HY신명조" w:eastAsia="HY신명조" w:hint="eastAsia"/>
              </w:rPr>
              <w:t>[1]</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
            <w:r>
              <w:rPr>
                <w:rFonts w:ascii="HY신명조" w:hAnsi="HY신명조" w:eastAsia="HY신명조"/>
                <w:b w:val="0"/>
                <w:sz w:val="19"/>
              </w:rPr>
              <w:t>Tang 등(Systems, 2026)은 복수 센서 고장에서 HAZOP 위험 분석과 TTC/THW 평가로 MRM 행동을 적응 선택한다. 본 논문은 고장 상태를 전제하지 않고 온라인 감시로 고장의 발생·종류·심각도 추정부터 수행하며, 잔여 지각·측위 능력을 결합해 대피/정차를 구분하고 대피 이동 속도까지 제한한다.</w:t>
            </w:r>
          </w:p>
        </w:tc>
      </w:tr>
      <w:tr w:rsidR="008417D6" w:rsidRPr="000A217A" w14:paraId="722B8036"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985225" w14:textId="77777777" w:rsidR="008417D6" w:rsidRPr="000A217A" w:rsidRDefault="008417D6" w:rsidP="00BD0E18">
            <w:pPr>
              <w:jc w:val="center"/>
              <w:rPr>
                <w:rFonts w:ascii="HY신명조" w:eastAsia="HY신명조"/>
              </w:rPr>
            </w:pPr>
            <w:r w:rsidRPr="000A217A">
              <w:rPr>
                <w:rFonts w:ascii="HY신명조" w:eastAsia="HY신명조" w:hint="eastAsia"/>
              </w:rPr>
              <w:t>[2]</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
            <w:r>
              <w:rPr>
                <w:rFonts w:ascii="HY신명조" w:hAnsi="HY신명조" w:eastAsia="HY신명조"/>
                <w:b w:val="0"/>
                <w:sz w:val="19"/>
              </w:rPr>
              <w:t>Xue 등(IV 2018, JICV 2019)은 전방 센서 고장을 전제로 MPC 안전 제약 하의 안전 구역 정차 폴백을 제안한다. 본 논문은 실제 오픈소스 스택(Autoware) 위 1,862 유효 케이스의 폐루프 검증과 판정 신뢰성이 확보된 보행자 조우 실험(용량-반응 120런, exact McNemar p=0.002)으로 검증 수준을 달리한다.</w:t>
            </w:r>
          </w:p>
        </w:tc>
      </w:tr>
      <w:tr w:rsidR="008417D6" w:rsidRPr="000A217A" w14:paraId="1759B0EB" w14:textId="77777777" w:rsidTr="00BD0E18">
        <w:trPr>
          <w:trHeight w:val="636"/>
        </w:trPr>
        <w:tc>
          <w:tcPr>
            <w:tcW w:w="8408" w:type="dxa"/>
            <w:gridSpan w:val="2"/>
            <w:tcBorders>
              <w:top w:val="single" w:sz="2" w:space="0" w:color="000000"/>
              <w:left w:val="nil"/>
              <w:bottom w:val="nil"/>
              <w:right w:val="nil"/>
            </w:tcBorders>
            <w:tcMar>
              <w:top w:w="28" w:type="dxa"/>
              <w:left w:w="28" w:type="dxa"/>
              <w:bottom w:w="28" w:type="dxa"/>
              <w:right w:w="28" w:type="dxa"/>
            </w:tcMar>
            <w:vAlign w:val="center"/>
            <w:hideMark/>
          </w:tcPr>
          <w:p>
            <w:r/>
            <w:r>
              <w:rPr>
                <w:rFonts w:ascii="HY신명조" w:hAnsi="HY신명조" w:eastAsia="HY신명조"/>
                <w:b w:val="0"/>
                <w:sz w:val="18"/>
              </w:rPr>
              <w:t>[2] W. Xue, B. Yang, T. Kaizuka, K. Nakano, "A fallback approach for an automated vehicle encountering sensor failure in monitoring environment," IEEE IV, 2018.</w:t>
            </w:r>
          </w:p>
        </w:tc>
      </w:tr>
    </w:tbl>
    <w:p w14:paraId="66E4F6DE" w14:textId="77777777" w:rsidR="008417D6" w:rsidRPr="000A217A" w:rsidRDefault="008417D6" w:rsidP="008417D6">
      <w:pPr>
        <w:rPr>
          <w:rFonts w:ascii="HY신명조" w:eastAsia="HY신명조"/>
          <w:vanish/>
        </w:rPr>
      </w:pP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422"/>
        <w:gridCol w:w="6969"/>
      </w:tblGrid>
      <w:tr w:rsidR="008417D6" w:rsidRPr="000A217A" w14:paraId="34DC495D" w14:textId="77777777" w:rsidTr="00BD0E18">
        <w:trPr>
          <w:trHeight w:val="313"/>
        </w:trPr>
        <w:tc>
          <w:tcPr>
            <w:tcW w:w="8391" w:type="dxa"/>
            <w:gridSpan w:val="2"/>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78DF9822" w14:textId="77777777" w:rsidR="008417D6" w:rsidRPr="000A217A" w:rsidRDefault="008417D6" w:rsidP="00BD0E18">
            <w:pPr>
              <w:jc w:val="center"/>
              <w:rPr>
                <w:rFonts w:ascii="HY신명조" w:eastAsia="HY신명조"/>
              </w:rPr>
            </w:pPr>
            <w:r w:rsidRPr="000A217A">
              <w:rPr>
                <w:rFonts w:ascii="HY신명조" w:eastAsia="HY신명조" w:hint="eastAsia"/>
                <w:b/>
                <w:bCs/>
              </w:rPr>
              <w:t>학술적/기술적 기여도</w:t>
            </w:r>
          </w:p>
        </w:tc>
      </w:tr>
      <w:tr w:rsidR="008417D6" w:rsidRPr="000A217A" w14:paraId="3C1C14CD"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01F735C1" w14:textId="77777777" w:rsidR="008417D6" w:rsidRPr="000A217A" w:rsidRDefault="008417D6" w:rsidP="00BD0E18">
            <w:pPr>
              <w:jc w:val="center"/>
              <w:rPr>
                <w:rFonts w:ascii="HY신명조" w:eastAsia="HY신명조"/>
              </w:rPr>
            </w:pPr>
            <w:r w:rsidRPr="000A217A">
              <w:rPr>
                <w:rFonts w:ascii="HY신명조" w:eastAsia="HY신명조" w:hint="eastAsia"/>
                <w:b/>
                <w:bCs/>
              </w:rPr>
              <w:t>정량적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
            <w:r>
              <w:rPr>
                <w:rFonts w:ascii="HY신명조" w:hAnsi="HY신명조" w:eastAsia="HY신명조"/>
                <w:b w:val="0"/>
                <w:sz w:val="19"/>
              </w:rPr>
              <w:t>총 1,862 유효 케이스 단일 폐루프 검증; 검출률 96~100%(감내 설계 1개 조건 제외)·오발동 0/45; 고장 상태 노출 238~275 m → 11~58 m 단축; 하드 페일 판정 1.5 s 마감 내 완료(최대 1.20 s); 속도 상한 인과 효과 검출(8 m 쌍대 불일치 10:0, exact McNemar p=0.002), 회피/충돌 경계 단조 이동(9 m 초과→약 7 m).</w:t>
            </w:r>
          </w:p>
        </w:tc>
      </w:tr>
      <w:tr w:rsidR="008417D6" w:rsidRPr="000A217A" w14:paraId="29D59570"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1C56D867" w14:textId="77777777" w:rsidR="008417D6" w:rsidRPr="000A217A" w:rsidRDefault="008417D6" w:rsidP="00BD0E18">
            <w:pPr>
              <w:jc w:val="center"/>
              <w:rPr>
                <w:rFonts w:ascii="HY신명조" w:eastAsia="HY신명조"/>
              </w:rPr>
            </w:pPr>
            <w:r w:rsidRPr="000A217A">
              <w:rPr>
                <w:rFonts w:ascii="HY신명조" w:eastAsia="HY신명조" w:hint="eastAsia"/>
                <w:b/>
                <w:bCs/>
              </w:rPr>
              <w:t>정성적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r/>
            <w:r>
              <w:rPr>
                <w:rFonts w:ascii="HY신명조" w:hAnsi="HY신명조" w:eastAsia="HY신명조"/>
                <w:b w:val="0"/>
                <w:sz w:val="19"/>
              </w:rPr>
              <w:t>연속 건강도·잔여능력 기반 단계적 MRM 선택이라는 감독 계층 아키텍처(비침습 add-on); 시뮬레이션 충돌 판정의 이중 체계(실시간 원장+물리 오라클)와 판정 함정 규명이라는 방법론적 기여; 감지 후 과도구간에 잔존 위험이 집중됨을 보인 조우 수준 관찰(FTTI 내 여유 확보 필요성의 정량 근거).</w:t>
            </w:r>
          </w:p>
        </w:tc>
      </w:tr>
    </w:tbl>
    <w:p w14:paraId="01D2BF1C" w14:textId="77777777" w:rsidR="008417D6" w:rsidRPr="000A217A" w:rsidRDefault="008417D6" w:rsidP="008417D6">
      <w:pPr>
        <w:rPr>
          <w:rFonts w:ascii="HY신명조" w:eastAsia="HY신명조"/>
        </w:rPr>
      </w:pPr>
    </w:p>
    <w:p w14:paraId="0CFA4B59"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3. 논문 발표 실적 (Publications and Awards)</w:t>
      </w:r>
    </w:p>
    <w:p w14:paraId="79295552" w14:textId="77777777" w:rsidR="008417D6" w:rsidRPr="000A217A" w:rsidRDefault="008417D6" w:rsidP="008417D6">
      <w:pPr>
        <w:rPr>
          <w:rFonts w:ascii="HY신명조" w:eastAsia="HY신명조"/>
        </w:rPr>
      </w:pPr>
      <w:r w:rsidRPr="000A217A">
        <w:rPr>
          <w:rFonts w:ascii="HY신명조" w:eastAsia="HY신명조" w:hint="eastAsia"/>
        </w:rPr>
        <w:t>학술지, 학회에 발표한 논문, 특허, 수상 실적을 아래 목록에 맞춰서 기재해 주십시오. 그 외 실적의 경우도 기재해 주십시오 (IEEE Trans. 형식의 reference 형태로 정리).</w:t>
      </w:r>
    </w:p>
    <w:p w14:paraId="41BB2044" w14:textId="77777777" w:rsidR="008417D6" w:rsidRPr="000A217A" w:rsidRDefault="008417D6" w:rsidP="008417D6">
      <w:pPr>
        <w:rPr>
          <w:rFonts w:ascii="HY신명조" w:eastAsia="HY신명조"/>
        </w:rPr>
      </w:pPr>
      <w:r w:rsidRPr="000A217A">
        <w:rPr>
          <w:rFonts w:ascii="HY신명조" w:eastAsia="HY신명조" w:hint="eastAsia"/>
          <w:b/>
          <w:bCs/>
        </w:rPr>
        <w:t>1) 국제 저널 실적</w:t>
      </w:r>
    </w:p>
    <w:p>
      <w:pPr>
        <w:spacing w:line="312" w:lineRule="auto" w:before="0" w:after="0"/>
      </w:pPr>
      <w:r>
        <w:rPr>
          <w:rFonts w:ascii="HY신명조" w:hAnsi="HY신명조" w:eastAsia="HY신명조"/>
          <w:b w:val="0"/>
          <w:sz w:val="20"/>
        </w:rPr>
        <w:t>[1] Tae Wook Eum, Jun Hyeon Choi, Ye Chan An, Jin Ho Kim, and Tae Yong Kuc, "Visible-Face-Aware Weighted Anchor Refinement with Utility-Guided Selective Correction for Monocular 3D Object Detection," IEEE Transactions on Intelligent Vehicles (under review, 2026).</w:t>
      </w:r>
    </w:p>
    <w:p>
      <w:pPr>
        <w:spacing w:line="312" w:lineRule="auto" w:before="0" w:after="0"/>
      </w:pPr>
      <w:r>
        <w:rPr>
          <w:rFonts w:ascii="HY신명조" w:hAnsi="HY신명조" w:eastAsia="HY신명조"/>
          <w:b w:val="0"/>
          <w:sz w:val="20"/>
        </w:rPr>
        <w:t>[2] Tae Wook Eum, Jun Hyeon Choi, Ye Chan An, Jin Ho Kim, and Tae Yong Kuc, "Graded Fault Response for Autonomous Driving via Continuous Sensor Health Monitoring and Risk/Capability-Aware MRM Supervision," IEEE Robotics and Automation Letters (in preparation, 2026).</w:t>
      </w:r>
    </w:p>
    <w:p w14:paraId="42D1BA94" w14:textId="77777777" w:rsidR="008417D6" w:rsidRPr="000A217A" w:rsidRDefault="008417D6" w:rsidP="008417D6">
      <w:pPr>
        <w:rPr>
          <w:rFonts w:ascii="HY신명조" w:eastAsia="HY신명조"/>
        </w:rPr>
      </w:pPr>
      <w:r w:rsidRPr="000A217A">
        <w:rPr>
          <w:rFonts w:ascii="HY신명조" w:eastAsia="HY신명조" w:hint="eastAsia"/>
          <w:b/>
          <w:bCs/>
        </w:rPr>
        <w:t>2) 국내 저널 실적</w:t>
      </w:r>
    </w:p>
    <w:p w14:paraId="02EF8C7F" w14:textId="77777777" w:rsidR="008417D6" w:rsidRPr="000A217A" w:rsidRDefault="008417D6" w:rsidP="008417D6">
      <w:pPr>
        <w:rPr>
          <w:rFonts w:ascii="HY신명조" w:eastAsia="HY신명조"/>
        </w:rPr>
      </w:pPr>
      <w:r w:rsidRPr="000A217A">
        <w:rPr>
          <w:rFonts w:ascii="HY신명조" w:eastAsia="HY신명조" w:hint="eastAsia"/>
          <w:b/>
          <w:bCs/>
        </w:rPr>
        <w:t>3) 국제 학회 실적</w:t>
      </w:r>
    </w:p>
    <w:p w14:paraId="3AED979D" w14:textId="77777777" w:rsidR="008417D6" w:rsidRPr="000A217A" w:rsidRDefault="008417D6" w:rsidP="008417D6">
      <w:pPr>
        <w:rPr>
          <w:rFonts w:ascii="HY신명조" w:eastAsia="HY신명조"/>
        </w:rPr>
      </w:pPr>
      <w:r w:rsidRPr="000A217A">
        <w:rPr>
          <w:rFonts w:ascii="HY신명조" w:eastAsia="HY신명조" w:hint="eastAsia"/>
          <w:b/>
          <w:bCs/>
        </w:rPr>
        <w:t>4) 국내 학회 실적</w:t>
      </w:r>
    </w:p>
    <w:p w14:paraId="47DE33B6" w14:textId="77777777" w:rsidR="008417D6" w:rsidRPr="000A217A" w:rsidRDefault="008417D6" w:rsidP="008417D6">
      <w:pPr>
        <w:rPr>
          <w:rFonts w:ascii="HY신명조" w:eastAsia="HY신명조"/>
        </w:rPr>
      </w:pPr>
      <w:r w:rsidRPr="000A217A">
        <w:rPr>
          <w:rFonts w:ascii="HY신명조" w:eastAsia="HY신명조" w:hint="eastAsia"/>
          <w:b/>
          <w:bCs/>
        </w:rPr>
        <w:t>5) 특허 및 수상 실적</w:t>
      </w:r>
    </w:p>
    <w:p w14:paraId="32729726" w14:textId="44E2CBC0" w:rsidR="008417D6" w:rsidRDefault="008417D6" w:rsidP="008417D6">
      <w:pPr>
        <w:rPr>
          <w:rFonts w:ascii="HY신명조" w:eastAsia="HY신명조"/>
          <w:b/>
          <w:bCs/>
        </w:rPr>
      </w:pPr>
      <w:r w:rsidRPr="000A217A">
        <w:rPr>
          <w:rFonts w:ascii="HY신명조" w:eastAsia="HY신명조" w:hint="eastAsia"/>
          <w:b/>
          <w:bCs/>
        </w:rPr>
        <w:t>6) 기타 실적</w:t>
      </w:r>
    </w:p>
    <w:p w14:paraId="4BAF6C9A" w14:textId="23E62058" w:rsidR="008417D6" w:rsidRDefault="008417D6" w:rsidP="008417D6">
      <w:pPr>
        <w:rPr>
          <w:rFonts w:ascii="HY신명조" w:eastAsia="HY신명조"/>
          <w:b/>
          <w:bCs/>
        </w:rPr>
      </w:pPr>
    </w:p>
    <w:p w14:paraId="4E73A5FC" w14:textId="77777777" w:rsidR="008417D6" w:rsidRDefault="008417D6" w:rsidP="008417D6">
      <w:pPr>
        <w:rPr>
          <w:rFonts w:ascii="HY신명조" w:eastAsia="HY신명조"/>
          <w:b/>
          <w:bCs/>
        </w:rPr>
      </w:pPr>
    </w:p>
    <w:p w14:paraId="17E8EDD6" w14:textId="5DF8D680" w:rsidR="008417D6" w:rsidRPr="008417D6" w:rsidRDefault="008417D6"/>
    <w:p>
      <w:pPr>
        <w:spacing w:line="348" w:lineRule="auto" w:before="0" w:after="0"/>
      </w:pPr>
      <w:r>
        <w:br w:type="page"/>
      </w:r>
    </w:p>
    <w:tbl>
      <w:tblPr>
        <w:tblOverlap w:val="never"/>
        <w:tblW w:w="8532" w:type="dxa"/>
        <w:tblCellMar>
          <w:top w:w="15" w:type="dxa"/>
          <w:left w:w="15" w:type="dxa"/>
          <w:bottom w:w="15" w:type="dxa"/>
          <w:right w:w="15" w:type="dxa"/>
        </w:tblCellMar>
        <w:tblLook w:val="04A0" w:firstRow="1" w:lastRow="0" w:firstColumn="1" w:lastColumn="0" w:noHBand="0" w:noVBand="1"/>
      </w:tblPr>
      <w:tblGrid>
        <w:gridCol w:w="8532"/>
      </w:tblGrid>
      <w:tr w:rsidR="00404B78" w:rsidRPr="005F32DB" w14:paraId="58BA6B50" w14:textId="77777777" w:rsidTr="0096709F">
        <w:trPr>
          <w:cantSplit/>
          <w:trHeight w:val="501"/>
        </w:trPr>
        <w:tc>
          <w:tcPr>
            <w:tcW w:w="8532" w:type="dxa"/>
            <w:tcMar>
              <w:top w:w="28" w:type="dxa"/>
              <w:left w:w="28" w:type="dxa"/>
              <w:bottom w:w="28" w:type="dxa"/>
              <w:right w:w="28" w:type="dxa"/>
            </w:tcMar>
            <w:vAlign w:val="center"/>
            <w:hideMark/>
          </w:tcPr>
          <w:p w14:paraId="037FCBCF" w14:textId="7EC9EE8E" w:rsidR="00404B78" w:rsidRPr="002F03A6" w:rsidRDefault="00404B78" w:rsidP="002F03A6">
            <w:pPr>
              <w:rPr>
                <w:rFonts w:ascii="HY신명조" w:eastAsia="HY신명조" w:hAnsi="바탕체"/>
                <w:b/>
                <w:sz w:val="26"/>
                <w:szCs w:val="26"/>
              </w:rPr>
            </w:pPr>
          </w:p>
        </w:tc>
      </w:tr>
      <w:tr w:rsidR="00404B78" w:rsidRPr="005F32DB" w14:paraId="4247FCBF" w14:textId="77777777" w:rsidTr="0096709F">
        <w:trPr>
          <w:cantSplit/>
          <w:trHeight w:val="563"/>
        </w:trPr>
        <w:tc>
          <w:tcPr>
            <w:tcW w:w="8532" w:type="dxa"/>
            <w:tcMar>
              <w:top w:w="28" w:type="dxa"/>
              <w:left w:w="28" w:type="dxa"/>
              <w:bottom w:w="28" w:type="dxa"/>
              <w:right w:w="28" w:type="dxa"/>
            </w:tcMar>
            <w:vAlign w:val="center"/>
            <w:hideMark/>
          </w:tcPr>
          <w:p w14:paraId="02B3AEDD"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kern w:val="0"/>
                <w:szCs w:val="20"/>
              </w:rPr>
            </w:pPr>
            <w:r w:rsidRPr="005F32DB">
              <w:rPr>
                <w:rFonts w:ascii="HY신명조" w:eastAsia="HY신명조" w:hAnsi="굴림" w:cs="굴림" w:hint="eastAsia"/>
                <w:kern w:val="0"/>
                <w:sz w:val="32"/>
                <w:szCs w:val="28"/>
                <w:shd w:val="clear" w:color="auto" w:fill="FFFFFF"/>
              </w:rPr>
              <w:t>Master’s Thesis</w:t>
            </w:r>
          </w:p>
        </w:tc>
      </w:tr>
      <w:tr w:rsidR="00404B78" w:rsidRPr="005F32DB" w14:paraId="0FFF24E7" w14:textId="77777777" w:rsidTr="0096709F">
        <w:trPr>
          <w:cantSplit/>
          <w:trHeight w:val="3951"/>
        </w:trPr>
        <w:tc>
          <w:tcPr>
            <w:tcW w:w="8532" w:type="dxa"/>
            <w:tcMar>
              <w:top w:w="28" w:type="dxa"/>
              <w:left w:w="28" w:type="dxa"/>
              <w:bottom w:w="28" w:type="dxa"/>
              <w:right w:w="28" w:type="dxa"/>
            </w:tcMar>
            <w:hideMark/>
          </w:tcPr>
          <w:p w14:paraId="5EB80886" w14:textId="77777777" w:rsidR="00404B78" w:rsidRPr="005F32DB" w:rsidRDefault="00404B78" w:rsidP="00077386">
            <w:pPr>
              <w:widowControl/>
              <w:shd w:val="clear" w:color="auto" w:fill="FFFFFF"/>
              <w:wordWrap/>
              <w:snapToGrid w:val="0"/>
              <w:spacing w:before="168" w:line="348" w:lineRule="auto"/>
              <w:textAlignment w:val="baseline"/>
              <w:rPr>
                <w:rFonts w:ascii="HY신명조" w:eastAsia="HY신명조" w:hAnsi="굴림" w:cs="굴림" w:hint="eastAsia"/>
                <w:color w:val="000000"/>
                <w:kern w:val="0"/>
                <w:sz w:val="44"/>
                <w:szCs w:val="44"/>
                <w:shd w:val="clear" w:color="auto" w:fill="FFFFFF"/>
              </w:rPr>
            </w:pPr>
          </w:p>
          <w:p w14:paraId="552BE50E" w14:textId="4631006D" w:rsidR="00404B78" w:rsidRPr="00077386" w:rsidRDefault="00AF4401"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w:t>
            </w:r>
            <w:r w:rsidR="00077386">
              <w:rPr>
                <w:rFonts w:ascii="HY신명조" w:eastAsia="HY신명조" w:hAnsi="굴림" w:cs="굴림" w:hint="eastAsia"/>
                <w:color w:val="000000"/>
                <w:kern w:val="0"/>
                <w:sz w:val="44"/>
                <w:szCs w:val="44"/>
                <w:shd w:val="clear" w:color="auto" w:fill="FFFFFF"/>
              </w:rPr>
              <w:t xml:space="preserve"> </w:t>
            </w:r>
            <w:r>
              <w:rPr>
                <w:rFonts w:ascii="HY신명조" w:eastAsia="HY신명조" w:hAnsi="굴림" w:cs="굴림" w:hint="eastAsia"/>
                <w:color w:val="000000"/>
                <w:kern w:val="0"/>
                <w:sz w:val="44"/>
                <w:szCs w:val="44"/>
                <w:shd w:val="clear" w:color="auto" w:fill="FFFFFF"/>
              </w:rPr>
              <w:t>MRM supervision</w:t>
            </w:r>
            <w:r w:rsidR="00077386">
              <w:rPr>
                <w:rFonts w:ascii="HY신명조" w:eastAsia="HY신명조" w:hAnsi="굴림" w:cs="굴림" w:hint="eastAsia"/>
                <w:color w:val="000000"/>
                <w:kern w:val="0"/>
                <w:sz w:val="44"/>
                <w:szCs w:val="44"/>
                <w:shd w:val="clear" w:color="auto" w:fill="FFFFFF"/>
              </w:rPr>
              <w:t xml:space="preserve"> </w:t>
            </w: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tc>
      </w:tr>
      <w:tr w:rsidR="00404B78" w:rsidRPr="005F32DB" w14:paraId="4F1CDC66" w14:textId="77777777" w:rsidTr="0096709F">
        <w:trPr>
          <w:cantSplit/>
          <w:trHeight w:val="3079"/>
        </w:trPr>
        <w:tc>
          <w:tcPr>
            <w:tcW w:w="8532" w:type="dxa"/>
            <w:tcMar>
              <w:top w:w="28" w:type="dxa"/>
              <w:left w:w="28" w:type="dxa"/>
              <w:bottom w:w="28" w:type="dxa"/>
              <w:right w:w="28" w:type="dxa"/>
            </w:tcMar>
            <w:vAlign w:val="center"/>
            <w:hideMark/>
          </w:tcPr>
          <w:p w14:paraId="4A376B17" w14:textId="55047C6A" w:rsidR="00404B78" w:rsidRPr="005F32DB" w:rsidRDefault="00AF4401"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p w14:paraId="4B141B89"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D7129DD"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95FEDFB" w14:textId="77777777" w:rsidR="00404B78" w:rsidRPr="005F32DB" w:rsidRDefault="00404B78" w:rsidP="00077386">
            <w:pPr>
              <w:widowControl/>
              <w:shd w:val="clear" w:color="auto" w:fill="FFFFFF"/>
              <w:wordWrap/>
              <w:snapToGrid w:val="0"/>
              <w:spacing w:before="120" w:line="348" w:lineRule="auto"/>
              <w:textAlignment w:val="baseline"/>
              <w:rPr>
                <w:rFonts w:ascii="HY신명조" w:eastAsia="HY신명조" w:hAnsi="굴림" w:cs="굴림" w:hint="eastAsia"/>
                <w:color w:val="000000"/>
                <w:kern w:val="0"/>
                <w:szCs w:val="20"/>
              </w:rPr>
            </w:pPr>
          </w:p>
          <w:p w14:paraId="5039A933"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58B6831F" w14:textId="77777777" w:rsidTr="0096709F">
        <w:trPr>
          <w:cantSplit/>
          <w:trHeight w:val="1623"/>
        </w:trPr>
        <w:tc>
          <w:tcPr>
            <w:tcW w:w="8532" w:type="dxa"/>
            <w:tcMar>
              <w:top w:w="28" w:type="dxa"/>
              <w:left w:w="28" w:type="dxa"/>
              <w:bottom w:w="28" w:type="dxa"/>
              <w:right w:w="28" w:type="dxa"/>
            </w:tcMar>
            <w:vAlign w:val="center"/>
            <w:hideMark/>
          </w:tcPr>
          <w:p w14:paraId="21400ADA" w14:textId="55EFC862"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lastRenderedPageBreak/>
              <w:t xml:space="preserve">Department of </w:t>
            </w:r>
            <w:r w:rsidR="00965CB7">
              <w:rPr>
                <w:rFonts w:ascii="HY신명조" w:eastAsia="HY신명조" w:hAnsi="한양신명조" w:cs="굴림" w:hint="eastAsia"/>
                <w:color w:val="000000"/>
                <w:kern w:val="0"/>
                <w:sz w:val="32"/>
                <w:szCs w:val="32"/>
                <w:shd w:val="clear" w:color="auto" w:fill="FFFFFF"/>
              </w:rPr>
              <w:t>Electrical and Computer Engineering</w:t>
            </w:r>
          </w:p>
          <w:p w14:paraId="30ECFFD9"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0F1FF995"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6CD12CBA"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8533"/>
      </w:tblGrid>
      <w:tr w:rsidR="00404B78" w:rsidRPr="005F32DB" w14:paraId="39C70445" w14:textId="77777777" w:rsidTr="0096709F">
        <w:trPr>
          <w:trHeight w:val="557"/>
        </w:trPr>
        <w:tc>
          <w:tcPr>
            <w:tcW w:w="8533" w:type="dxa"/>
            <w:tcMar>
              <w:top w:w="28" w:type="dxa"/>
              <w:left w:w="28" w:type="dxa"/>
              <w:bottom w:w="28" w:type="dxa"/>
              <w:right w:w="28" w:type="dxa"/>
            </w:tcMar>
            <w:vAlign w:val="center"/>
            <w:hideMark/>
          </w:tcPr>
          <w:p w14:paraId="2FADCE10" w14:textId="391FE8EA"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28E9E15D" w14:textId="77777777" w:rsidTr="0096709F">
        <w:trPr>
          <w:trHeight w:val="628"/>
        </w:trPr>
        <w:tc>
          <w:tcPr>
            <w:tcW w:w="8533" w:type="dxa"/>
            <w:tcMar>
              <w:top w:w="28" w:type="dxa"/>
              <w:left w:w="28" w:type="dxa"/>
              <w:bottom w:w="28" w:type="dxa"/>
              <w:right w:w="28" w:type="dxa"/>
            </w:tcMar>
            <w:vAlign w:val="center"/>
            <w:hideMark/>
          </w:tcPr>
          <w:p w14:paraId="22FB9758"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kern w:val="0"/>
                <w:sz w:val="32"/>
                <w:szCs w:val="28"/>
                <w:shd w:val="clear" w:color="auto" w:fill="FFFFFF"/>
              </w:rPr>
              <w:t>Master’s Thesis</w:t>
            </w:r>
          </w:p>
        </w:tc>
      </w:tr>
      <w:tr w:rsidR="00404B78" w:rsidRPr="005F32DB" w14:paraId="10670252" w14:textId="77777777" w:rsidTr="0096709F">
        <w:trPr>
          <w:trHeight w:val="4134"/>
        </w:trPr>
        <w:tc>
          <w:tcPr>
            <w:tcW w:w="8533" w:type="dxa"/>
            <w:tcMar>
              <w:top w:w="28" w:type="dxa"/>
              <w:left w:w="28" w:type="dxa"/>
              <w:bottom w:w="28" w:type="dxa"/>
              <w:right w:w="28" w:type="dxa"/>
            </w:tcMar>
            <w:hideMark/>
          </w:tcPr>
          <w:p w14:paraId="2F7770D2" w14:textId="77777777" w:rsidR="00404B78" w:rsidRPr="005F32DB" w:rsidRDefault="00404B78" w:rsidP="007163DC">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p>
          <w:p w14:paraId="7F7F8F8D" w14:textId="77777777" w:rsidR="00965CB7"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 MRM supervision</w:t>
            </w:r>
          </w:p>
          <w:p w14:paraId="142FFF6F" w14:textId="5BB30E5B" w:rsidR="00404B78" w:rsidRPr="005F32DB"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Cs w:val="20"/>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tc>
      </w:tr>
      <w:tr w:rsidR="00404B78" w:rsidRPr="005F32DB" w14:paraId="1DD437F5" w14:textId="77777777" w:rsidTr="0096709F">
        <w:trPr>
          <w:trHeight w:val="2841"/>
        </w:trPr>
        <w:tc>
          <w:tcPr>
            <w:tcW w:w="8533" w:type="dxa"/>
            <w:tcMar>
              <w:top w:w="28" w:type="dxa"/>
              <w:left w:w="28" w:type="dxa"/>
              <w:bottom w:w="28" w:type="dxa"/>
              <w:right w:w="28" w:type="dxa"/>
            </w:tcMar>
            <w:vAlign w:val="center"/>
            <w:hideMark/>
          </w:tcPr>
          <w:p w14:paraId="5092822A" w14:textId="77777777" w:rsidR="00077386" w:rsidRPr="005F32DB"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lastRenderedPageBreak/>
              <w:t>Taewook</w:t>
            </w:r>
            <w:proofErr w:type="spellEnd"/>
            <w:r>
              <w:rPr>
                <w:rFonts w:ascii="HY신명조" w:eastAsia="HY신명조" w:hAnsi="굴림" w:cs="굴림" w:hint="eastAsia"/>
                <w:color w:val="000000"/>
                <w:kern w:val="0"/>
                <w:sz w:val="32"/>
                <w:szCs w:val="32"/>
                <w:shd w:val="clear" w:color="auto" w:fill="FFFFFF"/>
              </w:rPr>
              <w:t xml:space="preserve"> Eum</w:t>
            </w:r>
          </w:p>
          <w:p w14:paraId="133EC6F3"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6A63095A"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746AC0EC"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3E7807E8"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12DECD04" w14:textId="77777777" w:rsidTr="0096709F">
        <w:trPr>
          <w:trHeight w:val="1553"/>
        </w:trPr>
        <w:tc>
          <w:tcPr>
            <w:tcW w:w="8533" w:type="dxa"/>
            <w:tcMar>
              <w:top w:w="28" w:type="dxa"/>
              <w:left w:w="28" w:type="dxa"/>
              <w:bottom w:w="28" w:type="dxa"/>
              <w:right w:w="28" w:type="dxa"/>
            </w:tcMar>
            <w:vAlign w:val="center"/>
            <w:hideMark/>
          </w:tcPr>
          <w:p w14:paraId="59E29DFA" w14:textId="77777777" w:rsidR="00077386" w:rsidRPr="005F32DB" w:rsidRDefault="00077386" w:rsidP="00077386">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Department of </w:t>
            </w:r>
            <w:r>
              <w:rPr>
                <w:rFonts w:ascii="HY신명조" w:eastAsia="HY신명조" w:hAnsi="한양신명조" w:cs="굴림" w:hint="eastAsia"/>
                <w:color w:val="000000"/>
                <w:kern w:val="0"/>
                <w:sz w:val="32"/>
                <w:szCs w:val="32"/>
                <w:shd w:val="clear" w:color="auto" w:fill="FFFFFF"/>
              </w:rPr>
              <w:t>Electrical and Computer Engineering</w:t>
            </w:r>
          </w:p>
          <w:p w14:paraId="775B9F90"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1105496E"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086BD3F2" w14:textId="77777777" w:rsidR="0096709F" w:rsidRPr="00404B78" w:rsidRDefault="0096709F" w:rsidP="00404B78">
      <w:pPr>
        <w:wordWrap/>
        <w:spacing w:line="348" w:lineRule="auto"/>
        <w:rPr>
          <w:rFonts w:ascii="HY신명조" w:eastAsia="HY신명조"/>
          <w:sz w:val="6"/>
          <w:szCs w:val="6"/>
        </w:rPr>
      </w:pPr>
    </w:p>
    <w:tbl>
      <w:tblPr>
        <w:tblOverlap w:val="never"/>
        <w:tblW w:w="8530" w:type="dxa"/>
        <w:tblCellMar>
          <w:top w:w="15" w:type="dxa"/>
          <w:left w:w="15" w:type="dxa"/>
          <w:bottom w:w="15" w:type="dxa"/>
          <w:right w:w="15" w:type="dxa"/>
        </w:tblCellMar>
        <w:tblLook w:val="04A0" w:firstRow="1" w:lastRow="0" w:firstColumn="1" w:lastColumn="0" w:noHBand="0" w:noVBand="1"/>
      </w:tblPr>
      <w:tblGrid>
        <w:gridCol w:w="8530"/>
      </w:tblGrid>
      <w:tr w:rsidR="00404B78" w:rsidRPr="005F32DB" w14:paraId="6395044B" w14:textId="77777777" w:rsidTr="0096709F">
        <w:trPr>
          <w:trHeight w:val="506"/>
        </w:trPr>
        <w:tc>
          <w:tcPr>
            <w:tcW w:w="8530" w:type="dxa"/>
            <w:tcMar>
              <w:top w:w="28" w:type="dxa"/>
              <w:left w:w="28" w:type="dxa"/>
              <w:bottom w:w="28" w:type="dxa"/>
              <w:right w:w="28" w:type="dxa"/>
            </w:tcMar>
            <w:vAlign w:val="center"/>
            <w:hideMark/>
          </w:tcPr>
          <w:p w14:paraId="2BAE94F3" w14:textId="6AE74465"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3930FA01" w14:textId="77777777" w:rsidTr="0096709F">
        <w:trPr>
          <w:trHeight w:val="579"/>
        </w:trPr>
        <w:tc>
          <w:tcPr>
            <w:tcW w:w="8530" w:type="dxa"/>
            <w:tcMar>
              <w:top w:w="28" w:type="dxa"/>
              <w:left w:w="28" w:type="dxa"/>
              <w:bottom w:w="28" w:type="dxa"/>
              <w:right w:w="28" w:type="dxa"/>
            </w:tcMar>
            <w:vAlign w:val="center"/>
            <w:hideMark/>
          </w:tcPr>
          <w:p w14:paraId="66D29F2A"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6B8E86A8" w14:textId="77777777" w:rsidTr="0096709F">
        <w:trPr>
          <w:trHeight w:val="2546"/>
        </w:trPr>
        <w:tc>
          <w:tcPr>
            <w:tcW w:w="8530" w:type="dxa"/>
            <w:tcMar>
              <w:top w:w="28" w:type="dxa"/>
              <w:left w:w="28" w:type="dxa"/>
              <w:bottom w:w="28" w:type="dxa"/>
              <w:right w:w="28" w:type="dxa"/>
            </w:tcMar>
            <w:hideMark/>
          </w:tcPr>
          <w:p w14:paraId="3F8D4334" w14:textId="77777777" w:rsidR="00077386" w:rsidRDefault="00077386"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 MRM supervision</w:t>
            </w:r>
          </w:p>
          <w:p w14:paraId="364F2C8D" w14:textId="6EF5C5E4" w:rsidR="0096709F" w:rsidRDefault="00077386" w:rsidP="00077386">
            <w:pPr>
              <w:widowControl/>
              <w:shd w:val="clear" w:color="auto" w:fill="FFFFFF"/>
              <w:wordWrap/>
              <w:snapToGrid w:val="0"/>
              <w:spacing w:before="168"/>
              <w:ind w:firstLine="80"/>
              <w:jc w:val="center"/>
              <w:textAlignment w:val="baseline"/>
              <w:rPr>
                <w:rFonts w:ascii="HY신명조" w:eastAsia="HY신명조" w:hAnsi="굴림" w:cs="굴림" w:hint="eastAsia"/>
                <w:color w:val="000000"/>
                <w:kern w:val="0"/>
                <w:sz w:val="44"/>
                <w:szCs w:val="44"/>
                <w:shd w:val="clear" w:color="auto" w:fill="FFFFFF"/>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p w14:paraId="166CEB60" w14:textId="77777777" w:rsidR="0096709F" w:rsidRPr="0096709F" w:rsidRDefault="0096709F" w:rsidP="0096709F">
            <w:pPr>
              <w:widowControl/>
              <w:shd w:val="clear" w:color="auto" w:fill="FFFFFF"/>
              <w:wordWrap/>
              <w:snapToGrid w:val="0"/>
              <w:spacing w:before="168"/>
              <w:ind w:firstLine="80"/>
              <w:jc w:val="center"/>
              <w:textAlignment w:val="baseline"/>
              <w:rPr>
                <w:rFonts w:ascii="HY신명조" w:eastAsia="HY신명조" w:hAnsi="굴림" w:cs="굴림"/>
                <w:color w:val="000000"/>
                <w:kern w:val="0"/>
                <w:sz w:val="44"/>
                <w:szCs w:val="44"/>
                <w:shd w:val="clear" w:color="auto" w:fill="FFFFFF"/>
              </w:rPr>
            </w:pPr>
          </w:p>
        </w:tc>
      </w:tr>
      <w:tr w:rsidR="00404B78" w:rsidRPr="005F32DB" w14:paraId="4701AF5B" w14:textId="77777777" w:rsidTr="0096709F">
        <w:trPr>
          <w:trHeight w:val="508"/>
        </w:trPr>
        <w:tc>
          <w:tcPr>
            <w:tcW w:w="8530" w:type="dxa"/>
            <w:tcMar>
              <w:top w:w="28" w:type="dxa"/>
              <w:left w:w="28" w:type="dxa"/>
              <w:bottom w:w="28" w:type="dxa"/>
              <w:right w:w="28" w:type="dxa"/>
            </w:tcMar>
            <w:vAlign w:val="center"/>
            <w:hideMark/>
          </w:tcPr>
          <w:p w14:paraId="55D0D17E" w14:textId="5B80958A" w:rsidR="00404B78" w:rsidRPr="00077386"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hint="eastAsia"/>
                <w:color w:val="000000"/>
                <w:kern w:val="0"/>
                <w:szCs w:val="20"/>
              </w:rPr>
            </w:pPr>
            <w:proofErr w:type="spellStart"/>
            <w:r>
              <w:rPr>
                <w:rFonts w:ascii="HY신명조" w:eastAsia="HY신명조" w:hAnsi="굴림" w:cs="굴림" w:hint="eastAsia"/>
                <w:color w:val="000000"/>
                <w:kern w:val="0"/>
                <w:sz w:val="32"/>
                <w:szCs w:val="32"/>
                <w:shd w:val="clear" w:color="auto" w:fill="FFFFFF"/>
              </w:rPr>
              <w:lastRenderedPageBreak/>
              <w:t>Taewook</w:t>
            </w:r>
            <w:proofErr w:type="spellEnd"/>
            <w:r>
              <w:rPr>
                <w:rFonts w:ascii="HY신명조" w:eastAsia="HY신명조" w:hAnsi="굴림" w:cs="굴림" w:hint="eastAsia"/>
                <w:color w:val="000000"/>
                <w:kern w:val="0"/>
                <w:sz w:val="32"/>
                <w:szCs w:val="32"/>
                <w:shd w:val="clear" w:color="auto" w:fill="FFFFFF"/>
              </w:rPr>
              <w:t xml:space="preserve"> Eum</w:t>
            </w:r>
          </w:p>
        </w:tc>
      </w:tr>
      <w:tr w:rsidR="00404B78" w:rsidRPr="005F32DB" w14:paraId="3231D93C" w14:textId="77777777" w:rsidTr="0096709F">
        <w:trPr>
          <w:trHeight w:val="3833"/>
        </w:trPr>
        <w:tc>
          <w:tcPr>
            <w:tcW w:w="8530" w:type="dxa"/>
            <w:tcMar>
              <w:top w:w="28" w:type="dxa"/>
              <w:left w:w="28" w:type="dxa"/>
              <w:bottom w:w="28" w:type="dxa"/>
              <w:right w:w="28" w:type="dxa"/>
            </w:tcMar>
            <w:vAlign w:val="center"/>
            <w:hideMark/>
          </w:tcPr>
          <w:p w14:paraId="26B11512" w14:textId="65C1942F" w:rsidR="00404B78" w:rsidRPr="005F32DB" w:rsidRDefault="00404B78" w:rsidP="00793F9D">
            <w:pPr>
              <w:widowControl/>
              <w:shd w:val="clear" w:color="auto" w:fill="FFFFFF"/>
              <w:wordWrap/>
              <w:snapToGrid w:val="0"/>
              <w:spacing w:before="168"/>
              <w:jc w:val="center"/>
              <w:textAlignment w:val="baseline"/>
              <w:rPr>
                <w:rFonts w:ascii="HY신명조" w:eastAsia="HY신명조"/>
              </w:rPr>
            </w:pPr>
            <w:r w:rsidRPr="005F32DB">
              <w:rPr>
                <w:rFonts w:ascii="HY신명조" w:eastAsia="HY신명조" w:hAnsi="굴림" w:cs="굴림" w:hint="eastAsia"/>
                <w:color w:val="000000"/>
                <w:kern w:val="0"/>
                <w:sz w:val="28"/>
                <w:szCs w:val="28"/>
                <w:shd w:val="clear" w:color="auto" w:fill="FFFFFF"/>
              </w:rPr>
              <w:t xml:space="preserve">A </w:t>
            </w:r>
            <w:proofErr w:type="gramStart"/>
            <w:r w:rsidRPr="005F32DB">
              <w:rPr>
                <w:rFonts w:ascii="HY신명조" w:eastAsia="HY신명조" w:hAnsi="굴림" w:cs="굴림" w:hint="eastAsia"/>
                <w:color w:val="000000"/>
                <w:kern w:val="0"/>
                <w:sz w:val="28"/>
                <w:szCs w:val="28"/>
                <w:shd w:val="clear" w:color="auto" w:fill="FFFFFF"/>
              </w:rPr>
              <w:t>Master's</w:t>
            </w:r>
            <w:proofErr w:type="gramEnd"/>
            <w:r w:rsidRPr="005F32DB">
              <w:rPr>
                <w:rFonts w:ascii="HY신명조" w:eastAsia="HY신명조" w:hAnsi="굴림" w:cs="굴림" w:hint="eastAsia"/>
                <w:color w:val="000000"/>
                <w:kern w:val="0"/>
                <w:sz w:val="28"/>
                <w:szCs w:val="28"/>
                <w:shd w:val="clear" w:color="auto" w:fill="FFFFFF"/>
              </w:rPr>
              <w:t xml:space="preserve"> Thesis Submitted to the Department of </w:t>
            </w:r>
            <w:r w:rsidR="00077386" w:rsidRPr="00077386">
              <w:rPr>
                <w:rFonts w:ascii="HY신명조" w:eastAsia="HY신명조" w:hAnsi="한양신명조" w:cs="굴림" w:hint="eastAsia"/>
                <w:color w:val="000000"/>
                <w:kern w:val="0"/>
                <w:sz w:val="28"/>
                <w:szCs w:val="28"/>
                <w:shd w:val="clear" w:color="auto" w:fill="FFFFFF"/>
              </w:rPr>
              <w:t>Electrical and Computer Engineering</w:t>
            </w:r>
            <w:r w:rsidR="00077386" w:rsidRPr="005F32DB">
              <w:rPr>
                <w:rFonts w:ascii="HY신명조" w:eastAsia="HY신명조" w:hAnsi="굴림" w:cs="굴림" w:hint="eastAsia"/>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and the Graduate School of Sungkyunkwan University</w:t>
            </w:r>
            <w:r>
              <w:rPr>
                <w:rFonts w:ascii="HY신명조" w:eastAsia="HY신명조" w:hAnsi="굴림" w:cs="굴림"/>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 xml:space="preserve">in partial fulfillment of the requirements </w:t>
            </w:r>
            <w:r w:rsidRPr="005F32DB">
              <w:rPr>
                <w:rFonts w:ascii="HY신명조" w:eastAsia="HY신명조" w:hint="eastAsia"/>
                <w:sz w:val="28"/>
                <w:szCs w:val="28"/>
                <w:shd w:val="clear" w:color="auto" w:fill="FFFFFF"/>
              </w:rPr>
              <w:t>for the degree of Master of Science in Engineering</w:t>
            </w:r>
          </w:p>
          <w:p w14:paraId="7282134D" w14:textId="77777777" w:rsidR="00404B78" w:rsidRPr="00793F9D" w:rsidRDefault="00404B78" w:rsidP="00793F9D">
            <w:pPr>
              <w:widowControl/>
              <w:shd w:val="clear" w:color="auto" w:fill="FFFFFF"/>
              <w:wordWrap/>
              <w:snapToGrid w:val="0"/>
              <w:spacing w:before="168"/>
              <w:ind w:firstLine="78"/>
              <w:jc w:val="center"/>
              <w:textAlignment w:val="baseline"/>
              <w:rPr>
                <w:rFonts w:ascii="HY신명조" w:eastAsia="HY신명조" w:hAnsi="굴림" w:cs="굴림"/>
                <w:color w:val="000000"/>
                <w:kern w:val="0"/>
                <w:sz w:val="14"/>
                <w:szCs w:val="20"/>
              </w:rPr>
            </w:pPr>
          </w:p>
          <w:p w14:paraId="532C8B8B" w14:textId="518D594E" w:rsidR="00404B78" w:rsidRDefault="00D246D1" w:rsidP="00F75387">
            <w:pPr>
              <w:widowControl/>
              <w:shd w:val="clear" w:color="auto" w:fill="FFFFFF"/>
              <w:wordWrap/>
              <w:snapToGrid w:val="0"/>
              <w:spacing w:before="120"/>
              <w:ind w:firstLine="80"/>
              <w:jc w:val="center"/>
              <w:textAlignment w:val="baseline"/>
              <w:rPr>
                <w:rFonts w:ascii="HY신명조" w:eastAsia="HY신명조" w:hAnsi="굴림" w:cs="굴림"/>
                <w:bCs/>
                <w:color w:val="FF0000"/>
                <w:kern w:val="0"/>
                <w:szCs w:val="28"/>
                <w:shd w:val="clear" w:color="auto" w:fill="FFFFFF"/>
              </w:rPr>
            </w:pPr>
            <w:r>
              <w:rPr>
                <w:rFonts w:ascii="HY신명조" w:eastAsia="HY신명조" w:hAnsi="굴림" w:cs="굴림" w:hint="eastAsia"/>
                <w:bCs/>
                <w:color w:val="000000"/>
                <w:kern w:val="0"/>
                <w:sz w:val="28"/>
                <w:szCs w:val="28"/>
                <w:shd w:val="clear" w:color="auto" w:fill="FFFFFF"/>
              </w:rPr>
              <w:t>F</w:t>
            </w:r>
            <w:r w:rsidRPr="00D246D1">
              <w:rPr>
                <w:rFonts w:ascii="HY신명조" w:eastAsia="HY신명조" w:hAnsi="굴림" w:cs="굴림"/>
                <w:bCs/>
                <w:color w:val="000000"/>
                <w:kern w:val="0"/>
                <w:sz w:val="28"/>
                <w:szCs w:val="28"/>
                <w:shd w:val="clear" w:color="auto" w:fill="FFFFFF"/>
              </w:rPr>
              <w:t>ebruary</w:t>
            </w:r>
            <w:r w:rsidRPr="00D246D1">
              <w:rPr>
                <w:rFonts w:ascii="HY신명조" w:eastAsia="HY신명조" w:hAnsi="굴림" w:cs="굴림"/>
                <w:bCs/>
                <w:color w:val="000000"/>
                <w:kern w:val="0"/>
                <w:sz w:val="28"/>
                <w:szCs w:val="28"/>
                <w:shd w:val="clear" w:color="auto" w:fill="FFFFFF"/>
              </w:rPr>
              <w:t xml:space="preserve"> </w:t>
            </w:r>
            <w:r w:rsidR="00E66CB2" w:rsidRPr="00E66CB2">
              <w:rPr>
                <w:rFonts w:ascii="HY신명조" w:eastAsia="HY신명조" w:hAnsi="굴림" w:cs="굴림"/>
                <w:bCs/>
                <w:color w:val="000000"/>
                <w:kern w:val="0"/>
                <w:sz w:val="28"/>
                <w:szCs w:val="28"/>
                <w:shd w:val="clear" w:color="auto" w:fill="FFFFFF"/>
              </w:rPr>
              <w:t>202</w:t>
            </w:r>
            <w:r w:rsidR="00077386">
              <w:rPr>
                <w:rFonts w:ascii="HY신명조" w:eastAsia="HY신명조" w:hAnsi="굴림" w:cs="굴림" w:hint="eastAsia"/>
                <w:bCs/>
                <w:color w:val="000000"/>
                <w:kern w:val="0"/>
                <w:sz w:val="28"/>
                <w:szCs w:val="28"/>
                <w:shd w:val="clear" w:color="auto" w:fill="FFFFFF"/>
              </w:rPr>
              <w:t>7</w:t>
            </w:r>
          </w:p>
          <w:p w14:paraId="032B60EB" w14:textId="28E0CD31" w:rsidR="00FC3499" w:rsidRPr="00FC3499" w:rsidRDefault="00FC3499" w:rsidP="00FC3499">
            <w:pPr>
              <w:rPr>
                <w:rFonts w:ascii="HY신명조" w:eastAsia="HY신명조" w:hAnsi="굴림" w:cs="굴림"/>
                <w:sz w:val="28"/>
                <w:szCs w:val="28"/>
              </w:rPr>
            </w:pPr>
          </w:p>
        </w:tc>
      </w:tr>
      <w:tr w:rsidR="00404B78" w:rsidRPr="005F32DB" w14:paraId="7A4ABC23" w14:textId="77777777" w:rsidTr="0096709F">
        <w:trPr>
          <w:trHeight w:val="49"/>
        </w:trPr>
        <w:tc>
          <w:tcPr>
            <w:tcW w:w="8530" w:type="dxa"/>
            <w:tcMar>
              <w:top w:w="28" w:type="dxa"/>
              <w:left w:w="28" w:type="dxa"/>
              <w:bottom w:w="28" w:type="dxa"/>
              <w:right w:w="28" w:type="dxa"/>
            </w:tcMar>
            <w:vAlign w:val="bottom"/>
            <w:hideMark/>
          </w:tcPr>
          <w:p w14:paraId="3D679FAD" w14:textId="77777777" w:rsidR="00052D68" w:rsidRDefault="00052D6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 w:val="32"/>
                <w:szCs w:val="32"/>
                <w:shd w:val="clear" w:color="auto" w:fill="FFFFFF"/>
              </w:rPr>
            </w:pPr>
            <w:r w:rsidRPr="00052D68">
              <w:rPr>
                <w:rFonts w:ascii="HY신명조" w:eastAsia="HY신명조" w:hAnsi="굴림" w:cs="굴림"/>
                <w:color w:val="000000"/>
                <w:kern w:val="0"/>
                <w:sz w:val="32"/>
                <w:szCs w:val="32"/>
                <w:shd w:val="clear" w:color="auto" w:fill="FFFFFF"/>
              </w:rPr>
              <w:t>Supervised by</w:t>
            </w:r>
          </w:p>
          <w:p w14:paraId="55F9A7DD" w14:textId="77777777" w:rsidR="00D246D1" w:rsidRDefault="00D246D1" w:rsidP="00793F9D">
            <w:pPr>
              <w:widowControl/>
              <w:shd w:val="clear" w:color="auto" w:fill="FFFFFF"/>
              <w:wordWrap/>
              <w:snapToGrid w:val="0"/>
              <w:spacing w:before="144"/>
              <w:ind w:firstLine="78"/>
              <w:jc w:val="center"/>
              <w:textAlignment w:val="baseline"/>
              <w:rPr>
                <w:rFonts w:ascii="HY신명조" w:eastAsia="HY신명조" w:hAnsi="한양신명조" w:cs="굴림"/>
                <w:color w:val="000000"/>
                <w:kern w:val="0"/>
                <w:sz w:val="32"/>
                <w:szCs w:val="32"/>
                <w:shd w:val="clear" w:color="auto" w:fill="FFFFFF"/>
              </w:rPr>
            </w:pPr>
            <w:r>
              <w:rPr>
                <w:rFonts w:ascii="HY신명조" w:eastAsia="HY신명조" w:hAnsi="한양신명조" w:cs="굴림" w:hint="eastAsia"/>
                <w:color w:val="000000"/>
                <w:kern w:val="0"/>
                <w:sz w:val="32"/>
                <w:szCs w:val="32"/>
                <w:shd w:val="clear" w:color="auto" w:fill="FFFFFF"/>
              </w:rPr>
              <w:t>Taeyong Kuc</w:t>
            </w:r>
          </w:p>
          <w:p w14:paraId="11295912" w14:textId="4AA5CEC1" w:rsidR="00404B78" w:rsidRPr="005F32DB" w:rsidRDefault="00404B7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Cs w:val="20"/>
              </w:rPr>
            </w:pPr>
            <w:r>
              <w:rPr>
                <w:rFonts w:ascii="HY신명조" w:eastAsia="HY신명조" w:hAnsi="굴림" w:cs="굴림" w:hint="eastAsia"/>
                <w:color w:val="000000"/>
                <w:kern w:val="0"/>
                <w:sz w:val="32"/>
                <w:szCs w:val="32"/>
                <w:shd w:val="clear" w:color="auto" w:fill="FFFFFF"/>
              </w:rPr>
              <w:t>Major</w:t>
            </w:r>
            <w:r>
              <w:rPr>
                <w:rFonts w:ascii="HY신명조" w:eastAsia="HY신명조" w:hAnsi="굴림" w:cs="굴림"/>
                <w:color w:val="000000"/>
                <w:kern w:val="0"/>
                <w:sz w:val="32"/>
                <w:szCs w:val="32"/>
                <w:shd w:val="clear" w:color="auto" w:fill="FFFFFF"/>
              </w:rPr>
              <w:t xml:space="preserve"> Advisor</w:t>
            </w:r>
          </w:p>
        </w:tc>
      </w:tr>
    </w:tbl>
    <w:p w14:paraId="20207830"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2987"/>
        <w:gridCol w:w="450"/>
        <w:gridCol w:w="4581"/>
        <w:gridCol w:w="515"/>
      </w:tblGrid>
      <w:tr w:rsidR="00404B78" w:rsidRPr="005F32DB" w14:paraId="21859598" w14:textId="77777777" w:rsidTr="007163DC">
        <w:trPr>
          <w:trHeight w:val="368"/>
        </w:trPr>
        <w:tc>
          <w:tcPr>
            <w:tcW w:w="8533" w:type="dxa"/>
            <w:gridSpan w:val="4"/>
            <w:tcMar>
              <w:top w:w="28" w:type="dxa"/>
              <w:left w:w="28" w:type="dxa"/>
              <w:bottom w:w="28" w:type="dxa"/>
              <w:right w:w="28" w:type="dxa"/>
            </w:tcMar>
            <w:vAlign w:val="center"/>
            <w:hideMark/>
          </w:tcPr>
          <w:p w14:paraId="18AF8B74" w14:textId="7BE3BAB1" w:rsidR="00404B78" w:rsidRPr="00793F9D"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r w:rsidRPr="00793F9D">
              <w:rPr>
                <w:rFonts w:ascii="HY신명조" w:eastAsia="HY신명조" w:hAnsi="굴림" w:cs="굴림" w:hint="eastAsia"/>
                <w:b/>
                <w:color w:val="FF0000"/>
                <w:kern w:val="0"/>
                <w:sz w:val="28"/>
                <w:szCs w:val="28"/>
                <w:shd w:val="clear" w:color="auto" w:fill="FFFFFF"/>
              </w:rPr>
              <w:t>(</w:t>
            </w:r>
            <w:r w:rsidRPr="00793F9D">
              <w:rPr>
                <w:rFonts w:ascii="HY신명조" w:eastAsia="HY신명조" w:hAnsi="굴림" w:cs="굴림"/>
                <w:b/>
                <w:color w:val="FF0000"/>
                <w:kern w:val="0"/>
                <w:sz w:val="28"/>
                <w:szCs w:val="28"/>
                <w:shd w:val="clear" w:color="auto" w:fill="FFFFFF"/>
              </w:rPr>
              <w:t xml:space="preserve">Approval form </w:t>
            </w:r>
            <w:r w:rsidRPr="00793F9D">
              <w:rPr>
                <w:rFonts w:ascii="HY신명조" w:eastAsia="HY신명조" w:hAnsi="굴림" w:cs="굴림" w:hint="eastAsia"/>
                <w:b/>
                <w:color w:val="FF0000"/>
                <w:kern w:val="0"/>
                <w:sz w:val="28"/>
                <w:szCs w:val="28"/>
                <w:shd w:val="clear" w:color="auto" w:fill="FFFFFF"/>
              </w:rPr>
              <w:t>인정서</w:t>
            </w:r>
            <w:r w:rsidR="002F03A6">
              <w:rPr>
                <w:rFonts w:ascii="HY신명조" w:eastAsia="HY신명조" w:hAnsi="굴림" w:cs="굴림" w:hint="eastAsia"/>
                <w:b/>
                <w:color w:val="FF0000"/>
                <w:kern w:val="0"/>
                <w:sz w:val="28"/>
                <w:szCs w:val="28"/>
                <w:shd w:val="clear" w:color="auto" w:fill="FFFFFF"/>
              </w:rPr>
              <w:t xml:space="preserve"> 서식</w:t>
            </w:r>
            <w:r w:rsidRPr="00793F9D">
              <w:rPr>
                <w:rFonts w:ascii="HY신명조" w:eastAsia="HY신명조" w:hAnsi="굴림" w:cs="굴림" w:hint="eastAsia"/>
                <w:b/>
                <w:color w:val="FF0000"/>
                <w:kern w:val="0"/>
                <w:sz w:val="28"/>
                <w:szCs w:val="28"/>
                <w:shd w:val="clear" w:color="auto" w:fill="FFFFFF"/>
              </w:rPr>
              <w:t>)</w:t>
            </w:r>
          </w:p>
        </w:tc>
      </w:tr>
      <w:tr w:rsidR="00404B78" w:rsidRPr="005F32DB" w14:paraId="6AFEA552" w14:textId="77777777" w:rsidTr="007163DC">
        <w:trPr>
          <w:trHeight w:val="1320"/>
        </w:trPr>
        <w:tc>
          <w:tcPr>
            <w:tcW w:w="8533" w:type="dxa"/>
            <w:gridSpan w:val="4"/>
            <w:tcMar>
              <w:top w:w="28" w:type="dxa"/>
              <w:left w:w="28" w:type="dxa"/>
              <w:bottom w:w="28" w:type="dxa"/>
              <w:right w:w="28" w:type="dxa"/>
            </w:tcMar>
            <w:hideMark/>
          </w:tcPr>
          <w:p w14:paraId="1CC8A164" w14:textId="77777777" w:rsidR="00404B78" w:rsidRPr="005F32DB" w:rsidRDefault="00404B78" w:rsidP="007163DC">
            <w:pPr>
              <w:widowControl/>
              <w:shd w:val="clear" w:color="auto" w:fill="FFFFFF"/>
              <w:wordWrap/>
              <w:snapToGrid w:val="0"/>
              <w:spacing w:before="72" w:line="288" w:lineRule="auto"/>
              <w:ind w:hanging="142"/>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This certifies that the </w:t>
            </w:r>
            <w:proofErr w:type="gramStart"/>
            <w:r>
              <w:rPr>
                <w:rFonts w:ascii="HY신명조" w:eastAsia="HY신명조" w:hAnsi="굴림" w:cs="굴림" w:hint="eastAsia"/>
                <w:color w:val="000000"/>
                <w:kern w:val="0"/>
                <w:sz w:val="32"/>
                <w:szCs w:val="32"/>
                <w:shd w:val="clear" w:color="auto" w:fill="FFFFFF"/>
              </w:rPr>
              <w:t>M</w:t>
            </w:r>
            <w:r w:rsidRPr="005F32DB">
              <w:rPr>
                <w:rFonts w:ascii="HY신명조" w:eastAsia="HY신명조" w:hAnsi="굴림" w:cs="굴림" w:hint="eastAsia"/>
                <w:color w:val="000000"/>
                <w:kern w:val="0"/>
                <w:sz w:val="32"/>
                <w:szCs w:val="32"/>
                <w:shd w:val="clear" w:color="auto" w:fill="FFFFFF"/>
              </w:rPr>
              <w:t>aster's</w:t>
            </w:r>
            <w:proofErr w:type="gramEnd"/>
            <w:r w:rsidRPr="005F32DB">
              <w:rPr>
                <w:rFonts w:ascii="HY신명조" w:eastAsia="HY신명조" w:hAnsi="굴림" w:cs="굴림" w:hint="eastAsia"/>
                <w:color w:val="000000"/>
                <w:kern w:val="0"/>
                <w:sz w:val="32"/>
                <w:szCs w:val="32"/>
                <w:shd w:val="clear" w:color="auto" w:fill="FFFFFF"/>
              </w:rPr>
              <w:t xml:space="preserve"> </w:t>
            </w:r>
            <w:r>
              <w:rPr>
                <w:rFonts w:ascii="HY신명조" w:eastAsia="HY신명조" w:hAnsi="굴림" w:cs="굴림"/>
                <w:color w:val="000000"/>
                <w:kern w:val="0"/>
                <w:sz w:val="32"/>
                <w:szCs w:val="32"/>
                <w:shd w:val="clear" w:color="auto" w:fill="FFFFFF"/>
              </w:rPr>
              <w:t>T</w:t>
            </w:r>
            <w:r w:rsidRPr="005F32DB">
              <w:rPr>
                <w:rFonts w:ascii="HY신명조" w:eastAsia="HY신명조" w:hAnsi="굴림" w:cs="굴림" w:hint="eastAsia"/>
                <w:color w:val="000000"/>
                <w:kern w:val="0"/>
                <w:sz w:val="32"/>
                <w:szCs w:val="32"/>
                <w:shd w:val="clear" w:color="auto" w:fill="FFFFFF"/>
              </w:rPr>
              <w:t>hesis</w:t>
            </w:r>
          </w:p>
          <w:p w14:paraId="57E44382" w14:textId="5DCEC549" w:rsidR="00404B78" w:rsidRPr="005F32DB" w:rsidRDefault="00404B78" w:rsidP="00793F9D">
            <w:pPr>
              <w:widowControl/>
              <w:shd w:val="clear" w:color="auto" w:fill="FFFFFF"/>
              <w:wordWrap/>
              <w:snapToGrid w:val="0"/>
              <w:spacing w:before="72"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 xml:space="preserve">of </w:t>
            </w:r>
            <w:proofErr w:type="spellStart"/>
            <w:r w:rsidR="00D246D1">
              <w:rPr>
                <w:rFonts w:ascii="HY신명조" w:eastAsia="HY신명조" w:hAnsi="굴림" w:cs="굴림" w:hint="eastAsia"/>
                <w:color w:val="000000"/>
                <w:kern w:val="0"/>
                <w:sz w:val="32"/>
                <w:szCs w:val="32"/>
                <w:shd w:val="clear" w:color="auto" w:fill="FFFFFF"/>
              </w:rPr>
              <w:t>Taewook</w:t>
            </w:r>
            <w:proofErr w:type="spellEnd"/>
            <w:r w:rsidR="00D246D1">
              <w:rPr>
                <w:rFonts w:ascii="HY신명조" w:eastAsia="HY신명조" w:hAnsi="굴림" w:cs="굴림" w:hint="eastAsia"/>
                <w:color w:val="000000"/>
                <w:kern w:val="0"/>
                <w:sz w:val="32"/>
                <w:szCs w:val="32"/>
                <w:shd w:val="clear" w:color="auto" w:fill="FFFFFF"/>
              </w:rPr>
              <w:t xml:space="preserve"> Eum </w:t>
            </w:r>
            <w:r w:rsidRPr="005F32DB">
              <w:rPr>
                <w:rFonts w:ascii="HY신명조" w:eastAsia="HY신명조" w:hAnsi="굴림" w:cs="굴림" w:hint="eastAsia"/>
                <w:color w:val="000000"/>
                <w:kern w:val="0"/>
                <w:sz w:val="32"/>
                <w:szCs w:val="32"/>
                <w:shd w:val="clear" w:color="auto" w:fill="FFFFFF"/>
              </w:rPr>
              <w:t>is approved.</w:t>
            </w:r>
          </w:p>
        </w:tc>
      </w:tr>
      <w:tr w:rsidR="00404B78" w:rsidRPr="005F32DB" w14:paraId="4DBFF910" w14:textId="77777777" w:rsidTr="007163DC">
        <w:trPr>
          <w:trHeight w:val="143"/>
        </w:trPr>
        <w:tc>
          <w:tcPr>
            <w:tcW w:w="8533" w:type="dxa"/>
            <w:gridSpan w:val="4"/>
            <w:tcMar>
              <w:top w:w="28" w:type="dxa"/>
              <w:left w:w="28" w:type="dxa"/>
              <w:bottom w:w="28" w:type="dxa"/>
              <w:right w:w="28" w:type="dxa"/>
            </w:tcMar>
            <w:vAlign w:val="center"/>
            <w:hideMark/>
          </w:tcPr>
          <w:p w14:paraId="4619257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36091801" w14:textId="77777777" w:rsidTr="00E82F9A">
        <w:trPr>
          <w:trHeight w:val="521"/>
        </w:trPr>
        <w:tc>
          <w:tcPr>
            <w:tcW w:w="3437" w:type="dxa"/>
            <w:gridSpan w:val="2"/>
            <w:tcMar>
              <w:top w:w="28" w:type="dxa"/>
              <w:left w:w="28" w:type="dxa"/>
              <w:bottom w:w="28" w:type="dxa"/>
              <w:right w:w="28" w:type="dxa"/>
            </w:tcMar>
            <w:vAlign w:val="center"/>
            <w:hideMark/>
          </w:tcPr>
          <w:p w14:paraId="58C2ADAF"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3F8DE85E"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4218372A"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1D78E31" w14:textId="77777777" w:rsidTr="00E82F9A">
        <w:trPr>
          <w:trHeight w:val="521"/>
        </w:trPr>
        <w:tc>
          <w:tcPr>
            <w:tcW w:w="2987" w:type="dxa"/>
            <w:tcMar>
              <w:top w:w="28" w:type="dxa"/>
              <w:left w:w="28" w:type="dxa"/>
              <w:bottom w:w="28" w:type="dxa"/>
              <w:right w:w="28" w:type="dxa"/>
            </w:tcMar>
            <w:vAlign w:val="center"/>
            <w:hideMark/>
          </w:tcPr>
          <w:p w14:paraId="15EABEB9"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69A3894F" w14:textId="77777777" w:rsidR="00404B78" w:rsidRPr="005F32DB"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404B78" w:rsidRPr="005F32DB" w14:paraId="363ACE41" w14:textId="77777777" w:rsidTr="007163DC">
        <w:trPr>
          <w:trHeight w:val="147"/>
        </w:trPr>
        <w:tc>
          <w:tcPr>
            <w:tcW w:w="8533" w:type="dxa"/>
            <w:gridSpan w:val="4"/>
            <w:tcMar>
              <w:top w:w="28" w:type="dxa"/>
              <w:left w:w="28" w:type="dxa"/>
              <w:bottom w:w="28" w:type="dxa"/>
              <w:right w:w="28" w:type="dxa"/>
            </w:tcMar>
            <w:vAlign w:val="center"/>
            <w:hideMark/>
          </w:tcPr>
          <w:p w14:paraId="0576B643"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r>
      <w:tr w:rsidR="00404B78" w:rsidRPr="005F32DB" w14:paraId="5FBA959D" w14:textId="77777777" w:rsidTr="00E82F9A">
        <w:trPr>
          <w:trHeight w:val="521"/>
        </w:trPr>
        <w:tc>
          <w:tcPr>
            <w:tcW w:w="3437" w:type="dxa"/>
            <w:gridSpan w:val="2"/>
            <w:tcMar>
              <w:top w:w="28" w:type="dxa"/>
              <w:left w:w="28" w:type="dxa"/>
              <w:bottom w:w="28" w:type="dxa"/>
              <w:right w:w="28" w:type="dxa"/>
            </w:tcMar>
            <w:vAlign w:val="center"/>
            <w:hideMark/>
          </w:tcPr>
          <w:p w14:paraId="09076A0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7C7A92C2" w14:textId="77777777" w:rsidR="00404B78" w:rsidRPr="005F32DB" w:rsidRDefault="00052D68" w:rsidP="00052D68">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심사위원장 </w:t>
            </w:r>
            <w:r w:rsidRPr="005F32DB">
              <w:rPr>
                <w:rFonts w:ascii="HY신명조" w:eastAsia="HY신명조" w:hAnsi="굴림" w:cs="굴림" w:hint="eastAsia"/>
                <w:color w:val="7F7F7F"/>
                <w:kern w:val="0"/>
                <w:sz w:val="24"/>
                <w:szCs w:val="24"/>
                <w:shd w:val="clear" w:color="auto" w:fill="FFFFFF"/>
              </w:rPr>
              <w:t>signature</w:t>
            </w:r>
            <w:r w:rsidRPr="005F32DB">
              <w:rPr>
                <w:rFonts w:ascii="HY신명조" w:eastAsia="HY신명조" w:hAnsi="굴림" w:cs="굴림" w:hint="eastAsia"/>
                <w:color w:val="7F7F7F"/>
                <w:kern w:val="0"/>
                <w:sz w:val="26"/>
                <w:szCs w:val="26"/>
                <w:shd w:val="clear" w:color="auto" w:fill="FFFFFF"/>
              </w:rPr>
              <w:t xml:space="preserve"> </w:t>
            </w:r>
          </w:p>
        </w:tc>
        <w:tc>
          <w:tcPr>
            <w:tcW w:w="515" w:type="dxa"/>
            <w:tcMar>
              <w:top w:w="28" w:type="dxa"/>
              <w:left w:w="28" w:type="dxa"/>
              <w:bottom w:w="28" w:type="dxa"/>
              <w:right w:w="28" w:type="dxa"/>
            </w:tcMar>
            <w:vAlign w:val="center"/>
            <w:hideMark/>
          </w:tcPr>
          <w:p w14:paraId="055D19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950C1AC" w14:textId="77777777" w:rsidTr="00E82F9A">
        <w:trPr>
          <w:trHeight w:val="521"/>
        </w:trPr>
        <w:tc>
          <w:tcPr>
            <w:tcW w:w="2987" w:type="dxa"/>
            <w:tcMar>
              <w:top w:w="28" w:type="dxa"/>
              <w:left w:w="28" w:type="dxa"/>
              <w:bottom w:w="28" w:type="dxa"/>
              <w:right w:w="28" w:type="dxa"/>
            </w:tcMar>
            <w:vAlign w:val="center"/>
            <w:hideMark/>
          </w:tcPr>
          <w:p w14:paraId="140A834D"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725BDD96" w14:textId="77777777" w:rsidR="00404B78" w:rsidRPr="005F32DB" w:rsidRDefault="00052D68" w:rsidP="005C5090">
            <w:pPr>
              <w:widowControl/>
              <w:shd w:val="clear" w:color="auto" w:fill="FFFFFF"/>
              <w:wordWrap/>
              <w:snapToGrid w:val="0"/>
              <w:spacing w:before="72" w:line="348" w:lineRule="auto"/>
              <w:ind w:firstLineChars="200" w:firstLine="480"/>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Chair :</w:t>
            </w:r>
            <w:proofErr w:type="gramEnd"/>
            <w:r w:rsidRPr="005F32DB">
              <w:rPr>
                <w:rFonts w:ascii="HY신명조" w:eastAsia="HY신명조" w:hAnsi="굴림" w:cs="굴림" w:hint="eastAsia"/>
                <w:color w:val="000000"/>
                <w:kern w:val="0"/>
                <w:sz w:val="24"/>
                <w:szCs w:val="24"/>
                <w:shd w:val="clear" w:color="auto" w:fill="FFFFFF"/>
              </w:rPr>
              <w:t xml:space="preserve"> Name</w:t>
            </w:r>
            <w:r>
              <w:rPr>
                <w:rFonts w:ascii="HY신명조" w:eastAsia="HY신명조" w:hAnsi="굴림" w:cs="굴림" w:hint="eastAsia"/>
                <w:color w:val="000000"/>
                <w:kern w:val="0"/>
                <w:sz w:val="24"/>
                <w:szCs w:val="24"/>
                <w:shd w:val="clear" w:color="auto" w:fill="FFFFFF"/>
              </w:rPr>
              <w:t xml:space="preserve"> </w:t>
            </w:r>
          </w:p>
        </w:tc>
      </w:tr>
      <w:tr w:rsidR="00404B78" w:rsidRPr="005F32DB" w14:paraId="61197295" w14:textId="77777777" w:rsidTr="007163DC">
        <w:trPr>
          <w:trHeight w:val="94"/>
        </w:trPr>
        <w:tc>
          <w:tcPr>
            <w:tcW w:w="8533" w:type="dxa"/>
            <w:gridSpan w:val="4"/>
            <w:tcMar>
              <w:top w:w="28" w:type="dxa"/>
              <w:left w:w="28" w:type="dxa"/>
              <w:bottom w:w="28" w:type="dxa"/>
              <w:right w:w="28" w:type="dxa"/>
            </w:tcMar>
            <w:vAlign w:val="center"/>
            <w:hideMark/>
          </w:tcPr>
          <w:p w14:paraId="3A22B8D4"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C008074" w14:textId="77777777" w:rsidTr="00E82F9A">
        <w:trPr>
          <w:trHeight w:val="521"/>
        </w:trPr>
        <w:tc>
          <w:tcPr>
            <w:tcW w:w="3437" w:type="dxa"/>
            <w:gridSpan w:val="2"/>
            <w:tcMar>
              <w:top w:w="28" w:type="dxa"/>
              <w:left w:w="28" w:type="dxa"/>
              <w:bottom w:w="28" w:type="dxa"/>
              <w:right w:w="28" w:type="dxa"/>
            </w:tcMar>
            <w:vAlign w:val="center"/>
            <w:hideMark/>
          </w:tcPr>
          <w:p w14:paraId="284DA89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649FA0E"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1F0ACA5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6B9E19F" w14:textId="77777777" w:rsidTr="00E82F9A">
        <w:trPr>
          <w:trHeight w:val="521"/>
        </w:trPr>
        <w:tc>
          <w:tcPr>
            <w:tcW w:w="2987" w:type="dxa"/>
            <w:tcMar>
              <w:top w:w="28" w:type="dxa"/>
              <w:left w:w="28" w:type="dxa"/>
              <w:bottom w:w="28" w:type="dxa"/>
              <w:right w:w="28" w:type="dxa"/>
            </w:tcMar>
            <w:vAlign w:val="center"/>
            <w:hideMark/>
          </w:tcPr>
          <w:p w14:paraId="3A4CEC1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3409CAE7" w14:textId="16FBF36C" w:rsidR="00404B78" w:rsidRPr="005F32DB" w:rsidRDefault="00052D68" w:rsidP="007163DC">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hint="eastAsia"/>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Member :</w:t>
            </w:r>
            <w:proofErr w:type="gramEnd"/>
            <w:r w:rsidRPr="005F32DB">
              <w:rPr>
                <w:rFonts w:ascii="HY신명조" w:eastAsia="HY신명조" w:hAnsi="굴림" w:cs="굴림" w:hint="eastAsia"/>
                <w:color w:val="000000"/>
                <w:kern w:val="0"/>
                <w:sz w:val="24"/>
                <w:szCs w:val="24"/>
                <w:shd w:val="clear" w:color="auto" w:fill="FFFFFF"/>
              </w:rPr>
              <w:t xml:space="preserve"> </w:t>
            </w:r>
            <w:r w:rsidR="000C55E6">
              <w:rPr>
                <w:rFonts w:ascii="HY신명조" w:eastAsia="HY신명조" w:hAnsi="굴림" w:cs="굴림" w:hint="eastAsia"/>
                <w:color w:val="000000"/>
                <w:kern w:val="0"/>
                <w:sz w:val="24"/>
                <w:szCs w:val="24"/>
                <w:shd w:val="clear" w:color="auto" w:fill="FFFFFF"/>
              </w:rPr>
              <w:t>Taeyong Kuc</w:t>
            </w:r>
          </w:p>
        </w:tc>
      </w:tr>
      <w:tr w:rsidR="00404B78" w:rsidRPr="005F32DB" w14:paraId="40242ECA" w14:textId="77777777" w:rsidTr="007163DC">
        <w:trPr>
          <w:trHeight w:val="67"/>
        </w:trPr>
        <w:tc>
          <w:tcPr>
            <w:tcW w:w="8533" w:type="dxa"/>
            <w:gridSpan w:val="4"/>
            <w:tcMar>
              <w:top w:w="28" w:type="dxa"/>
              <w:left w:w="28" w:type="dxa"/>
              <w:bottom w:w="28" w:type="dxa"/>
              <w:right w:w="28" w:type="dxa"/>
            </w:tcMar>
            <w:vAlign w:val="center"/>
            <w:hideMark/>
          </w:tcPr>
          <w:p w14:paraId="54118B91"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00D493C8" w14:textId="77777777" w:rsidTr="00E82F9A">
        <w:trPr>
          <w:trHeight w:val="521"/>
        </w:trPr>
        <w:tc>
          <w:tcPr>
            <w:tcW w:w="3437" w:type="dxa"/>
            <w:gridSpan w:val="2"/>
            <w:tcMar>
              <w:top w:w="28" w:type="dxa"/>
              <w:left w:w="28" w:type="dxa"/>
              <w:bottom w:w="28" w:type="dxa"/>
              <w:right w:w="28" w:type="dxa"/>
            </w:tcMar>
            <w:vAlign w:val="center"/>
            <w:hideMark/>
          </w:tcPr>
          <w:p w14:paraId="4723D18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42AE3B7"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지도교수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3C6EC6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5F356EDB" w14:textId="77777777" w:rsidTr="00E82F9A">
        <w:trPr>
          <w:trHeight w:val="521"/>
        </w:trPr>
        <w:tc>
          <w:tcPr>
            <w:tcW w:w="2987" w:type="dxa"/>
            <w:tcMar>
              <w:top w:w="28" w:type="dxa"/>
              <w:left w:w="28" w:type="dxa"/>
              <w:bottom w:w="28" w:type="dxa"/>
              <w:right w:w="28" w:type="dxa"/>
            </w:tcMar>
            <w:vAlign w:val="center"/>
            <w:hideMark/>
          </w:tcPr>
          <w:p w14:paraId="7636182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1449685D" w14:textId="77777777" w:rsidR="00404B78" w:rsidRPr="005F32DB" w:rsidRDefault="00052D68" w:rsidP="00052D68">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color w:val="000000"/>
                <w:kern w:val="0"/>
                <w:szCs w:val="20"/>
              </w:rPr>
            </w:pPr>
            <w:r>
              <w:rPr>
                <w:rFonts w:ascii="HY신명조" w:eastAsia="HY신명조" w:hAnsi="굴림" w:cs="굴림"/>
                <w:color w:val="000000"/>
                <w:kern w:val="0"/>
                <w:sz w:val="24"/>
                <w:szCs w:val="24"/>
                <w:shd w:val="clear" w:color="auto" w:fill="FFFFFF"/>
              </w:rPr>
              <w:t xml:space="preserve">Major </w:t>
            </w:r>
            <w:proofErr w:type="gramStart"/>
            <w:r>
              <w:rPr>
                <w:rFonts w:ascii="HY신명조" w:eastAsia="HY신명조" w:hAnsi="굴림" w:cs="굴림"/>
                <w:color w:val="000000"/>
                <w:kern w:val="0"/>
                <w:sz w:val="24"/>
                <w:szCs w:val="24"/>
                <w:shd w:val="clear" w:color="auto" w:fill="FFFFFF"/>
              </w:rPr>
              <w:t xml:space="preserve">Advisor </w:t>
            </w:r>
            <w:r w:rsidRPr="005F32DB">
              <w:rPr>
                <w:rFonts w:ascii="HY신명조" w:eastAsia="HY신명조" w:hAnsi="굴림" w:cs="굴림" w:hint="eastAsia"/>
                <w:color w:val="000000"/>
                <w:kern w:val="0"/>
                <w:sz w:val="24"/>
                <w:szCs w:val="24"/>
                <w:shd w:val="clear" w:color="auto" w:fill="FFFFFF"/>
              </w:rPr>
              <w:t>:</w:t>
            </w:r>
            <w:proofErr w:type="gramEnd"/>
            <w:r w:rsidRPr="005F32DB">
              <w:rPr>
                <w:rFonts w:ascii="HY신명조" w:eastAsia="HY신명조" w:hAnsi="굴림" w:cs="굴림" w:hint="eastAsia"/>
                <w:color w:val="000000"/>
                <w:kern w:val="0"/>
                <w:sz w:val="24"/>
                <w:szCs w:val="24"/>
                <w:shd w:val="clear" w:color="auto" w:fill="FFFFFF"/>
              </w:rPr>
              <w:t xml:space="preserve"> Name</w:t>
            </w:r>
          </w:p>
        </w:tc>
      </w:tr>
      <w:tr w:rsidR="00404B78" w:rsidRPr="005F32DB" w14:paraId="0A27163C" w14:textId="77777777" w:rsidTr="007163DC">
        <w:trPr>
          <w:trHeight w:val="129"/>
        </w:trPr>
        <w:tc>
          <w:tcPr>
            <w:tcW w:w="8533" w:type="dxa"/>
            <w:gridSpan w:val="4"/>
            <w:tcMar>
              <w:top w:w="28" w:type="dxa"/>
              <w:left w:w="28" w:type="dxa"/>
              <w:bottom w:w="28" w:type="dxa"/>
              <w:right w:w="28" w:type="dxa"/>
            </w:tcMar>
            <w:vAlign w:val="center"/>
            <w:hideMark/>
          </w:tcPr>
          <w:p w14:paraId="1FEAB4CE"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0E3F935" w14:textId="77777777" w:rsidTr="00E82F9A">
        <w:trPr>
          <w:trHeight w:val="521"/>
        </w:trPr>
        <w:tc>
          <w:tcPr>
            <w:tcW w:w="3437" w:type="dxa"/>
            <w:gridSpan w:val="2"/>
            <w:tcMar>
              <w:top w:w="28" w:type="dxa"/>
              <w:left w:w="28" w:type="dxa"/>
              <w:bottom w:w="28" w:type="dxa"/>
              <w:right w:w="28" w:type="dxa"/>
            </w:tcMar>
            <w:vAlign w:val="center"/>
            <w:hideMark/>
          </w:tcPr>
          <w:p w14:paraId="188CB5A5"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6921371B"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3A4C018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53AD337" w14:textId="77777777" w:rsidTr="00E82F9A">
        <w:trPr>
          <w:trHeight w:val="521"/>
        </w:trPr>
        <w:tc>
          <w:tcPr>
            <w:tcW w:w="2987" w:type="dxa"/>
            <w:tcMar>
              <w:top w:w="28" w:type="dxa"/>
              <w:left w:w="28" w:type="dxa"/>
              <w:bottom w:w="28" w:type="dxa"/>
              <w:right w:w="28" w:type="dxa"/>
            </w:tcMar>
            <w:vAlign w:val="center"/>
            <w:hideMark/>
          </w:tcPr>
          <w:p w14:paraId="14DC1337"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59D9D7DB" w14:textId="77777777" w:rsidR="00404B78" w:rsidRPr="005F32DB"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E82F9A" w:rsidRPr="005F32DB" w14:paraId="3CECB98D" w14:textId="77777777" w:rsidTr="00125AA9">
        <w:trPr>
          <w:trHeight w:val="38"/>
        </w:trPr>
        <w:tc>
          <w:tcPr>
            <w:tcW w:w="8533" w:type="dxa"/>
            <w:gridSpan w:val="4"/>
            <w:tcMar>
              <w:top w:w="28" w:type="dxa"/>
              <w:left w:w="28" w:type="dxa"/>
              <w:bottom w:w="28" w:type="dxa"/>
              <w:right w:w="28" w:type="dxa"/>
            </w:tcMar>
            <w:vAlign w:val="bottom"/>
            <w:hideMark/>
          </w:tcPr>
          <w:p w14:paraId="23729A34"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7E927130"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p w14:paraId="530D3666" w14:textId="3C25BA56" w:rsidR="00E82F9A" w:rsidRPr="00AE21F2" w:rsidRDefault="0074378C" w:rsidP="00125AA9">
            <w:pPr>
              <w:pStyle w:val="a5"/>
              <w:wordWrap/>
              <w:spacing w:line="360" w:lineRule="auto"/>
              <w:jc w:val="center"/>
              <w:rPr>
                <w:rFonts w:ascii="함초롬바탕"/>
              </w:rPr>
            </w:pPr>
            <w:r w:rsidRPr="0074378C">
              <w:rPr>
                <w:rFonts w:ascii="HY신명조" w:eastAsia="HY신명조" w:hint="eastAsia"/>
                <w:bCs/>
                <w:sz w:val="32"/>
                <w:szCs w:val="32"/>
                <w:shd w:val="clear" w:color="auto" w:fill="FFFFFF"/>
              </w:rPr>
              <w:t>F</w:t>
            </w:r>
            <w:r w:rsidRPr="0074378C">
              <w:rPr>
                <w:rFonts w:ascii="HY신명조" w:eastAsia="HY신명조"/>
                <w:bCs/>
                <w:sz w:val="32"/>
                <w:szCs w:val="32"/>
                <w:shd w:val="clear" w:color="auto" w:fill="FFFFFF"/>
              </w:rPr>
              <w:t xml:space="preserve">ebruary </w:t>
            </w:r>
            <w:r w:rsidR="00E82F9A" w:rsidRPr="00E66CB2">
              <w:rPr>
                <w:rFonts w:ascii="HY신명조" w:eastAsia="HY신명조"/>
                <w:bCs/>
                <w:sz w:val="32"/>
                <w:szCs w:val="32"/>
                <w:shd w:val="clear" w:color="auto" w:fill="FFFFFF"/>
              </w:rPr>
              <w:t>202</w:t>
            </w:r>
            <w:r>
              <w:rPr>
                <w:rFonts w:ascii="HY신명조" w:eastAsia="HY신명조" w:hint="eastAsia"/>
                <w:bCs/>
                <w:sz w:val="32"/>
                <w:szCs w:val="32"/>
                <w:shd w:val="clear" w:color="auto" w:fill="FFFFFF"/>
              </w:rPr>
              <w:t>7</w:t>
            </w:r>
            <w:r w:rsidR="00E82F9A" w:rsidRPr="00AE21F2">
              <w:rPr>
                <w:rFonts w:ascii="HY신명조" w:eastAsia="HY신명조"/>
                <w:bCs/>
                <w:color w:val="FF0000"/>
                <w:spacing w:val="-12"/>
                <w:szCs w:val="28"/>
                <w:shd w:val="clear" w:color="auto" w:fill="FFFFFF"/>
              </w:rPr>
              <w:t>(*</w:t>
            </w:r>
            <w:r w:rsidR="00E82F9A" w:rsidRPr="007A3994">
              <w:rPr>
                <w:rFonts w:ascii="HY신명조" w:eastAsia="HY신명조"/>
                <w:bCs/>
                <w:color w:val="FF0000"/>
                <w:szCs w:val="28"/>
                <w:shd w:val="clear" w:color="auto" w:fill="FFFFFF"/>
              </w:rPr>
              <w:t xml:space="preserve">If you graduate </w:t>
            </w:r>
            <w:r w:rsidR="00C74F96" w:rsidRPr="00C74F96">
              <w:rPr>
                <w:rFonts w:ascii="HY신명조" w:eastAsia="HY신명조"/>
                <w:bCs/>
                <w:color w:val="FF0000"/>
                <w:szCs w:val="28"/>
                <w:shd w:val="clear" w:color="auto" w:fill="FFFFFF"/>
              </w:rPr>
              <w:t>August</w:t>
            </w:r>
            <w:r w:rsidR="00C74F96">
              <w:rPr>
                <w:rFonts w:ascii="HY신명조" w:eastAsia="HY신명조"/>
                <w:bCs/>
                <w:color w:val="FF0000"/>
                <w:szCs w:val="28"/>
                <w:shd w:val="clear" w:color="auto" w:fill="FFFFFF"/>
              </w:rPr>
              <w:t xml:space="preserve"> </w:t>
            </w:r>
            <w:r w:rsidR="00E82F9A" w:rsidRPr="00E66CB2">
              <w:rPr>
                <w:rFonts w:ascii="HY신명조" w:eastAsia="HY신명조"/>
                <w:bCs/>
                <w:color w:val="FF0000"/>
                <w:szCs w:val="28"/>
                <w:shd w:val="clear" w:color="auto" w:fill="FFFFFF"/>
              </w:rPr>
              <w:t>202</w:t>
            </w:r>
            <w:r w:rsidR="00FC3499">
              <w:rPr>
                <w:rFonts w:ascii="HY신명조" w:eastAsia="HY신명조"/>
                <w:bCs/>
                <w:color w:val="FF0000"/>
                <w:szCs w:val="28"/>
                <w:shd w:val="clear" w:color="auto" w:fill="FFFFFF"/>
              </w:rPr>
              <w:t>6</w:t>
            </w:r>
            <w:r w:rsidR="00E82F9A" w:rsidRPr="007A3994">
              <w:rPr>
                <w:rFonts w:ascii="HY신명조" w:eastAsia="HY신명조"/>
                <w:bCs/>
                <w:color w:val="FF0000"/>
                <w:szCs w:val="28"/>
                <w:shd w:val="clear" w:color="auto" w:fill="FFFFFF"/>
              </w:rPr>
              <w:t>,</w:t>
            </w:r>
            <w:r w:rsidR="00E82F9A">
              <w:rPr>
                <w:rFonts w:ascii="HY신명조" w:eastAsia="HY신명조"/>
                <w:bCs/>
                <w:color w:val="FF0000"/>
                <w:szCs w:val="28"/>
                <w:shd w:val="clear" w:color="auto" w:fill="FFFFFF"/>
              </w:rPr>
              <w:t xml:space="preserve"> </w:t>
            </w:r>
            <w:r w:rsidR="00E82F9A" w:rsidRPr="007A3994">
              <w:rPr>
                <w:rFonts w:ascii="HY신명조" w:eastAsia="HY신명조"/>
                <w:bCs/>
                <w:color w:val="FF0000"/>
                <w:spacing w:val="-12"/>
                <w:szCs w:val="28"/>
                <w:shd w:val="clear" w:color="auto" w:fill="FFFFFF"/>
              </w:rPr>
              <w:t xml:space="preserve">please write </w:t>
            </w:r>
            <w:r w:rsidR="00C74F96" w:rsidRPr="00C74F96">
              <w:rPr>
                <w:rFonts w:ascii="HY신명조" w:eastAsia="HY신명조"/>
                <w:bCs/>
                <w:color w:val="FF0000"/>
                <w:spacing w:val="-12"/>
                <w:szCs w:val="28"/>
                <w:shd w:val="clear" w:color="auto" w:fill="FFFFFF"/>
              </w:rPr>
              <w:t>June</w:t>
            </w:r>
            <w:r w:rsidR="00C74F96">
              <w:rPr>
                <w:rFonts w:ascii="HY신명조" w:eastAsia="HY신명조"/>
                <w:bCs/>
                <w:color w:val="FF0000"/>
                <w:spacing w:val="-12"/>
                <w:szCs w:val="28"/>
                <w:shd w:val="clear" w:color="auto" w:fill="FFFFFF"/>
              </w:rPr>
              <w:t xml:space="preserve"> </w:t>
            </w:r>
            <w:r w:rsidR="00E82F9A" w:rsidRPr="00E66CB2">
              <w:rPr>
                <w:rFonts w:ascii="HY신명조" w:eastAsia="HY신명조"/>
                <w:bCs/>
                <w:color w:val="FF0000"/>
                <w:spacing w:val="-12"/>
                <w:szCs w:val="28"/>
                <w:shd w:val="clear" w:color="auto" w:fill="FFFFFF"/>
              </w:rPr>
              <w:t>202</w:t>
            </w:r>
            <w:r w:rsidR="00C74F96">
              <w:rPr>
                <w:rFonts w:ascii="HY신명조" w:eastAsia="HY신명조"/>
                <w:bCs/>
                <w:color w:val="FF0000"/>
                <w:spacing w:val="-12"/>
                <w:szCs w:val="28"/>
                <w:shd w:val="clear" w:color="auto" w:fill="FFFFFF"/>
              </w:rPr>
              <w:t>6</w:t>
            </w:r>
            <w:r w:rsidR="00E82F9A" w:rsidRPr="00AE21F2">
              <w:rPr>
                <w:rFonts w:ascii="HY신명조" w:eastAsia="HY신명조"/>
                <w:bCs/>
                <w:color w:val="FF0000"/>
                <w:spacing w:val="-12"/>
                <w:szCs w:val="28"/>
                <w:shd w:val="clear" w:color="auto" w:fill="FFFFFF"/>
              </w:rPr>
              <w:t>.)</w:t>
            </w:r>
          </w:p>
        </w:tc>
      </w:tr>
    </w:tbl>
    <w:p w14:paraId="119DA29F" w14:textId="77777777" w:rsidR="00404B78" w:rsidRPr="0074378C" w:rsidRDefault="00404B78" w:rsidP="00404B78">
      <w:pPr>
        <w:widowControl/>
        <w:shd w:val="clear" w:color="auto" w:fill="FFFFFF"/>
        <w:wordWrap/>
        <w:autoSpaceDE/>
        <w:spacing w:line="348" w:lineRule="auto"/>
        <w:jc w:val="center"/>
        <w:textAlignment w:val="baseline"/>
        <w:rPr>
          <w:rFonts w:ascii="HY신명조" w:eastAsia="HY신명조" w:hAnsi="굴림" w:cs="굴림"/>
          <w:b/>
          <w:bCs/>
          <w:color w:val="000000"/>
          <w:kern w:val="0"/>
          <w:sz w:val="6"/>
          <w:szCs w:val="6"/>
          <w:shd w:val="clear" w:color="auto" w:fill="FFFFFF"/>
        </w:rPr>
        <w:sectPr w:rsidR="00404B78" w:rsidRPr="0074378C" w:rsidSect="00AB44A6">
          <w:pgSz w:w="11906" w:h="16838" w:code="9"/>
          <w:pgMar w:top="3005" w:right="1701" w:bottom="3005" w:left="1701" w:header="851" w:footer="851" w:gutter="0"/>
          <w:cols w:space="425"/>
          <w:docGrid w:linePitch="501" w:charSpace="4872"/>
        </w:sectPr>
      </w:pPr>
    </w:p>
    <w:p w14:paraId="67746F9F" w14:textId="77777777" w:rsidR="00404B78" w:rsidRPr="005F32DB" w:rsidRDefault="00793F9D" w:rsidP="00404B78">
      <w:pPr>
        <w:widowControl/>
        <w:shd w:val="clear" w:color="auto" w:fill="FFFFFF"/>
        <w:wordWrap/>
        <w:autoSpaceDE/>
        <w:spacing w:line="348" w:lineRule="auto"/>
        <w:jc w:val="center"/>
        <w:textAlignment w:val="baseline"/>
        <w:rPr>
          <w:rFonts w:ascii="HY신명조" w:eastAsia="HY신명조" w:hAnsi="굴림" w:cs="굴림"/>
          <w:color w:val="000000"/>
          <w:kern w:val="0"/>
          <w:szCs w:val="20"/>
        </w:rPr>
      </w:pPr>
      <w:r>
        <w:rPr>
          <w:rFonts w:ascii="HY신명조" w:eastAsia="HY신명조" w:hAnsi="굴림" w:cs="굴림"/>
          <w:b/>
          <w:bCs/>
          <w:color w:val="000000"/>
          <w:kern w:val="0"/>
          <w:sz w:val="32"/>
          <w:szCs w:val="32"/>
          <w:shd w:val="clear" w:color="auto" w:fill="FFFFFF"/>
        </w:rPr>
        <w:lastRenderedPageBreak/>
        <w:t xml:space="preserve">Table of </w:t>
      </w:r>
      <w:r w:rsidR="00404B78" w:rsidRPr="005F32DB">
        <w:rPr>
          <w:rFonts w:ascii="HY신명조" w:eastAsia="HY신명조" w:hAnsi="굴림" w:cs="굴림" w:hint="eastAsia"/>
          <w:b/>
          <w:bCs/>
          <w:color w:val="000000"/>
          <w:kern w:val="0"/>
          <w:sz w:val="32"/>
          <w:szCs w:val="32"/>
          <w:shd w:val="clear" w:color="auto" w:fill="FFFFFF"/>
        </w:rPr>
        <w:t>Contents</w:t>
      </w:r>
      <w:r w:rsidR="00404B78" w:rsidRPr="005F32DB">
        <w:rPr>
          <w:rFonts w:ascii="HY신명조" w:eastAsia="HY신명조" w:hAnsi="굴림" w:cs="굴림" w:hint="eastAsia"/>
          <w:color w:val="000000"/>
          <w:kern w:val="0"/>
          <w:sz w:val="32"/>
          <w:szCs w:val="32"/>
          <w:shd w:val="clear" w:color="auto" w:fill="FFFFFF"/>
        </w:rPr>
        <w:t xml:space="preserve"> </w:t>
      </w:r>
    </w:p>
    <w:tbl>
      <w:tblPr>
        <w:tblOverlap w:val="never"/>
        <w:tblInd w:w="102" w:type="dxa"/>
        <w:tblLook w:val="04A0" w:firstRow="1" w:lastRow="0" w:firstColumn="1" w:lastColumn="0" w:noHBand="0" w:noVBand="1"/>
        <w:tblW w:w="8504"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
      <w:tblGrid>
        <w:gridCol w:w="2450"/>
        <w:gridCol w:w="849"/>
        <w:gridCol w:w="426"/>
        <w:gridCol w:w="1134"/>
        <w:gridCol w:w="993"/>
        <w:gridCol w:w="1276"/>
        <w:gridCol w:w="809"/>
        <w:gridCol w:w="567"/>
      </w:tblGrid>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Abstract</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v</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 Introduction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1.1  Research Background</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1.2  Research Questions</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1.3  Contribution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1.4  Thesis Organization</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5</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 Background and Related Work</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6</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2.1  Standards and Regulatory Frameworks</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6</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2.2  FTTI and the Derivation of Time Budgets</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6</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2.3  Fault Detection Theory and Sensor Degradation Models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7</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2.4  Fallback and MRM Planning</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7</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2.5  Capability-Based Self-Monitoring and Runtime Monitoring</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9</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2.6  Simulation-Based Evaluation and Fault Injection</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9</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2.7  Comparison with Prior Work</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9</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 Proposed System</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12</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3.1  System Architecture</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12</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3.2  Sensor Scoring</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13</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3.3  Spatial Sectors and Capability Synthesis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15</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3.4  Risk-Coupled Dynamic Detection Budget</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15</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3.5  MRM Supervisor</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17</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3.6  Conservative Low-Speed MRM Movement (Speed Cap)</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20</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3.7  MRM Candidate Map Annotation</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21</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3.8  Boundary and Interface with the Execution Layer</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21</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 Experimental Environment and Design</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23</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4.1  Experimental Environment</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23</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4.2  Fault Model</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24</w:t>
            </w:r>
          </w:p>
        </w:tc>
      </w:tr>
      <w:tr>
        <w:tc>
          <w:tcPr>
            <w:tcW w:w="3725"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4.3  Main Campaign Matrix</w:t>
            </w:r>
          </w:p>
        </w:tc>
        <w:tc>
          <w:tcPr>
            <w:tcW w:w="4212"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26</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4.4  Pedestrian Dart-out Encounter Injector</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27</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4.5  Collision Adjudication Methodology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4.6  Distance Ladder and 8 m Encounter Experiment Design</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30</w:t>
            </w:r>
          </w:p>
        </w:tc>
      </w:tr>
      <w:tr>
        <w:tc>
          <w:tcPr>
            <w:tcW w:w="3725"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4.7  Metrics and Statistics</w:t>
            </w:r>
          </w:p>
        </w:tc>
        <w:tc>
          <w:tcPr>
            <w:tcW w:w="4212"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30</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4.8  Reproducibility: Key Experimental Parameters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 Experimental Results</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33</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5.1  Main Campaign: Detection Performance and Per-Fault Behavior</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33</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5.2  Exposure Metric: Degraded-State Driving Distance</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5.3  Distance Ladder: Measuring the Avoid/Collide Boundary</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5.4  The 8 m Encounter: Low-Speed MRM versus Stock</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40</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5.5  Low-Speed Ladder: Shift of the Boundary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41</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5.6  Causal Verification of the Speed Cap: Dose-Response Experiment</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42</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5.7  Hard-Fail Decision Latency: Verifying the 1.5 s Deadline</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44</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 Limitations and Discussion</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45</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6.1  The Temporal Trade-off Between Stopping and Evacuation</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45</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6.2  The Post-Detection Transient, the Risk Window, and FTTI</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45</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6.3  The Role of the Speed Cap: Causal Effect and Limits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46</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6.4  Lessons for Adjudication Methodology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46</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6.5  The Cost of Design Conservatism and the Execution/Map Layers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47</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6.6  Limitations</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47</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7. Conclusion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49</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References</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51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논문요약 (Korean Abstract)</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56</w:t>
            </w:r>
          </w:p>
        </w:tc>
      </w:tr>
    </w:tbl>
    <w:p w14:paraId="166BD9E0" w14:textId="77777777" w:rsidR="005C5090" w:rsidRPr="005C5090" w:rsidRDefault="005C5090" w:rsidP="005C5090">
      <w:pPr>
        <w:rPr>
          <w:rFonts w:ascii="HY신명조" w:eastAsia="HY신명조"/>
        </w:rPr>
      </w:pPr>
    </w:p>
    <w:p w14:paraId="429210DC" w14:textId="77777777" w:rsidR="00404B78" w:rsidRPr="005F32DB" w:rsidRDefault="00404B78" w:rsidP="005C5090">
      <w:pPr>
        <w:widowControl/>
        <w:tabs>
          <w:tab w:val="left" w:pos="1800"/>
        </w:tabs>
        <w:wordWrap/>
        <w:autoSpaceDE/>
        <w:autoSpaceDN/>
        <w:spacing w:line="348" w:lineRule="auto"/>
        <w:jc w:val="center"/>
        <w:rPr>
          <w:rFonts w:ascii="HY신명조" w:eastAsia="HY신명조"/>
        </w:rPr>
      </w:pPr>
      <w:r w:rsidRPr="005F32DB">
        <w:rPr>
          <w:rFonts w:ascii="HY신명조" w:eastAsia="HY신명조" w:hint="eastAsia"/>
          <w:b/>
          <w:bCs/>
          <w:sz w:val="28"/>
          <w:szCs w:val="28"/>
          <w:shd w:val="clear" w:color="auto" w:fill="FFFFFF"/>
        </w:rPr>
        <w:t>List of Tables</w:t>
      </w:r>
    </w:p>
    <w:tbl>
      <w:tblPr>
        <w:tblOverlap w:val="never"/>
        <w:tblInd w:w="102" w:type="dxa"/>
        <w:tblLook w:val="04A0" w:firstRow="1" w:lastRow="0" w:firstColumn="1" w:lastColumn="0" w:noHBand="0" w:noVBand="1"/>
        <w:tblW w:w="8505"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
      <w:tblGrid>
        <w:gridCol w:w="2127"/>
        <w:gridCol w:w="5811"/>
        <w:gridCol w:w="567"/>
      </w:tblGrid>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2.1.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10</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4.1.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25</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4.2.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27</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4.3.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31</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34</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37</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39</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42</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5.5.</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44</w:t>
            </w:r>
          </w:p>
        </w:tc>
      </w:tr>
    </w:tbl>
    <w:p w14:paraId="17C9BE55" w14:textId="77777777" w:rsidR="00404B78" w:rsidRPr="005F32DB" w:rsidRDefault="00404B78" w:rsidP="00404B78">
      <w:pPr>
        <w:wordWrap/>
        <w:spacing w:line="348" w:lineRule="auto"/>
        <w:rPr>
          <w:rFonts w:ascii="HY신명조" w:eastAsia="HY신명조"/>
        </w:rPr>
      </w:pPr>
    </w:p>
    <w:p w14:paraId="31978BA3" w14:textId="77777777" w:rsidR="00404B78" w:rsidRPr="005F32DB" w:rsidRDefault="00404B78" w:rsidP="00404B78">
      <w:pPr>
        <w:pStyle w:val="MS"/>
        <w:widowControl/>
        <w:wordWrap/>
        <w:autoSpaceDE/>
        <w:spacing w:line="348" w:lineRule="auto"/>
        <w:ind w:hanging="140"/>
        <w:jc w:val="center"/>
        <w:rPr>
          <w:rFonts w:ascii="HY신명조" w:eastAsia="HY신명조"/>
        </w:rPr>
      </w:pPr>
      <w:r w:rsidRPr="005F32DB">
        <w:rPr>
          <w:rFonts w:ascii="HY신명조" w:eastAsia="HY신명조" w:hint="eastAsia"/>
          <w:b/>
          <w:bCs/>
          <w:sz w:val="28"/>
          <w:szCs w:val="28"/>
          <w:shd w:val="clear" w:color="auto" w:fill="FFFFFF"/>
        </w:rPr>
        <w:lastRenderedPageBreak/>
        <w:t>List of Figures</w:t>
      </w:r>
    </w:p>
    <w:tbl>
      <w:tblPr>
        <w:tblOverlap w:val="never"/>
        <w:tblInd w:w="102" w:type="dxa"/>
        <w:tblLook w:val="04A0" w:firstRow="1" w:lastRow="0" w:firstColumn="1" w:lastColumn="0" w:noHBand="0" w:noVBand="1"/>
        <w:tblW w:w="8505"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
      <w:tblGrid>
        <w:gridCol w:w="2127"/>
        <w:gridCol w:w="5811"/>
        <w:gridCol w:w="567"/>
      </w:tblGrid>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1.1.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3.1.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12</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3.2.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17</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3.3.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18</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3.4.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19</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4.1.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23</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4.2.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26</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5.1.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35</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5.2.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36</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5.3.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40</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5.4.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43</w:t>
            </w:r>
          </w:p>
        </w:tc>
      </w:tr>
    </w:tbl>
    <w:p>
      <w:pPr>
        <w:spacing w:line="348" w:lineRule="auto" w:before="0" w:after="0"/>
      </w:pPr>
      <w:r>
        <w:br w:type="page"/>
      </w:r>
    </w:p>
    <w:p w14:paraId="38AC3920" w14:textId="77777777" w:rsidR="00404B78" w:rsidRPr="005F32DB" w:rsidRDefault="00404B78" w:rsidP="00404B78">
      <w:pPr>
        <w:pStyle w:val="MS"/>
        <w:widowControl/>
        <w:wordWrap/>
        <w:autoSpaceDE/>
        <w:spacing w:line="348" w:lineRule="auto"/>
        <w:rPr>
          <w:rFonts w:ascii="HY신명조" w:eastAsia="HY신명조"/>
        </w:rPr>
      </w:pPr>
      <w:r w:rsidRPr="005F32DB">
        <w:rPr>
          <w:rFonts w:ascii="HY신명조" w:eastAsia="HY신명조" w:hint="eastAsia"/>
          <w:b/>
          <w:bCs/>
          <w:sz w:val="28"/>
          <w:szCs w:val="28"/>
          <w:shd w:val="clear" w:color="auto" w:fill="FFFFFF"/>
        </w:rPr>
        <w:t>Abstract</w:t>
      </w:r>
    </w:p>
    <w:p w14:paraId="421865C7" w14:textId="77777777" w:rsidR="00404B78" w:rsidRPr="00C440BF" w:rsidRDefault="00404B78" w:rsidP="00404B78">
      <w:pPr>
        <w:pStyle w:val="MS"/>
        <w:wordWrap/>
        <w:spacing w:line="348" w:lineRule="auto"/>
        <w:jc w:val="center"/>
        <w:rPr>
          <w:rFonts w:ascii="HY신명조" w:eastAsia="HY신명조"/>
          <w:b/>
          <w:sz w:val="32"/>
          <w:szCs w:val="32"/>
          <w:shd w:val="clear" w:color="auto" w:fill="FFFFFF"/>
        </w:rPr>
      </w:pPr>
      <w:r/>
      <w:r>
        <w:rPr>
          <w:rFonts w:ascii="HY신명조" w:hAnsi="HY신명조" w:eastAsia="HY신명조"/>
          <w:b/>
          <w:sz w:val="32"/>
        </w:rPr>
        <w:t>Continuous Sensor Health Monitoring and</w:t>
        <w:br/>
      </w:r>
      <w:r>
        <w:rPr>
          <w:rFonts w:ascii="HY신명조" w:hAnsi="HY신명조" w:eastAsia="HY신명조"/>
          <w:b/>
          <w:sz w:val="32"/>
        </w:rPr>
        <w:t>Risk/Capability-aware Graded MRM Supervision</w:t>
        <w:br/>
      </w:r>
      <w:r>
        <w:rPr>
          <w:rFonts w:ascii="HY신명조" w:hAnsi="HY신명조" w:eastAsia="HY신명조"/>
          <w:b/>
          <w:sz w:val="32"/>
        </w:rPr>
        <w:t>for Fail-Safe Operation of Autonomous Vehicles</w:t>
      </w:r>
    </w:p>
    <w:p w14:paraId="3D056560" w14:textId="77777777" w:rsidR="00404B78" w:rsidRPr="005F32DB" w:rsidRDefault="00404B78" w:rsidP="00404B78">
      <w:pPr>
        <w:pStyle w:val="MS"/>
        <w:widowControl/>
        <w:wordWrap/>
        <w:autoSpaceDE/>
        <w:spacing w:line="348" w:lineRule="auto"/>
        <w:ind w:hanging="140"/>
        <w:jc w:val="center"/>
        <w:rPr>
          <w:rFonts w:ascii="HY신명조" w:eastAsia="HY신명조"/>
        </w:rPr>
      </w:pPr>
    </w:p>
    <w:p>
      <w:pPr>
        <w:spacing w:line="348" w:lineRule="auto" w:before="0" w:after="0"/>
        <w:ind w:firstLine="330"/>
        <w:jc w:val="both"/>
      </w:pPr>
      <w:r>
        <w:rPr>
          <w:rFonts w:ascii="HY신명조" w:hAnsi="HY신명조" w:eastAsia="HY신명조"/>
          <w:b w:val="0"/>
          <w:sz w:val="22"/>
        </w:rPr>
        <w:t>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that estimates per-sensor health as continuous scores from freshness, quality, and physics channels, and (2) a supervisor that selects between shoulder/parking-lot evacuation (MRM_MOVE) and deferral to the stock stop (MRM_DEFER) according to fault type, severity, and remaining capability, and enforces a conservative fixed speed cap (3.0 m/s, below the model-derived upper bound of about 3.89 m/s from the stopping-distance model) during evacuation.</w:t>
      </w:r>
    </w:p>
    <w:p>
      <w:pPr>
        <w:spacing w:line="348" w:lineRule="auto" w:before="0" w:after="0"/>
        <w:ind w:firstLine="330"/>
        <w:jc w:val="both"/>
      </w:pPr>
      <w:r>
        <w:rPr>
          <w:rFonts w:ascii="HY신명조" w:hAnsi="HY신명조" w:eastAsia="HY신명조"/>
          <w:b w:val="0"/>
          <w:sz w:val="22"/>
        </w:rPr>
        <w:t>The framework was evaluated in a closed loop of Autoware 0.39.0 and CARLA 0.9.16 (Town07, 15 km/h speed limit). A total of 1,862 valid cases verified the monitoring and evacuation behavior: the detectors achieved 96-100% detection in every fault condition except by-design-tolerated mid LiDAR sparsification, with median detection latencies of about 1.0 s for hard fails (ledger re-measurement, simulation time) and 2.1-5.0 s for degradation faults (wall clock), zero false activations in 45 fault-free cases, and supervision reduced degraded-state driving exposure from 238-251 m (unmonitored representative observation, one run per fault type) to 32-58 m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w:t>
      </w:r>
    </w:p>
    <w:p>
      <w:pPr>
        <w:spacing w:line="348" w:lineRule="auto" w:before="0" w:after="0"/>
        <w:ind w:firstLine="330"/>
        <w:jc w:val="both"/>
      </w:pPr>
      <w:r>
        <w:rPr>
          <w:rFonts w:ascii="HY신명조" w:hAnsi="HY신명조" w:eastAsia="HY신명조"/>
          <w:b w:val="0"/>
          <w:sz w:val="22"/>
        </w:rPr>
        <w:t>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during the deceleration transient (2/2). A dose-response experiment restricted to settled encounters where the cap actually held (3 caps × 4 spawn distances × 10 seeds = 120 runs, pre-specified primary endpoint) detected the collision-reduction effect of cap 4.2 vs 3.0 m/s with discordant pairs 10:0 at 8 m (exact McNemar p=0.002; settled regime, single fault type gn-mid), and the avoid/collide boundary moved inward monotonically with lower caps (from beyond 9 m to about 7 m). Hard failures are decided through an evidence-aware fast path within a 1.5-s design deadline (max 1.20 s measured). Limitations include the single map, the single 15 km/h speed limit, two launch corridors, and the version-specific scope of all Autoware observations.</w:t>
      </w:r>
    </w:p>
    <w:p w14:paraId="4316F094" w14:textId="77777777" w:rsidR="00404B78" w:rsidRPr="005F32DB" w:rsidRDefault="00404B78" w:rsidP="00404B78">
      <w:pPr>
        <w:pStyle w:val="MS"/>
        <w:widowControl/>
        <w:wordWrap/>
        <w:autoSpaceDE/>
        <w:spacing w:line="348" w:lineRule="auto"/>
        <w:rPr>
          <w:rFonts w:ascii="HY신명조" w:eastAsia="HY신명조"/>
          <w:b/>
          <w:bCs/>
          <w:sz w:val="22"/>
          <w:szCs w:val="22"/>
          <w:shd w:val="clear" w:color="auto" w:fill="FFFFFF"/>
        </w:rPr>
        <w:sectPr w:rsidR="00404B78" w:rsidRPr="005F32DB" w:rsidSect="00120965">
          <w:headerReference w:type="default" r:id="rId8"/>
          <w:footerReference w:type="default" r:id="rId9"/>
          <w:pgSz w:w="11906" w:h="16838" w:code="9"/>
          <w:pgMar w:top="3005" w:right="1701" w:bottom="3005" w:left="1701" w:header="851" w:footer="851" w:gutter="0"/>
          <w:pgNumType w:fmt="lowerRoman" w:start="1"/>
          <w:cols w:space="425"/>
          <w:docGrid w:linePitch="501" w:charSpace="4872"/>
        </w:sectPr>
      </w:pPr>
      <w:r/>
      <w:r>
        <w:rPr>
          <w:rFonts w:ascii="HY신명조" w:hAnsi="HY신명조" w:eastAsia="HY신명조"/>
          <w:b/>
          <w:sz w:val="22"/>
        </w:rPr>
        <w:t>Keywords: autonomous vehicle, fail-safe, minimal risk maneuver, sensor fault detection, FTTI</w:t>
      </w:r>
    </w:p>
    <w:p>
      <w:pPr>
        <w:spacing w:line="348" w:lineRule="auto" w:before="0" w:after="0"/>
        <w:jc w:val="center"/>
      </w:pPr>
      <w:r>
        <w:rPr>
          <w:rFonts w:ascii="HY신명조" w:hAnsi="HY신명조" w:eastAsia="HY신명조"/>
          <w:b/>
          <w:sz w:val="32"/>
        </w:rPr>
        <w:t>Chapter 1. Introduction</w:t>
      </w:r>
    </w:p>
    <w:p>
      <w:pPr>
        <w:spacing w:line="348" w:lineRule="auto" w:before="0" w:after="0"/>
      </w:pPr>
    </w:p>
    <w:p>
      <w:pPr>
        <w:spacing w:line="348" w:lineRule="auto" w:before="0" w:after="0"/>
      </w:pPr>
    </w:p>
    <w:p>
      <w:pPr>
        <w:keepNext/>
        <w:spacing w:line="348" w:lineRule="auto" w:before="0" w:after="0"/>
      </w:pPr>
      <w:r>
        <w:rPr>
          <w:rFonts w:ascii="HY신명조" w:hAnsi="HY신명조" w:eastAsia="HY신명조"/>
          <w:b/>
          <w:sz w:val="28"/>
        </w:rPr>
        <w:t>1.1 Research Background</w:t>
      </w:r>
    </w:p>
    <w:p>
      <w:pPr>
        <w:spacing w:line="348" w:lineRule="auto" w:before="0" w:after="0"/>
      </w:pPr>
    </w:p>
    <w:p>
      <w:pPr>
        <w:spacing w:line="348" w:lineRule="auto" w:before="0" w:after="0"/>
        <w:ind w:firstLine="330"/>
        <w:jc w:val="both"/>
      </w:pPr>
      <w:r>
        <w:rPr>
          <w:rFonts w:ascii="HY신명조" w:hAnsi="HY신명조" w:eastAsia="HY신명조"/>
          <w:b w:val="0"/>
          <w:sz w:val="22"/>
        </w:rPr>
        <w:t>Automated driving systems at SAE J3016 Level 4 or higher cannot presuppose driver intervention; upon a fault they must reach a minimal risk condition (MRC) via a minimal risk maneuver (MRM) on their own. ISO 26262 requires detection and response to complete within the fault tolerant time interval (FTTI), and SOTIF (ISO 21448) requires managing hazards from sensor performance limitations.</w:t>
      </w:r>
    </w:p>
    <w:p>
      <w:pPr>
        <w:spacing w:line="348" w:lineRule="auto" w:before="0" w:after="0"/>
        <w:ind w:firstLine="330"/>
        <w:jc w:val="both"/>
      </w:pPr>
      <w:r>
        <w:rPr>
          <w:rFonts w:ascii="HY신명조" w:hAnsi="HY신명조" w:eastAsia="HY신명조"/>
          <w:b w:val="0"/>
          <w:sz w:val="22"/>
        </w:rPr>
        <w:t>The open-source stack Autoware provides comfortable_stop and emergency_stop as its default MRMs, but its diagnostics primarily target communication- and hardware-level anomalies such as topic silence and timeouts, leaving noise/degradation faults whose values stay within valid ranges outside the monitoring scope — in the unmonitored observations of the evaluated version and configuration (Autoware 0.39.0, Section 4.1), such faults left driving to continue without intervention (Section 5.2), and the available fallbacks were limited to in-lane stop-type MRMs (a fact limited to the evaluated version and configuration, not a claim about Autoware in general). Above all, no supervisory layer is provided that evaluates the kind and degree of a fault together with the remaining maneuvering capability, selects between evacuation and stopping, and limits the speed of the evacuation movement; the contribution of this study lies in that supervisory layer, not in the shoulder maneuver itself.</w:t>
      </w:r>
    </w:p>
    <w:p>
      <w:pPr>
        <w:spacing w:line="348" w:lineRule="auto" w:before="0" w:after="0"/>
        <w:ind w:firstLine="330"/>
        <w:jc w:val="both"/>
      </w:pPr>
      <w:r>
        <w:rPr>
          <w:rFonts w:ascii="HY신명조" w:hAnsi="HY신명조" w:eastAsia="HY신명조"/>
          <w:b w:val="0"/>
          <w:sz w:val="22"/>
        </w:rPr>
        <w:t>An in-lane stop is simple and immediate, but the stopped vehicle blocks following traffic and creates secondary-collision opportunities, a cost that persists until the lane occupancy is cleared. Conversely, continuing to drive with an undetected fault extends the distance exposed to hazards under degraded perception — in single-run-per-type unmonitored observations the stock stack effectively completed 238-275 m of the route with faults injected (only IMU noise stopped by itself at 71 m — Section 5.2). The design space of fault response thus has three axes: whether to stop now, how far to move, and, if moving, how fast.</w:t>
      </w:r>
    </w:p>
    <w:p>
      <w:pPr>
        <w:spacing w:line="348" w:lineRule="auto" w:before="0" w:after="0"/>
        <w:ind w:firstLine="330"/>
        <w:jc w:val="both"/>
      </w:pPr>
      <w:r>
        <w:rPr>
          <w:rFonts w:ascii="HY신명조" w:hAnsi="HY신명조" w:eastAsia="HY신명조"/>
          <w:b w:val="0"/>
          <w:sz w:val="22"/>
        </w:rPr>
        <w:t>When a human driver senses something wrong, the priority is to pull over to the shoulder as far as circumstances permit. Automating this shoulder-evacuation MRM requires three prior judgments (Figure 1.1): (i) distinguishing whether the fault is mild enough to allow moving to the shoulder or severe enough to require stopping immediately; (ii) a continuous evaluation of the kind and degree of the fault that makes this distinction possible (a binary normal/faulty state is insufficient); and (iii) managing the risk of movement itself in a degraded state — the stopping distance against a dart-out. This study implements these as risk/capability-based state transitions, a continuous health score, and a conservative capability-based speed cap (fixed 3.0 m/s), respectively.</w:t>
      </w:r>
    </w:p>
    <w:p>
      <w:pPr>
        <w:keepNext/>
        <w:spacing w:line="240" w:lineRule="auto"/>
        <w:jc w:val="center"/>
      </w:pPr>
      <w:r>
        <w:drawing>
          <wp:inline xmlns:a="http://schemas.openxmlformats.org/drawingml/2006/main" xmlns:pic="http://schemas.openxmlformats.org/drawingml/2006/picture">
            <wp:extent cx="2951999" cy="161032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2951999" cy="1610328"/>
                    </a:xfrm>
                    <a:prstGeom prst="rect"/>
                  </pic:spPr>
                </pic:pic>
              </a:graphicData>
            </a:graphic>
          </wp:inline>
        </w:drawing>
      </w:r>
    </w:p>
    <w:p>
      <w:pPr>
        <w:keepLines/>
        <w:spacing w:line="312" w:lineRule="auto" w:before="0" w:after="0"/>
      </w:pPr>
      <w:r>
        <w:rPr>
          <w:rFonts w:ascii="HY신명조" w:hAnsi="HY신명조" w:eastAsia="HY신명조"/>
          <w:b/>
          <w:sz w:val="22"/>
        </w:rPr>
        <w:t>Figure 1.1. Problem setting. (a) The graded evacuation options upon sensor fault — ① free space, ② parking lot, ③ shoulder ahead, ④ in-lane stop — are ranked by a cost function. (b) Edge case of a dart-out pedestrian encounter during evacuation.</w:t>
      </w:r>
    </w:p>
    <w:p>
      <w:pPr>
        <w:spacing w:line="348" w:lineRule="auto" w:before="0" w:after="0"/>
      </w:pPr>
    </w:p>
    <w:p>
      <w:pPr>
        <w:spacing w:line="348" w:lineRule="auto" w:before="0" w:after="0"/>
        <w:ind w:firstLine="330"/>
        <w:jc w:val="both"/>
      </w:pPr>
      <w:r>
        <w:rPr>
          <w:rFonts w:ascii="HY신명조" w:hAnsi="HY신명조" w:eastAsia="HY신명조"/>
          <w:b w:val="0"/>
          <w:sz w:val="22"/>
        </w:rPr>
        <w:t>Finally, simulation-based safety claims stand only on the reliability of the collision verdict itself. This study empirically uncovered cases in which the simulator collision-sensor configuration remained silent, and in response built a dual verdict system — a real-time ledger of the ego collision sensor and a pedestrian physics oracle — as the basis of all safety conclusions (Section 4.5).</w:t>
      </w:r>
    </w:p>
    <w:p>
      <w:pPr>
        <w:spacing w:line="348" w:lineRule="auto" w:before="0" w:after="0"/>
        <w:ind w:firstLine="330"/>
        <w:jc w:val="both"/>
      </w:pPr>
      <w:r>
        <w:rPr>
          <w:rFonts w:ascii="HY신명조" w:hAnsi="HY신명조" w:eastAsia="HY신명조"/>
          <w:b w:val="0"/>
          <w:sz w:val="22"/>
        </w:rPr>
        <w:t>The proposed supervisory layer is an add-on layer that does not replace the stack itself. Monitoring operates solely by subscribing to sensor topics, intervention occurs only through standard interfaces, and stopping-maneuver execution is delegated to the stock stack. This non-intrusive design leaves the certification boundary of the base stack undisturbed while allowing decision- and execution-layer defects to be traced separately at the log level (Section 3.8), at the cost of execution quality being dependent on the base stack (Chapter 6).</w:t>
      </w:r>
    </w:p>
    <w:p>
      <w:pPr>
        <w:spacing w:line="348" w:lineRule="auto" w:before="0" w:after="0"/>
      </w:pPr>
    </w:p>
    <w:p>
      <w:pPr>
        <w:keepNext/>
        <w:spacing w:line="348" w:lineRule="auto" w:before="0" w:after="0"/>
      </w:pPr>
      <w:r>
        <w:rPr>
          <w:rFonts w:ascii="HY신명조" w:hAnsi="HY신명조" w:eastAsia="HY신명조"/>
          <w:b/>
          <w:sz w:val="28"/>
        </w:rPr>
        <w:t>1.2 Research Questions</w:t>
      </w:r>
    </w:p>
    <w:p>
      <w:pPr>
        <w:spacing w:line="348" w:lineRule="auto" w:before="0" w:after="0"/>
      </w:pPr>
    </w:p>
    <w:p>
      <w:pPr>
        <w:spacing w:line="348" w:lineRule="auto" w:before="0" w:after="0"/>
        <w:ind w:firstLine="330"/>
        <w:jc w:val="both"/>
      </w:pPr>
      <w:r>
        <w:rPr>
          <w:rFonts w:ascii="HY신명조" w:hAnsi="HY신명조" w:eastAsia="HY신명조"/>
          <w:b w:val="0"/>
          <w:sz w:val="22"/>
        </w:rPr>
        <w:t>RQ1. If sensor faults are estimated as a continuous health score, can the response strategy (evacuation vs. stop deferral) be selected differentially by fault kind and degree? How much does that selection reduce faulted-state exposure?</w:t>
      </w:r>
    </w:p>
    <w:p>
      <w:pPr>
        <w:spacing w:line="348" w:lineRule="auto" w:before="0" w:after="0"/>
        <w:ind w:firstLine="330"/>
        <w:jc w:val="both"/>
      </w:pPr>
      <w:r>
        <w:rPr>
          <w:rFonts w:ascii="HY신명조" w:hAnsi="HY신명조" w:eastAsia="HY신명조"/>
          <w:b w:val="0"/>
          <w:sz w:val="22"/>
        </w:rPr>
        <w:t>RQ2. What does a shoulder-evacuation MRM gain and lose against a stop-type MRM? What temporal structure does the trade-off between immediate collision risk and lane clearance / off-lane final position have?</w:t>
      </w:r>
    </w:p>
    <w:p>
      <w:pPr>
        <w:spacing w:line="348" w:lineRule="auto" w:before="0" w:after="0"/>
        <w:ind w:firstLine="330"/>
        <w:jc w:val="both"/>
      </w:pPr>
      <w:r>
        <w:rPr>
          <w:rFonts w:ascii="HY신명조" w:hAnsi="HY신명조" w:eastAsia="HY신명조"/>
          <w:b w:val="0"/>
          <w:sz w:val="22"/>
        </w:rPr>
        <w:t>RQ3. How does conservative low-speed movement under a fixed cap change safety at the dart-out encounter level, and what does its limiting condition — the transient before deceleration completes — imply?</w:t>
      </w:r>
    </w:p>
    <w:p>
      <w:pPr>
        <w:spacing w:line="348" w:lineRule="auto" w:before="0" w:after="0"/>
      </w:pPr>
    </w:p>
    <w:p>
      <w:pPr>
        <w:keepNext/>
        <w:spacing w:line="348" w:lineRule="auto" w:before="0" w:after="0"/>
      </w:pPr>
      <w:r>
        <w:rPr>
          <w:rFonts w:ascii="HY신명조" w:hAnsi="HY신명조" w:eastAsia="HY신명조"/>
          <w:b/>
          <w:sz w:val="28"/>
        </w:rPr>
        <w:t>1.3 Contribution</w:t>
      </w:r>
    </w:p>
    <w:p>
      <w:pPr>
        <w:spacing w:line="348" w:lineRule="auto" w:before="0" w:after="0"/>
      </w:pPr>
    </w:p>
    <w:p>
      <w:pPr>
        <w:spacing w:line="348" w:lineRule="auto" w:before="0" w:after="0"/>
        <w:ind w:firstLine="330"/>
        <w:jc w:val="both"/>
      </w:pPr>
      <w:r>
        <w:rPr>
          <w:rFonts w:ascii="HY신명조" w:hAnsi="HY신명조" w:eastAsia="HY신명조"/>
          <w:b w:val="0"/>
          <w:sz w:val="22"/>
        </w:rPr>
        <w:t>First, we propose a behavior-tree-based sensor monitoring module. It independently scores each sensor for freshness (timeout), quality (noise, valid ratio), and physical consistency (residuals, bias), and composes these across eight-direction spatial sectors and capability (perception, localization) layers into a continuous health score.</w:t>
      </w:r>
    </w:p>
    <w:p>
      <w:pPr>
        <w:spacing w:line="348" w:lineRule="auto" w:before="0" w:after="0"/>
        <w:ind w:firstLine="330"/>
        <w:jc w:val="both"/>
      </w:pPr>
      <w:r>
        <w:rPr>
          <w:rFonts w:ascii="HY신명조" w:hAnsi="HY신명조" w:eastAsia="HY신명조"/>
          <w:b w:val="0"/>
          <w:sz w:val="22"/>
        </w:rPr>
        <w:t>Second, we propose a risk/capability-aware MRM supervisor. It selects between shoulder/parking evacuation (MRM_MOVE) and deferral to the stock stop (MRM_DEFER) by health-score bands, chooses the refuge by a cost function over degraded-state exposure time, traffic-light observability, and sector deficits, and imposes a conservative fixed cap (3.0 m/s; below the model-derived bound of about 3.89 m/s) back-computed from the stopping-distance model d = vτ + v²/2a on the planning layer. The cap effect is verified at the causal level in a settled-encounter dose-response experiment (Section 5.6).</w:t>
      </w:r>
    </w:p>
    <w:p>
      <w:pPr>
        <w:spacing w:line="348" w:lineRule="auto" w:before="0" w:after="0"/>
        <w:ind w:firstLine="330"/>
        <w:jc w:val="both"/>
      </w:pPr>
      <w:r>
        <w:rPr>
          <w:rFonts w:ascii="HY신명조" w:hAnsi="HY신명조" w:eastAsia="HY신명조"/>
          <w:b w:val="0"/>
          <w:sz w:val="22"/>
        </w:rPr>
        <w:t>Third, we establish a dual scheme for simulation collision adjudication — the real-time ego collision-sensor ledger (RAW-HIT) and the pedestrian physics oracle — as a methodology, and identify the verdict pitfalls of runner exit labels and official infraction records.</w:t>
      </w:r>
    </w:p>
    <w:p>
      <w:pPr>
        <w:spacing w:line="348" w:lineRule="auto" w:before="0" w:after="0"/>
        <w:ind w:firstLine="330"/>
        <w:jc w:val="both"/>
      </w:pPr>
      <w:r>
        <w:rPr>
          <w:rFonts w:ascii="HY신명조" w:hAnsi="HY신명조" w:eastAsia="HY신명조"/>
          <w:b w:val="0"/>
          <w:sz w:val="22"/>
        </w:rPr>
        <w:t>Fourth, as a validation contribution we perform encounter-level and large-matrix verification. Using a pedestrian dart-out distance ladder we measure the per-speed avoid/collide boundary (8-11 m at 4.2 m/s, 7-8 m at 3.0 m/s) against the stopping-distance model, show through transient/settled encounter observations that residual evacuation risk concentrates in the post-detection transient, and quantify monitoring/evacuation behavior, exposure reduction, and the causal cap effect in a single closed-loop framework totalling 1,862 valid cases.</w:t>
      </w:r>
    </w:p>
    <w:p>
      <w:pPr>
        <w:spacing w:line="348" w:lineRule="auto" w:before="0" w:after="0"/>
        <w:ind w:firstLine="330"/>
        <w:jc w:val="both"/>
      </w:pPr>
      <w:r>
        <w:rPr>
          <w:rFonts w:ascii="HY신명조" w:hAnsi="HY신명조" w:eastAsia="HY신명조"/>
          <w:b w:val="0"/>
          <w:sz w:val="22"/>
        </w:rPr>
        <w:t>The novelty of this study lies not in the individual techniques (CUSUM, residual monitoring, noisy-OR fusion, the stopping-distance model), but in the system architecture that integrates them into a continuous health score and combines it with remaining capability, risk grace, and movement speed limiting to select MRMs in a graded manner, and in the encounter-level closed-loop demonstration whose verdict reliability is secured.</w:t>
      </w:r>
    </w:p>
    <w:p>
      <w:pPr>
        <w:spacing w:line="348" w:lineRule="auto" w:before="0" w:after="0"/>
      </w:pPr>
    </w:p>
    <w:p>
      <w:pPr>
        <w:keepNext/>
        <w:spacing w:line="348" w:lineRule="auto" w:before="0" w:after="0"/>
      </w:pPr>
      <w:r>
        <w:rPr>
          <w:rFonts w:ascii="HY신명조" w:hAnsi="HY신명조" w:eastAsia="HY신명조"/>
          <w:b/>
          <w:sz w:val="28"/>
        </w:rPr>
        <w:t>1.4 Thesis Organization</w:t>
      </w:r>
    </w:p>
    <w:p>
      <w:pPr>
        <w:spacing w:line="348" w:lineRule="auto" w:before="0" w:after="0"/>
      </w:pPr>
    </w:p>
    <w:p>
      <w:pPr>
        <w:spacing w:line="348" w:lineRule="auto" w:before="0" w:after="0"/>
        <w:ind w:firstLine="330"/>
        <w:jc w:val="both"/>
      </w:pPr>
      <w:r>
        <w:rPr>
          <w:rFonts w:ascii="HY신명조" w:hAnsi="HY신명조" w:eastAsia="HY신명조"/>
          <w:b w:val="0"/>
          <w:sz w:val="22"/>
        </w:rPr>
        <w:t>Chapter 2 reviews related standards and research; Chapter 3 describes the proposed system; Chapter 4 presents the experimental environment, fault model, adjudication methodology, and encounter designs; Chapter 5 presents results; Chapter 6 presents limitations and discussion; Chapter 7 concludes.</w:t>
      </w:r>
    </w:p>
    <w:p>
      <w:pPr>
        <w:spacing w:line="348" w:lineRule="auto" w:before="0" w:after="0"/>
        <w:jc w:val="center"/>
      </w:pPr>
      <w:r>
        <w:rPr>
          <w:rFonts w:ascii="HY신명조" w:hAnsi="HY신명조" w:eastAsia="HY신명조"/>
          <w:b/>
          <w:sz w:val="32"/>
        </w:rPr>
        <w:br w:type="page"/>
      </w:r>
      <w:r>
        <w:rPr>
          <w:rFonts w:ascii="HY신명조" w:hAnsi="HY신명조" w:eastAsia="HY신명조"/>
          <w:b/>
          <w:sz w:val="32"/>
        </w:rPr>
        <w:t>Chapter 2. Background and Related Work</w:t>
      </w:r>
    </w:p>
    <w:p>
      <w:pPr>
        <w:spacing w:line="348" w:lineRule="auto" w:before="0" w:after="0"/>
      </w:pPr>
    </w:p>
    <w:p>
      <w:pPr>
        <w:spacing w:line="348" w:lineRule="auto" w:before="0" w:after="0"/>
        <w:ind w:firstLine="330"/>
        <w:jc w:val="both"/>
      </w:pPr>
      <w:r>
        <w:rPr>
          <w:rFonts w:ascii="HY신명조" w:hAnsi="HY신명조" w:eastAsia="HY신명조"/>
          <w:b w:val="0"/>
          <w:sz w:val="22"/>
        </w:rPr>
        <w:t>Related work is organized into six strands (Sections 2.1-2.6) and compared with this study in Section 2.7.</w:t>
      </w:r>
    </w:p>
    <w:p>
      <w:pPr>
        <w:spacing w:line="348" w:lineRule="auto" w:before="0" w:after="0"/>
      </w:pPr>
    </w:p>
    <w:p>
      <w:pPr>
        <w:keepNext/>
        <w:spacing w:line="348" w:lineRule="auto" w:before="0" w:after="0"/>
      </w:pPr>
      <w:r>
        <w:rPr>
          <w:rFonts w:ascii="HY신명조" w:hAnsi="HY신명조" w:eastAsia="HY신명조"/>
          <w:b/>
          <w:sz w:val="28"/>
        </w:rPr>
        <w:t>2.1 Standards and Regulatory Frameworks</w:t>
      </w:r>
    </w:p>
    <w:p>
      <w:pPr>
        <w:spacing w:line="348" w:lineRule="auto" w:before="0" w:after="0"/>
      </w:pPr>
    </w:p>
    <w:p>
      <w:pPr>
        <w:spacing w:line="348" w:lineRule="auto" w:before="0" w:after="0"/>
        <w:ind w:firstLine="330"/>
        <w:jc w:val="both"/>
      </w:pPr>
      <w:r>
        <w:rPr>
          <w:rFonts w:ascii="HY신명조" w:hAnsi="HY신명조" w:eastAsia="HY신명조"/>
          <w:b w:val="0"/>
          <w:sz w:val="22"/>
        </w:rPr>
        <w:t>The foundational frameworks of functional safety, SOTIF, and driving-automation taxonomy [1-3] and production-regulation/safety-case standards [4-7] consistently require runtime monitoring and degradation response. ISO 23793-1:2024 [51], which addresses MRM directly, specifies a type taxonomy and the principle of situation-dependent type selection but covers only the simplest types (straight-line and in-lane stops); shoulder stops are being standardized as Part 2.</w:t>
      </w:r>
    </w:p>
    <w:p>
      <w:pPr>
        <w:spacing w:line="348" w:lineRule="auto" w:before="0" w:after="0"/>
        <w:ind w:firstLine="330"/>
        <w:jc w:val="both"/>
      </w:pPr>
      <w:r>
        <w:rPr>
          <w:rFonts w:ascii="HY신명조" w:hAnsi="HY신명조" w:eastAsia="HY신명조"/>
          <w:b w:val="0"/>
          <w:sz w:val="22"/>
        </w:rPr>
        <w:t>As an adjacent-domain reference, the industrial driverless-truck standard ISO 3691-4 [60] combines monitored speed limits with stop functions under the principle of "limited speed for limited capability" instead of prohibiting degraded-state movement outright; the conservative low-speed MRM movement of this study (Section 3.6) transfers this principle to autonomous-driving MRM.</w:t>
      </w:r>
    </w:p>
    <w:p>
      <w:pPr>
        <w:spacing w:line="348" w:lineRule="auto" w:before="0" w:after="0"/>
      </w:pPr>
    </w:p>
    <w:p>
      <w:pPr>
        <w:keepNext/>
        <w:spacing w:line="348" w:lineRule="auto" w:before="0" w:after="0"/>
      </w:pPr>
      <w:r>
        <w:rPr>
          <w:rFonts w:ascii="HY신명조" w:hAnsi="HY신명조" w:eastAsia="HY신명조"/>
          <w:b/>
          <w:sz w:val="28"/>
        </w:rPr>
        <w:t>2.2 FTTI and the Derivation of Time Budgets</w:t>
      </w:r>
    </w:p>
    <w:p>
      <w:pPr>
        <w:spacing w:line="348" w:lineRule="auto" w:before="0" w:after="0"/>
      </w:pPr>
    </w:p>
    <w:p>
      <w:pPr>
        <w:spacing w:line="348" w:lineRule="auto" w:before="0" w:after="0"/>
        <w:ind w:firstLine="330"/>
        <w:jc w:val="both"/>
      </w:pPr>
      <w:r>
        <w:rPr>
          <w:rFonts w:ascii="HY신명조" w:hAnsi="HY신명조" w:eastAsia="HY신명조"/>
          <w:b w:val="0"/>
          <w:sz w:val="22"/>
        </w:rPr>
        <w:t>ISO 26262 (2nd ed.) defines the FTTI as the minimum time from fault occurrence to a possible hazardous event assuming no safety mechanism acts, but provides no concrete values — the FTTI is derived per safety goal, and Bosch's estimation method [8] derived 1.4-1.8 s in a lane-keeping-loss scenario. As risk metrics, TTC [9], its extensions [10], and RSS [11] are standard. This study implements this frame as a dynamic detection budget tied to driving risk (Section 3.4), and provides encounter-level evidence that residual evacuation risk concentrates in the post-detection transient (Section 5.4), supporting the need to shorten detection and response times.</w:t>
      </w:r>
    </w:p>
    <w:p>
      <w:pPr>
        <w:spacing w:line="348" w:lineRule="auto" w:before="0" w:after="0"/>
      </w:pPr>
    </w:p>
    <w:p>
      <w:pPr>
        <w:keepNext/>
        <w:spacing w:line="348" w:lineRule="auto" w:before="0" w:after="0"/>
      </w:pPr>
      <w:r>
        <w:rPr>
          <w:rFonts w:ascii="HY신명조" w:hAnsi="HY신명조" w:eastAsia="HY신명조"/>
          <w:b/>
          <w:sz w:val="28"/>
        </w:rPr>
        <w:t>2.3 Fault Detection Theory and Sensor Degradation Models</w:t>
      </w:r>
    </w:p>
    <w:p>
      <w:pPr>
        <w:spacing w:line="348" w:lineRule="auto" w:before="0" w:after="0"/>
      </w:pPr>
    </w:p>
    <w:p>
      <w:pPr>
        <w:spacing w:line="348" w:lineRule="auto" w:before="0" w:after="0"/>
        <w:ind w:firstLine="330"/>
        <w:jc w:val="both"/>
      </w:pPr>
      <w:r>
        <w:rPr>
          <w:rFonts w:ascii="HY신명조" w:hAnsi="HY신명조" w:eastAsia="HY신명조"/>
          <w:b w:val="0"/>
          <w:sz w:val="22"/>
        </w:rPr>
        <w:t>Classical FDI developed along residual generation/decision [12-15] and sequential change detection [16][17]; the LiDAR quality channel of this study borrows the CUSUM [16] (Section 3.2). These theories cover detection only; maneuver selection after detection is out of scope.</w:t>
      </w:r>
    </w:p>
    <w:p>
      <w:pPr>
        <w:spacing w:line="348" w:lineRule="auto" w:before="0" w:after="0"/>
        <w:ind w:firstLine="330"/>
        <w:jc w:val="both"/>
      </w:pPr>
      <w:r>
        <w:rPr>
          <w:rFonts w:ascii="HY신명조" w:hAnsi="HY신명조" w:eastAsia="HY신명조"/>
          <w:b w:val="0"/>
          <w:sz w:val="22"/>
        </w:rPr>
        <w:t>LiDAR degradation is organized by fault taxonomies [57], field measurements and physical models of soiling and rainfall [53-56], and adverse-weather simulation studies [20-23][58][59]. Our sparsification (lso) model follows measured soiling-induced detection-range reduction [55], and the clutter (lcl) model follows rain-scattering formulas [53] and near-range-biased clutter [54] (Section 4.2). Autoware preprocessing/diagnostics [18] and PCL [19] aim at outlier removal, a purpose distinct from continuous scoring of sensor condition.</w:t>
      </w:r>
    </w:p>
    <w:p>
      <w:pPr>
        <w:spacing w:line="348" w:lineRule="auto" w:before="0" w:after="0"/>
        <w:ind w:firstLine="330"/>
        <w:jc w:val="both"/>
      </w:pPr>
      <w:r>
        <w:rPr>
          <w:rFonts w:ascii="HY신명조" w:hAnsi="HY신명조" w:eastAsia="HY신명조"/>
          <w:b w:val="0"/>
          <w:sz w:val="22"/>
        </w:rPr>
        <w:t>The camera failure-mode taxonomy [24] is the reference for the cn/cf injections; for the IMU, separate evaluation of white noise and accumulating bias [25][26]; for GNSS, the failure-mode framework [62], urban error measurements [27], and integrity monitoring [28][29]; multipath-type correlated bias is injected following a first-order Gauss-Markov model [61].</w:t>
      </w:r>
    </w:p>
    <w:p>
      <w:pPr>
        <w:spacing w:line="348" w:lineRule="auto" w:before="0" w:after="0"/>
      </w:pPr>
    </w:p>
    <w:p>
      <w:pPr>
        <w:keepNext/>
        <w:spacing w:line="348" w:lineRule="auto" w:before="0" w:after="0"/>
      </w:pPr>
      <w:r>
        <w:rPr>
          <w:rFonts w:ascii="HY신명조" w:hAnsi="HY신명조" w:eastAsia="HY신명조"/>
          <w:b/>
          <w:sz w:val="28"/>
        </w:rPr>
        <w:t>2.4 Fallback and MRM Planning</w:t>
      </w:r>
    </w:p>
    <w:p>
      <w:pPr>
        <w:spacing w:line="348" w:lineRule="auto" w:before="0" w:after="0"/>
      </w:pPr>
    </w:p>
    <w:p>
      <w:pPr>
        <w:spacing w:line="348" w:lineRule="auto" w:before="0" w:after="0"/>
        <w:ind w:firstLine="330"/>
        <w:jc w:val="both"/>
      </w:pPr>
      <w:r>
        <w:rPr>
          <w:rFonts w:ascii="HY신명조" w:hAnsi="HY신명조" w:eastAsia="HY신명조"/>
          <w:b w:val="0"/>
          <w:sz w:val="22"/>
        </w:rPr>
        <w:t>Among safe-stop planning approaches, the trajectory-planning line [30-32] addresses parallel stop-trajectory maintenance, optimal control, and online verification, but takes the fault assessment and response choice as given. Emzivat et al. [33] proposed virtual obstacles and TTC-based deceleration as a fallback for impaired monitoring capability, and Reschka and Maurer [34] pointed out that the "safe state" is situation-dependent and an in-lane stop is not always safe — the same concern this study starts from.</w:t>
      </w:r>
    </w:p>
    <w:p>
      <w:pPr>
        <w:spacing w:line="348" w:lineRule="auto" w:before="0" w:after="0"/>
        <w:ind w:firstLine="330"/>
        <w:jc w:val="both"/>
      </w:pPr>
      <w:r>
        <w:rPr>
          <w:rFonts w:ascii="HY신명조" w:hAnsi="HY신명조" w:eastAsia="HY신명조"/>
          <w:b w:val="0"/>
          <w:sz w:val="22"/>
        </w:rPr>
        <w:t>The closest prior work is the sensor-fault-presupposing evacuation and adaptive MRM line. Xue et al. [49][50] presuppose a forward-sensor fault and propose safe-zone stop fallbacks under MPC constraints with a virtual-vehicle adaptive extension; Tang et al. [48] adaptively select MRM behaviors under multiple sensor faults using HAZOP risk analysis with virtual-object/TTC/THW evaluation, validated in a MATLAB-CARLA loop. The differences are threefold: (i) they presuppose the fault state whereas this study starts from online estimation of fault occurrence, kind, and severity; (ii) their selection criteria use surrounding-traffic TTC/THW whereas this study combines risk grace with remaining perception/localization capability and additionally limits the evacuation speed itself; (iii) their validation checks representative scenarios whereas this study performs closed-loop verification of 1,862 valid cases on a real stack (Autoware) with pedestrian-encounter experiments whose verdict reliability is methodologically secured.</w:t>
      </w:r>
    </w:p>
    <w:p>
      <w:pPr>
        <w:spacing w:line="348" w:lineRule="auto" w:before="0" w:after="0"/>
        <w:ind w:firstLine="330"/>
        <w:jc w:val="both"/>
      </w:pPr>
      <w:r>
        <w:rPr>
          <w:rFonts w:ascii="HY신명조" w:hAnsi="HY신명조" w:eastAsia="HY신명조"/>
          <w:b w:val="0"/>
          <w:sz w:val="22"/>
        </w:rPr>
        <w:t>The open-source stack Autoware [18] provides stop-type MRMs and shoulder pull-over search (goal_planner), but the evaluated version and configuration (Section 4.1) had no supervisory layer that differentially triggers responses and limits speed by health and remaining capability — that layer is the contribution of this study.</w:t>
      </w:r>
    </w:p>
    <w:p>
      <w:pPr>
        <w:spacing w:line="348" w:lineRule="auto" w:before="0" w:after="0"/>
      </w:pPr>
    </w:p>
    <w:p>
      <w:pPr>
        <w:keepNext/>
        <w:spacing w:line="348" w:lineRule="auto" w:before="0" w:after="0"/>
      </w:pPr>
      <w:r>
        <w:rPr>
          <w:rFonts w:ascii="HY신명조" w:hAnsi="HY신명조" w:eastAsia="HY신명조"/>
          <w:b/>
          <w:sz w:val="28"/>
        </w:rPr>
        <w:t>2.5 Capability-Based Self-Monitoring and Runtime Monitoring</w:t>
      </w:r>
    </w:p>
    <w:p>
      <w:pPr>
        <w:spacing w:line="348" w:lineRule="auto" w:before="0" w:after="0"/>
      </w:pPr>
    </w:p>
    <w:p>
      <w:pPr>
        <w:spacing w:line="348" w:lineRule="auto" w:before="0" w:after="0"/>
        <w:ind w:firstLine="330"/>
        <w:jc w:val="both"/>
      </w:pPr>
      <w:r>
        <w:rPr>
          <w:rFonts w:ascii="HY신명조" w:hAnsi="HY신명조" w:eastAsia="HY신명조"/>
          <w:b w:val="0"/>
          <w:sz w:val="22"/>
        </w:rPr>
        <w:t>The skill/ability graphs of Reschka et al. [35] and their development-process extension [36] model functional capabilities as hierarchical graphs for online monitoring and decision making; the sector-capability composition of this study (Section 3.3) couples capability scores directly to MRM level selection and the movement speed cap. Runtime monitor case studies [37], SMOF [38], and verification challenges [39] are adjacent lines, and behavior trees [40][41] serve as the implementation structure of the monitoring node based on BehaviorTree.CPP [42] (Section 3.1).</w:t>
      </w:r>
    </w:p>
    <w:p>
      <w:pPr>
        <w:spacing w:line="348" w:lineRule="auto" w:before="0" w:after="0"/>
      </w:pPr>
    </w:p>
    <w:p>
      <w:pPr>
        <w:keepNext/>
        <w:spacing w:line="348" w:lineRule="auto" w:before="0" w:after="0"/>
      </w:pPr>
      <w:r>
        <w:rPr>
          <w:rFonts w:ascii="HY신명조" w:hAnsi="HY신명조" w:eastAsia="HY신명조"/>
          <w:b/>
          <w:sz w:val="28"/>
        </w:rPr>
        <w:t>2.6 Simulation-Based Evaluation and Fault Injection</w:t>
      </w:r>
    </w:p>
    <w:p>
      <w:pPr>
        <w:spacing w:line="348" w:lineRule="auto" w:before="0" w:after="0"/>
      </w:pPr>
    </w:p>
    <w:p>
      <w:pPr>
        <w:spacing w:line="348" w:lineRule="auto" w:before="0" w:after="0"/>
        <w:ind w:firstLine="330"/>
        <w:jc w:val="both"/>
      </w:pPr>
      <w:r>
        <w:rPr>
          <w:rFonts w:ascii="HY신명조" w:hAnsi="HY신명조" w:eastAsia="HY신명조"/>
          <w:b w:val="0"/>
          <w:sz w:val="22"/>
        </w:rPr>
        <w:t>CARLA [43] is the standard platform for fault-injection research, and stack-targeted evaluations — DriveFI [44], resilience assessment [45], AV-FUZZER [46], Scenic [47] — inject faults to find vulnerabilities, the opposite direction from this study, in which the stack itself detects, grades, and responds to the injected faults (the same injection techniques are used here as verification means). The experimental infrastructure builds on AWCL [52], the TUM Autoware-CARLA leaderboard framework, as a fully automated harness restarting the simulator every case (Chapter 4). No prior report was found addressing the reliability of simulated collision verdicts at the methodology level; this study treats it in a formal section (Section 4.5).</w:t>
      </w:r>
    </w:p>
    <w:p>
      <w:pPr>
        <w:spacing w:line="348" w:lineRule="auto" w:before="0" w:after="0"/>
      </w:pPr>
    </w:p>
    <w:p>
      <w:pPr>
        <w:keepNext/>
        <w:spacing w:line="348" w:lineRule="auto" w:before="0" w:after="0"/>
      </w:pPr>
      <w:r>
        <w:rPr>
          <w:rFonts w:ascii="HY신명조" w:hAnsi="HY신명조" w:eastAsia="HY신명조"/>
          <w:b/>
          <w:sz w:val="28"/>
        </w:rPr>
        <w:t>2.7 Comparison with Prior Work</w:t>
      </w:r>
    </w:p>
    <w:p>
      <w:pPr>
        <w:spacing w:line="348" w:lineRule="auto" w:before="0" w:after="0"/>
      </w:pPr>
    </w:p>
    <w:p>
      <w:pPr>
        <w:spacing w:line="348" w:lineRule="auto" w:before="0" w:after="0"/>
        <w:ind w:firstLine="330"/>
        <w:jc w:val="both"/>
      </w:pPr>
      <w:r>
        <w:rPr>
          <w:rFonts w:ascii="HY신명조" w:hAnsi="HY신명조" w:eastAsia="HY신명조"/>
          <w:b w:val="0"/>
          <w:sz w:val="22"/>
        </w:rPr>
        <w:t>Table 2.1 compares the related lines with this study along six axes.</w:t>
      </w:r>
    </w:p>
    <w:p>
      <w:pPr>
        <w:keepNext/>
        <w:spacing w:line="312" w:lineRule="auto" w:before="0" w:after="0"/>
      </w:pPr>
      <w:r>
        <w:rPr>
          <w:rFonts w:ascii="HY신명조" w:hAnsi="HY신명조" w:eastAsia="HY신명조"/>
          <w:b/>
          <w:sz w:val="22"/>
        </w:rPr>
        <w:t>Table 2.1. Comparison of prior research lines with this study (○ explicit / △ partial or conceptual / × not addressed)</w:t>
      </w:r>
    </w:p>
    <w:tbl>
      <w:tblPr>
        <w:tblStyle w:val="aa"/>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Research line (refs.)</w:t>
            </w:r>
          </w:p>
        </w:tc>
        <w:tc>
          <w:tcPr>
            <w:tcW w:type="dxa" w:w="1215"/>
          </w:tcPr>
          <w:p>
            <w:pPr>
              <w:spacing w:line="288" w:lineRule="auto" w:before="20" w:after="20"/>
              <w:jc w:val="center"/>
            </w:pPr>
            <w:r/>
            <w:r>
              <w:rPr>
                <w:rFonts w:ascii="HY신명조" w:hAnsi="HY신명조" w:eastAsia="HY신명조"/>
                <w:b/>
                <w:sz w:val="18"/>
              </w:rPr>
              <w:t>Fault</w:t>
            </w:r>
          </w:p>
          <w:p>
            <w:pPr>
              <w:spacing w:line="288" w:lineRule="auto" w:before="20" w:after="20"/>
              <w:jc w:val="center"/>
            </w:pPr>
            <w:r>
              <w:rPr>
                <w:rFonts w:ascii="HY신명조" w:hAnsi="HY신명조" w:eastAsia="HY신명조"/>
                <w:b/>
                <w:sz w:val="18"/>
              </w:rPr>
              <w:t>det.</w:t>
            </w:r>
          </w:p>
        </w:tc>
        <w:tc>
          <w:tcPr>
            <w:tcW w:type="dxa" w:w="1215"/>
          </w:tcPr>
          <w:p>
            <w:pPr>
              <w:spacing w:line="288" w:lineRule="auto" w:before="20" w:after="20"/>
              <w:jc w:val="center"/>
            </w:pPr>
            <w:r/>
            <w:r>
              <w:rPr>
                <w:rFonts w:ascii="HY신명조" w:hAnsi="HY신명조" w:eastAsia="HY신명조"/>
                <w:b/>
                <w:sz w:val="18"/>
              </w:rPr>
              <w:t>Cont.</w:t>
            </w:r>
          </w:p>
          <w:p>
            <w:pPr>
              <w:spacing w:line="288" w:lineRule="auto" w:before="20" w:after="20"/>
              <w:jc w:val="center"/>
            </w:pPr>
            <w:r>
              <w:rPr>
                <w:rFonts w:ascii="HY신명조" w:hAnsi="HY신명조" w:eastAsia="HY신명조"/>
                <w:b/>
                <w:sz w:val="18"/>
              </w:rPr>
              <w:t>health</w:t>
            </w:r>
          </w:p>
        </w:tc>
        <w:tc>
          <w:tcPr>
            <w:tcW w:type="dxa" w:w="1215"/>
          </w:tcPr>
          <w:p>
            <w:pPr>
              <w:spacing w:line="288" w:lineRule="auto" w:before="20" w:after="20"/>
              <w:jc w:val="center"/>
            </w:pPr>
            <w:r/>
            <w:r>
              <w:rPr>
                <w:rFonts w:ascii="HY신명조" w:hAnsi="HY신명조" w:eastAsia="HY신명조"/>
                <w:b/>
                <w:sz w:val="18"/>
              </w:rPr>
              <w:t>Remain.</w:t>
            </w:r>
          </w:p>
          <w:p>
            <w:pPr>
              <w:spacing w:line="288" w:lineRule="auto" w:before="20" w:after="20"/>
              <w:jc w:val="center"/>
            </w:pPr>
            <w:r>
              <w:rPr>
                <w:rFonts w:ascii="HY신명조" w:hAnsi="HY신명조" w:eastAsia="HY신명조"/>
                <w:b/>
                <w:sz w:val="18"/>
              </w:rPr>
              <w:t>capab.</w:t>
            </w:r>
          </w:p>
        </w:tc>
        <w:tc>
          <w:tcPr>
            <w:tcW w:type="dxa" w:w="1215"/>
          </w:tcPr>
          <w:p>
            <w:pPr>
              <w:spacing w:line="288" w:lineRule="auto" w:before="20" w:after="20"/>
              <w:jc w:val="center"/>
            </w:pPr>
            <w:r/>
            <w:r>
              <w:rPr>
                <w:rFonts w:ascii="HY신명조" w:hAnsi="HY신명조" w:eastAsia="HY신명조"/>
                <w:b/>
                <w:sz w:val="18"/>
              </w:rPr>
              <w:t>Graded</w:t>
            </w:r>
          </w:p>
          <w:p>
            <w:pPr>
              <w:spacing w:line="288" w:lineRule="auto" w:before="20" w:after="20"/>
              <w:jc w:val="center"/>
            </w:pPr>
            <w:r>
              <w:rPr>
                <w:rFonts w:ascii="HY신명조" w:hAnsi="HY신명조" w:eastAsia="HY신명조"/>
                <w:b/>
                <w:sz w:val="18"/>
              </w:rPr>
              <w:t>MRM sel.</w:t>
            </w:r>
          </w:p>
        </w:tc>
        <w:tc>
          <w:tcPr>
            <w:tcW w:type="dxa" w:w="1215"/>
          </w:tcPr>
          <w:p>
            <w:pPr>
              <w:spacing w:line="288" w:lineRule="auto" w:before="20" w:after="20"/>
              <w:jc w:val="center"/>
            </w:pPr>
            <w:r/>
            <w:r>
              <w:rPr>
                <w:rFonts w:ascii="HY신명조" w:hAnsi="HY신명조" w:eastAsia="HY신명조"/>
                <w:b/>
                <w:sz w:val="18"/>
              </w:rPr>
              <w:t>Speed-lim.</w:t>
            </w:r>
          </w:p>
          <w:p>
            <w:pPr>
              <w:spacing w:line="288" w:lineRule="auto" w:before="20" w:after="20"/>
              <w:jc w:val="center"/>
            </w:pPr>
            <w:r>
              <w:rPr>
                <w:rFonts w:ascii="HY신명조" w:hAnsi="HY신명조" w:eastAsia="HY신명조"/>
                <w:b/>
                <w:sz w:val="18"/>
              </w:rPr>
              <w:t>move</w:t>
            </w:r>
          </w:p>
        </w:tc>
        <w:tc>
          <w:tcPr>
            <w:tcW w:type="dxa" w:w="1215"/>
          </w:tcPr>
          <w:p>
            <w:pPr>
              <w:spacing w:line="288" w:lineRule="auto" w:before="20" w:after="20"/>
              <w:jc w:val="center"/>
            </w:pPr>
            <w:r/>
            <w:r>
              <w:rPr>
                <w:rFonts w:ascii="HY신명조" w:hAnsi="HY신명조" w:eastAsia="HY신명조"/>
                <w:b/>
                <w:sz w:val="18"/>
              </w:rPr>
              <w:t>Encounter</w:t>
            </w:r>
          </w:p>
          <w:p>
            <w:pPr>
              <w:spacing w:line="288" w:lineRule="auto" w:before="20" w:after="20"/>
              <w:jc w:val="center"/>
            </w:pPr>
            <w:r>
              <w:rPr>
                <w:rFonts w:ascii="HY신명조" w:hAnsi="HY신명조" w:eastAsia="HY신명조"/>
                <w:b/>
                <w:sz w:val="18"/>
              </w:rPr>
              <w:t>valid.</w:t>
            </w:r>
          </w:p>
        </w:tc>
      </w:tr>
      <w:tr>
        <w:trPr>
          <w:cantSplit/>
        </w:trPr>
        <w:tc>
          <w:tcPr>
            <w:tcW w:type="dxa" w:w="1215"/>
          </w:tcPr>
          <w:p>
            <w:pPr>
              <w:spacing w:line="288" w:lineRule="auto" w:before="20" w:after="20"/>
              <w:jc w:val="left"/>
            </w:pPr>
            <w:r/>
            <w:r>
              <w:rPr>
                <w:rFonts w:ascii="HY신명조" w:hAnsi="HY신명조" w:eastAsia="HY신명조"/>
                <w:b w:val="0"/>
                <w:sz w:val="18"/>
              </w:rPr>
              <w:t>Standards [1-7][51][60]</w:t>
            </w:r>
          </w:p>
        </w:tc>
        <w:tc>
          <w:tcPr>
            <w:tcW w:type="dxa" w:w="1215"/>
          </w:tcPr>
          <w:p>
            <w:pPr>
              <w:spacing w:line="288" w:lineRule="auto" w:before="20" w:after="20"/>
              <w:jc w:val="left"/>
            </w:pPr>
            <w:r/>
            <w:r>
              <w:rPr>
                <w:rFonts w:ascii="HY신명조" w:hAnsi="HY신명조" w:eastAsia="HY신명조"/>
                <w:b w:val="0"/>
                <w:sz w:val="18"/>
              </w:rPr>
              <w:t>Req. only</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 (taxonomy)</w:t>
            </w:r>
          </w:p>
        </w:tc>
        <w:tc>
          <w:tcPr>
            <w:tcW w:type="dxa" w:w="1215"/>
          </w:tcPr>
          <w:p>
            <w:pPr>
              <w:spacing w:line="288" w:lineRule="auto" w:before="20" w:after="20"/>
              <w:jc w:val="left"/>
            </w:pPr>
            <w:r/>
            <w:r>
              <w:rPr>
                <w:rFonts w:ascii="HY신명조" w:hAnsi="HY신명조" w:eastAsia="HY신명조"/>
                <w:b w:val="0"/>
                <w:sz w:val="18"/>
              </w:rPr>
              <w:t>△ (industrial)</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Classical FDI [12-17]</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 (residual)</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Degradation models [20-29][53-59]</w:t>
            </w:r>
          </w:p>
        </w:tc>
        <w:tc>
          <w:tcPr>
            <w:tcW w:type="dxa" w:w="1215"/>
          </w:tcPr>
          <w:p>
            <w:pPr>
              <w:spacing w:line="288" w:lineRule="auto" w:before="20" w:after="20"/>
              <w:jc w:val="left"/>
            </w:pPr>
            <w:r/>
            <w:r>
              <w:rPr>
                <w:rFonts w:ascii="HY신명조" w:hAnsi="HY신명조" w:eastAsia="HY신명조"/>
                <w:b w:val="0"/>
                <w:sz w:val="18"/>
              </w:rPr>
              <w:t>○ (offline)</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Trajectory planning [30-32]</w:t>
            </w:r>
          </w:p>
        </w:tc>
        <w:tc>
          <w:tcPr>
            <w:tcW w:type="dxa" w:w="1215"/>
          </w:tcPr>
          <w:p>
            <w:pPr>
              <w:spacing w:line="288" w:lineRule="auto" w:before="20" w:after="20"/>
              <w:jc w:val="left"/>
            </w:pPr>
            <w:r/>
            <w:r>
              <w:rPr>
                <w:rFonts w:ascii="HY신명조" w:hAnsi="HY신명조" w:eastAsia="HY신명조"/>
                <w:b w:val="0"/>
                <w:sz w:val="18"/>
              </w:rPr>
              <w:t>× (given)</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 (stop traj.)</w:t>
            </w:r>
          </w:p>
        </w:tc>
        <w:tc>
          <w:tcPr>
            <w:tcW w:type="dxa" w:w="1215"/>
          </w:tcPr>
          <w:p>
            <w:pPr>
              <w:spacing w:line="288" w:lineRule="auto" w:before="20" w:after="20"/>
              <w:jc w:val="left"/>
            </w:pPr>
            <w:r/>
            <w:r>
              <w:rPr>
                <w:rFonts w:ascii="HY신명조" w:hAnsi="HY신명조" w:eastAsia="HY신명조"/>
                <w:b w:val="0"/>
                <w:sz w:val="18"/>
              </w:rPr>
              <w:t>△ (decel.)</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Fallback (Emzivat [33])</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 (TTC decel.)</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Fault-presupposing MRM [48-50]</w:t>
            </w:r>
          </w:p>
        </w:tc>
        <w:tc>
          <w:tcPr>
            <w:tcW w:type="dxa" w:w="1215"/>
          </w:tcPr>
          <w:p>
            <w:pPr>
              <w:spacing w:line="288" w:lineRule="auto" w:before="20" w:after="20"/>
              <w:jc w:val="left"/>
            </w:pPr>
            <w:r/>
            <w:r>
              <w:rPr>
                <w:rFonts w:ascii="HY신명조" w:hAnsi="HY신명조" w:eastAsia="HY신명조"/>
                <w:b w:val="0"/>
                <w:sz w:val="18"/>
              </w:rPr>
              <w:t>× (given)</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 (surviving)</w:t>
            </w:r>
          </w:p>
        </w:tc>
        <w:tc>
          <w:tcPr>
            <w:tcW w:type="dxa" w:w="1215"/>
          </w:tcPr>
          <w:p>
            <w:pPr>
              <w:spacing w:line="288" w:lineRule="auto" w:before="20" w:after="20"/>
              <w:jc w:val="left"/>
            </w:pPr>
            <w:r/>
            <w:r>
              <w:rPr>
                <w:rFonts w:ascii="HY신명조" w:hAnsi="HY신명조" w:eastAsia="HY신명조"/>
                <w:b w:val="0"/>
                <w:sz w:val="18"/>
              </w:rPr>
              <w:t>○ (adaptive)</w:t>
            </w:r>
          </w:p>
        </w:tc>
        <w:tc>
          <w:tcPr>
            <w:tcW w:type="dxa" w:w="1215"/>
          </w:tcPr>
          <w:p>
            <w:pPr>
              <w:spacing w:line="288" w:lineRule="auto" w:before="20" w:after="20"/>
              <w:jc w:val="left"/>
            </w:pPr>
            <w:r/>
            <w:r>
              <w:rPr>
                <w:rFonts w:ascii="HY신명조" w:hAnsi="HY신명조" w:eastAsia="HY신명조"/>
                <w:b w:val="0"/>
                <w:sz w:val="18"/>
              </w:rPr>
              <w:t>△ (decel.)</w:t>
            </w:r>
          </w:p>
        </w:tc>
        <w:tc>
          <w:tcPr>
            <w:tcW w:type="dxa" w:w="1215"/>
          </w:tcPr>
          <w:p>
            <w:pPr>
              <w:spacing w:line="288" w:lineRule="auto" w:before="20" w:after="20"/>
              <w:jc w:val="left"/>
            </w:pPr>
            <w:r/>
            <w:r>
              <w:rPr>
                <w:rFonts w:ascii="HY신명조" w:hAnsi="HY신명조" w:eastAsia="HY신명조"/>
                <w:b w:val="0"/>
                <w:sz w:val="18"/>
              </w:rPr>
              <w:t>△ (scenarios)</w:t>
            </w:r>
          </w:p>
        </w:tc>
      </w:tr>
      <w:tr>
        <w:trPr>
          <w:cantSplit/>
        </w:trPr>
        <w:tc>
          <w:tcPr>
            <w:tcW w:type="dxa" w:w="1215"/>
          </w:tcPr>
          <w:p>
            <w:pPr>
              <w:spacing w:line="288" w:lineRule="auto" w:before="20" w:after="20"/>
              <w:jc w:val="left"/>
            </w:pPr>
            <w:r/>
            <w:r>
              <w:rPr>
                <w:rFonts w:ascii="HY신명조" w:hAnsi="HY신명조" w:eastAsia="HY신명조"/>
                <w:b w:val="0"/>
                <w:sz w:val="18"/>
              </w:rPr>
              <w:t>Capability self-monitoring [34-36]</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 (capability)</w:t>
            </w:r>
          </w:p>
        </w:tc>
        <w:tc>
          <w:tcPr>
            <w:tcW w:type="dxa" w:w="1215"/>
          </w:tcPr>
          <w:p>
            <w:pPr>
              <w:spacing w:line="288" w:lineRule="auto" w:before="20" w:after="20"/>
              <w:jc w:val="left"/>
            </w:pPr>
            <w:r/>
            <w:r>
              <w:rPr>
                <w:rFonts w:ascii="HY신명조" w:hAnsi="HY신명조" w:eastAsia="HY신명조"/>
                <w:b w:val="0"/>
                <w:sz w:val="18"/>
              </w:rPr>
              <w:t>○ (concept)</w:t>
            </w:r>
          </w:p>
        </w:tc>
        <w:tc>
          <w:tcPr>
            <w:tcW w:type="dxa" w:w="1215"/>
          </w:tcPr>
          <w:p>
            <w:pPr>
              <w:spacing w:line="288" w:lineRule="auto" w:before="20" w:after="20"/>
              <w:jc w:val="left"/>
            </w:pPr>
            <w:r/>
            <w:r>
              <w:rPr>
                <w:rFonts w:ascii="HY신명조" w:hAnsi="HY신명조" w:eastAsia="HY신명조"/>
                <w:b w:val="0"/>
                <w:sz w:val="18"/>
              </w:rPr>
              <w:t>△ (concept)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Stock Autoware [18]</w:t>
            </w:r>
          </w:p>
        </w:tc>
        <w:tc>
          <w:tcPr>
            <w:tcW w:type="dxa" w:w="1215"/>
          </w:tcPr>
          <w:p>
            <w:pPr>
              <w:spacing w:line="288" w:lineRule="auto" w:before="20" w:after="20"/>
              <w:jc w:val="left"/>
            </w:pPr>
            <w:r/>
            <w:r>
              <w:rPr>
                <w:rFonts w:ascii="HY신명조" w:hAnsi="HY신명조" w:eastAsia="HY신명조"/>
                <w:b w:val="0"/>
                <w:sz w:val="18"/>
              </w:rPr>
              <w:t>△ (timeouts)</w:t>
            </w:r>
          </w:p>
        </w:tc>
        <w:tc>
          <w:tcPr>
            <w:tcW w:type="dxa" w:w="1215"/>
          </w:tcPr>
          <w:p>
            <w:pPr>
              <w:spacing w:line="288" w:lineRule="auto" w:before="20" w:after="20"/>
              <w:jc w:val="left"/>
            </w:pPr>
            <w:r/>
            <w:r>
              <w:rPr>
                <w:rFonts w:ascii="HY신명조" w:hAnsi="HY신명조" w:eastAsia="HY신명조"/>
                <w:b w:val="0"/>
                <w:sz w:val="18"/>
              </w:rPr>
              <w:t>× (binary)</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 (stop only)</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Fault-injection eval. [43-47]</w:t>
            </w:r>
          </w:p>
        </w:tc>
        <w:tc>
          <w:tcPr>
            <w:tcW w:type="dxa" w:w="1215"/>
          </w:tcPr>
          <w:p>
            <w:pPr>
              <w:spacing w:line="288" w:lineRule="auto" w:before="20" w:after="20"/>
              <w:jc w:val="left"/>
            </w:pPr>
            <w:r/>
            <w:r>
              <w:rPr>
                <w:rFonts w:ascii="HY신명조" w:hAnsi="HY신명조" w:eastAsia="HY신명조"/>
                <w:b w:val="0"/>
                <w:sz w:val="18"/>
              </w:rPr>
              <w:t>× (injector)</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This study</w:t>
            </w:r>
          </w:p>
        </w:tc>
        <w:tc>
          <w:tcPr>
            <w:tcW w:type="dxa" w:w="1215"/>
          </w:tcPr>
          <w:p>
            <w:pPr>
              <w:spacing w:line="288" w:lineRule="auto" w:before="20" w:after="20"/>
              <w:jc w:val="left"/>
            </w:pPr>
            <w:r/>
            <w:r>
              <w:rPr>
                <w:rFonts w:ascii="HY신명조" w:hAnsi="HY신명조" w:eastAsia="HY신명조"/>
                <w:b w:val="0"/>
                <w:sz w:val="18"/>
              </w:rPr>
              <w:t>○ (11 types)</w:t>
            </w:r>
          </w:p>
        </w:tc>
        <w:tc>
          <w:tcPr>
            <w:tcW w:type="dxa" w:w="1215"/>
          </w:tcPr>
          <w:p>
            <w:pPr>
              <w:spacing w:line="288" w:lineRule="auto" w:before="20" w:after="20"/>
              <w:jc w:val="left"/>
            </w:pPr>
            <w:r/>
            <w:r>
              <w:rPr>
                <w:rFonts w:ascii="HY신명조" w:hAnsi="HY신명조" w:eastAsia="HY신명조"/>
                <w:b w:val="0"/>
                <w:sz w:val="18"/>
              </w:rPr>
              <w:t>○ (fresh×qual.)</w:t>
            </w:r>
          </w:p>
        </w:tc>
        <w:tc>
          <w:tcPr>
            <w:tcW w:type="dxa" w:w="1215"/>
          </w:tcPr>
          <w:p>
            <w:pPr>
              <w:spacing w:line="288" w:lineRule="auto" w:before="20" w:after="20"/>
              <w:jc w:val="left"/>
            </w:pPr>
            <w:r/>
            <w:r>
              <w:rPr>
                <w:rFonts w:ascii="HY신명조" w:hAnsi="HY신명조" w:eastAsia="HY신명조"/>
                <w:b w:val="0"/>
                <w:sz w:val="18"/>
              </w:rPr>
              <w:t>○ (loc/percep.)</w:t>
            </w:r>
          </w:p>
        </w:tc>
        <w:tc>
          <w:tcPr>
            <w:tcW w:type="dxa" w:w="1215"/>
          </w:tcPr>
          <w:p>
            <w:pPr>
              <w:spacing w:line="288" w:lineRule="auto" w:before="20" w:after="20"/>
              <w:jc w:val="left"/>
            </w:pPr>
            <w:r/>
            <w:r>
              <w:rPr>
                <w:rFonts w:ascii="HY신명조" w:hAnsi="HY신명조" w:eastAsia="HY신명조"/>
                <w:b w:val="0"/>
                <w:sz w:val="18"/>
              </w:rPr>
              <w:t>○ (bands)</w:t>
            </w:r>
          </w:p>
        </w:tc>
        <w:tc>
          <w:tcPr>
            <w:tcW w:type="dxa" w:w="1215"/>
          </w:tcPr>
          <w:p>
            <w:pPr>
              <w:spacing w:line="288" w:lineRule="auto" w:before="20" w:after="20"/>
              <w:jc w:val="left"/>
            </w:pPr>
            <w:r/>
            <w:r>
              <w:rPr>
                <w:rFonts w:ascii="HY신명조" w:hAnsi="HY신명조" w:eastAsia="HY신명조"/>
                <w:b w:val="0"/>
                <w:sz w:val="18"/>
              </w:rPr>
              <w:t>○ (inverted cap)</w:t>
            </w:r>
          </w:p>
        </w:tc>
        <w:tc>
          <w:tcPr>
            <w:tcW w:type="dxa" w:w="1215"/>
          </w:tcPr>
          <w:p>
            <w:pPr>
              <w:spacing w:line="288" w:lineRule="auto" w:before="20" w:after="20"/>
              <w:jc w:val="left"/>
            </w:pPr>
            <w:r/>
            <w:r>
              <w:rPr>
                <w:rFonts w:ascii="HY신명조" w:hAnsi="HY신명조" w:eastAsia="HY신명조"/>
                <w:b w:val="0"/>
                <w:sz w:val="18"/>
              </w:rPr>
              <w:t>○ (ledger-verified)</w:t>
            </w:r>
          </w:p>
        </w:tc>
      </w:tr>
    </w:tbl>
    <w:p>
      <w:pPr>
        <w:spacing w:line="348" w:lineRule="auto" w:before="0" w:after="0"/>
      </w:pPr>
    </w:p>
    <w:p>
      <w:pPr>
        <w:spacing w:line="348" w:lineRule="auto" w:before="0" w:after="0"/>
        <w:ind w:firstLine="330"/>
        <w:jc w:val="both"/>
      </w:pPr>
      <w:r>
        <w:rPr>
          <w:rFonts w:ascii="HY신명조" w:hAnsi="HY신명조" w:eastAsia="HY신명조"/>
          <w:b w:val="0"/>
          <w:sz w:val="22"/>
        </w:rPr>
        <w:t>As Table 2.1 shows, studies addressing each axis exist, but no study was found that integrates online continuous health estimation of per-sensor freshness and quality, evacuation-vs-stop distinction by risk grace and remaining perception/localization capability, evacuation speed limited to a stopping-distance-inverted cap, and validation on a real stack with verdict-secured encounter experiments. The position of this study is the integrated supervisory layer from detection through selection and speed, and its empirical demonstration.</w:t>
      </w:r>
    </w:p>
    <w:p>
      <w:pPr>
        <w:spacing w:line="348" w:lineRule="auto" w:before="0" w:after="0"/>
        <w:jc w:val="center"/>
      </w:pPr>
      <w:r>
        <w:rPr>
          <w:rFonts w:ascii="HY신명조" w:hAnsi="HY신명조" w:eastAsia="HY신명조"/>
          <w:b/>
          <w:sz w:val="32"/>
        </w:rPr>
        <w:br w:type="page"/>
      </w:r>
      <w:r>
        <w:rPr>
          <w:rFonts w:ascii="HY신명조" w:hAnsi="HY신명조" w:eastAsia="HY신명조"/>
          <w:b/>
          <w:sz w:val="32"/>
        </w:rPr>
        <w:t>Chapter 3. Proposed System</w:t>
      </w:r>
    </w:p>
    <w:p>
      <w:pPr>
        <w:spacing w:line="348" w:lineRule="auto" w:before="0" w:after="0"/>
      </w:pPr>
    </w:p>
    <w:p>
      <w:pPr>
        <w:spacing w:line="348" w:lineRule="auto" w:before="0" w:after="0"/>
      </w:pPr>
    </w:p>
    <w:p>
      <w:pPr>
        <w:keepNext/>
        <w:spacing w:line="348" w:lineRule="auto" w:before="0" w:after="0"/>
      </w:pPr>
      <w:r>
        <w:rPr>
          <w:rFonts w:ascii="HY신명조" w:hAnsi="HY신명조" w:eastAsia="HY신명조"/>
          <w:b/>
          <w:sz w:val="28"/>
        </w:rPr>
        <w:t>3.1 System Architecture</w:t>
      </w:r>
    </w:p>
    <w:p>
      <w:pPr>
        <w:spacing w:line="348" w:lineRule="auto" w:before="0" w:after="0"/>
      </w:pPr>
    </w:p>
    <w:p>
      <w:pPr>
        <w:keepNext/>
        <w:spacing w:line="240" w:lineRule="auto"/>
        <w:jc w:val="center"/>
      </w:pPr>
      <w:r>
        <w:drawing>
          <wp:inline xmlns:a="http://schemas.openxmlformats.org/drawingml/2006/main" xmlns:pic="http://schemas.openxmlformats.org/drawingml/2006/picture">
            <wp:extent cx="3960000" cy="1956956"/>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3960000" cy="1956956"/>
                    </a:xfrm>
                    <a:prstGeom prst="rect"/>
                  </pic:spPr>
                </pic:pic>
              </a:graphicData>
            </a:graphic>
          </wp:inline>
        </w:drawing>
      </w:r>
    </w:p>
    <w:p>
      <w:pPr>
        <w:keepLines/>
        <w:spacing w:line="312" w:lineRule="auto" w:before="0" w:after="0"/>
      </w:pPr>
      <w:r>
        <w:rPr>
          <w:rFonts w:ascii="HY신명조" w:hAnsi="HY신명조" w:eastAsia="HY신명조"/>
          <w:b/>
          <w:sz w:val="22"/>
        </w:rPr>
        <w:t>Figure 3.1. Dual-channel structure of the proposed system. Left: the nominal driving channel of unmodified Autoware 0.39.0 (perception &amp; localization → planning → control); right: the proposed supervisory layer. The monitoring stage subscribes read-only to sensor topics and produces health/capability scores; the decision stage selects MOVE (evacuate — reroute with a speed cap) / DEFER (delegate — inject a diagnostic ERROR) via dual-threshold checks and candidate search, and while moving re-evaluates rear occupancy and stalls, re-selecting or falling back to DEFER when exhausted. The bottom panel is the closed-loop simulation environment (CARLA). Dead sensors are decided immediately through the hard-fail fast path (Section 3.5).</w:t>
      </w:r>
    </w:p>
    <w:p>
      <w:pPr>
        <w:spacing w:line="348" w:lineRule="auto" w:before="0" w:after="0"/>
      </w:pPr>
    </w:p>
    <w:p>
      <w:pPr>
        <w:spacing w:line="348" w:lineRule="auto" w:before="0" w:after="0"/>
        <w:ind w:firstLine="330"/>
        <w:jc w:val="both"/>
      </w:pPr>
      <w:r>
        <w:rPr>
          <w:rFonts w:ascii="HY신명조" w:hAnsi="HY신명조" w:eastAsia="HY신명조"/>
          <w:b w:val="0"/>
          <w:sz w:val="22"/>
        </w:rPr>
        <w:t>The proposed system consists of two independent nodes (Figure 3.1). The monitoring module inspects each sensor at 10 Hz on a behavior-tree basis (an implementation structure for parallel composition, module replacement, and execution tracing, not an algorithmic contribution), publishing per-sensor health scores (0-1); the detectors comprise three families — timeout (freshness), quality (noise, valid ratio), and physics (residual, bias). The MRM supervisor subscribes to the scores and runs a state machine: for evacuation it changes the route via the Autoware AD API and imposes a speed cap on the planning layer; for deferral it triggers the stock mrm_handler stop through the diagnostic graph. Stopping-maneuver execution is handled by goal_planner and mrm_handler, and main-stack modification is minimized by injecting monitoring units into the diagnostic graph.</w:t>
      </w:r>
    </w:p>
    <w:p>
      <w:pPr>
        <w:spacing w:line="348" w:lineRule="auto" w:before="0" w:after="0"/>
        <w:ind w:firstLine="330"/>
        <w:jc w:val="both"/>
      </w:pPr>
      <w:r>
        <w:rPr>
          <w:rFonts w:ascii="HY신명조" w:hAnsi="HY신명조" w:eastAsia="HY신명조"/>
          <w:b w:val="0"/>
          <w:sz w:val="22"/>
        </w:rPr>
        <w:t>Reception and evaluation cycles are separated: reception accumulates at native sensor rates (LiDAR 20 Hz, IMU 100 Hz, etc.) while evaluation runs at 10 Hz (evaluation-cycle delay ≤0.1 s). The 100 ms cycle is consistent with the AUTOSAR Watchdog Manager [7] periodic supervision structure and the decision cycle of the Autoware planning layer.</w:t>
      </w:r>
    </w:p>
    <w:p>
      <w:pPr>
        <w:spacing w:line="348" w:lineRule="auto" w:before="0" w:after="0"/>
      </w:pPr>
    </w:p>
    <w:p>
      <w:pPr>
        <w:keepNext/>
        <w:spacing w:line="348" w:lineRule="auto" w:before="0" w:after="0"/>
      </w:pPr>
      <w:r>
        <w:rPr>
          <w:rFonts w:ascii="HY신명조" w:hAnsi="HY신명조" w:eastAsia="HY신명조"/>
          <w:b/>
          <w:sz w:val="28"/>
        </w:rPr>
        <w:t>3.2 Sensor Scoring</w:t>
      </w:r>
    </w:p>
    <w:p>
      <w:pPr>
        <w:spacing w:line="348" w:lineRule="auto" w:before="0" w:after="0"/>
      </w:pPr>
    </w:p>
    <w:p>
      <w:pPr>
        <w:keepNext/>
        <w:spacing w:line="348" w:lineRule="auto" w:before="0" w:after="0"/>
        <w:ind w:firstLine="220"/>
      </w:pPr>
      <w:r>
        <w:rPr>
          <w:rFonts w:ascii="HY신명조" w:hAnsi="HY신명조" w:eastAsia="HY신명조"/>
          <w:b w:val="0"/>
          <w:sz w:val="22"/>
        </w:rPr>
        <w:t>A. Freshness score</w:t>
      </w:r>
    </w:p>
    <w:p>
      <w:pPr>
        <w:spacing w:line="348" w:lineRule="auto" w:before="0" w:after="0"/>
        <w:ind w:firstLine="330"/>
        <w:jc w:val="both"/>
      </w:pPr>
      <w:r>
        <w:rPr>
          <w:rFonts w:ascii="HY신명조" w:hAnsi="HY신명조" w:eastAsia="HY신명조"/>
          <w:b w:val="0"/>
          <w:sz w:val="22"/>
        </w:rPr>
        <w:t>For the elapsed time age(t) since the last reception,</w:t>
      </w:r>
    </w:p>
    <w:p>
      <w:pPr>
        <w:tabs>
          <w:tab w:pos="4110" w:val="center"/>
          <w:tab w:pos="8220" w:val="right"/>
        </w:tabs>
        <w:spacing w:line="348" w:lineRule="auto"/>
      </w:pPr>
      <w:r>
        <w:rPr>
          <w:rFonts w:ascii="HY신명조" w:hAnsi="HY신명조" w:eastAsia="HY신명조"/>
          <w:b w:val="0"/>
          <w:sz w:val="22"/>
        </w:rPr>
        <w:tab/>
      </w:r>
      <m:oMath>
        <m:box>
          <m:e>
            <m:box>
              <m:e>
                <m:r>
                  <m:rPr>
                    <m:sty m:val="p"/>
                  </m:rPr>
                  <m:t>t</m:t>
                </m:r>
                <m:r>
                  <m:rPr>
                    <m:sty m:val="p"/>
                  </m:rPr>
                  <m:t>i</m:t>
                </m:r>
                <m:r>
                  <m:rPr>
                    <m:sty m:val="p"/>
                  </m:rPr>
                  <m:t>m</m:t>
                </m:r>
                <m:r>
                  <m:rPr>
                    <m:sty m:val="p"/>
                  </m:rPr>
                  <m:t>e</m:t>
                </m:r>
                <m:r>
                  <m:rPr>
                    <m:sty m:val="p"/>
                  </m:rPr>
                  <m:t>o</m:t>
                </m:r>
                <m:r>
                  <m:rPr>
                    <m:sty m:val="p"/>
                  </m:rPr>
                  <m:t>u</m:t>
                </m:r>
                <m:r>
                  <m:rPr>
                    <m:sty m:val="p"/>
                  </m:rPr>
                  <m:t>t</m:t>
                </m:r>
                <m:r>
                  <m:rPr>
                    <m:nor/>
                  </m:rPr>
                  <m:t> </m:t>
                </m:r>
                <m:r>
                  <m:rPr>
                    <m:sty m:val="p"/>
                  </m:rPr>
                  <m:t>s</m:t>
                </m:r>
                <m:r>
                  <m:rPr>
                    <m:sty m:val="p"/>
                  </m:rPr>
                  <m:t>c</m:t>
                </m:r>
                <m:r>
                  <m:rPr>
                    <m:sty m:val="p"/>
                  </m:rPr>
                  <m:t>o</m:t>
                </m:r>
                <m:r>
                  <m:rPr>
                    <m:sty m:val="p"/>
                  </m:rPr>
                  <m:t>r</m:t>
                </m:r>
                <m:r>
                  <m:rPr>
                    <m:sty m:val="p"/>
                  </m:rPr>
                  <m:t>e</m:t>
                </m:r>
              </m:e>
            </m:box>
            <m:r>
              <m:rPr>
                <m:sty m:val="p"/>
              </m:rPr>
              <m:t>=</m:t>
            </m:r>
            <m:r>
              <m:rPr>
                <m:sty m:val="p"/>
              </m:rPr>
              <m:t>max</m:t>
            </m:r>
            <m:r>
              <m:rPr>
                <m:sty m:val="p"/>
              </m:rPr>
              <m:t>(</m:t>
            </m:r>
            <m:r>
              <m:rPr>
                <m:sty m:val="p"/>
              </m:rPr>
              <m:t>0</m:t>
            </m:r>
            <m:r>
              <m:rPr>
                <m:sty m:val="p"/>
              </m:rPr>
              <m:t>,</m:t>
            </m:r>
            <m:r>
              <m:rPr>
                <m:nor/>
              </m:rPr>
              <m:t> </m:t>
            </m:r>
            <m:r>
              <m:rPr>
                <m:sty m:val="p"/>
              </m:rPr>
              <m:t>1</m:t>
            </m:r>
            <m:r>
              <m:rPr>
                <m:sty m:val="p"/>
              </m:rPr>
              <m:t>−</m:t>
            </m:r>
            <m:box>
              <m:e>
                <m:r>
                  <m:rPr>
                    <m:sty m:val="p"/>
                  </m:rPr>
                  <m:t>a</m:t>
                </m:r>
                <m:r>
                  <m:rPr>
                    <m:sty m:val="p"/>
                  </m:rPr>
                  <m:t>g</m:t>
                </m:r>
                <m:r>
                  <m:rPr>
                    <m:sty m:val="p"/>
                  </m:rPr>
                  <m:t>e</m:t>
                </m:r>
              </m:e>
            </m:box>
            <m:r>
              <m:rPr>
                <m:sty m:val="p"/>
              </m:rPr>
              <m:t>/</m:t>
            </m:r>
            <m:sSub>
              <m:e>
                <m:r>
                  <m:rPr>
                    <m:sty m:val="i"/>
                  </m:rPr>
                  <m:t>τ</m:t>
                </m:r>
              </m:e>
              <m:sub>
                <m:box>
                  <m:e>
                    <m:box>
                      <m:e>
                        <m:r>
                          <m:rPr>
                            <m:sty m:val="p"/>
                          </m:rPr>
                          <m:t>d</m:t>
                        </m:r>
                        <m:r>
                          <m:rPr>
                            <m:sty m:val="p"/>
                          </m:rPr>
                          <m:t>e</m:t>
                        </m:r>
                        <m:r>
                          <m:rPr>
                            <m:sty m:val="p"/>
                          </m:rPr>
                          <m:t>t</m:t>
                        </m:r>
                        <m:r>
                          <m:rPr>
                            <m:sty m:val="p"/>
                          </m:rPr>
                          <m:t>e</m:t>
                        </m:r>
                        <m:r>
                          <m:rPr>
                            <m:sty m:val="p"/>
                          </m:rPr>
                          <m:t>c</m:t>
                        </m:r>
                        <m:r>
                          <m:rPr>
                            <m:sty m:val="p"/>
                          </m:rPr>
                          <m:t>t</m:t>
                        </m:r>
                      </m:e>
                    </m:box>
                  </m:e>
                </m:box>
              </m:sub>
            </m:sSub>
            <m:r>
              <m:rPr>
                <m:sty m:val="p"/>
              </m:rPr>
              <m:t>)</m:t>
            </m:r>
          </m:e>
        </m:box>
      </m:oMath>
      <w:r>
        <w:rPr>
          <w:rFonts w:ascii="HY신명조" w:hAnsi="HY신명조" w:eastAsia="HY신명조"/>
          <w:b w:val="0"/>
          <w:sz w:val="22"/>
        </w:rPr>
        <w:tab/>
        <w:t>(3.1)</w:t>
      </w:r>
    </w:p>
    <w:p>
      <w:pPr>
        <w:spacing w:line="348" w:lineRule="auto" w:before="0" w:after="0"/>
        <w:ind w:firstLine="330"/>
        <w:jc w:val="both"/>
      </w:pPr>
      <w:r>
        <w:rPr>
          <w:rFonts w:ascii="HY신명조" w:hAnsi="HY신명조" w:eastAsia="HY신명조"/>
          <w:b w:val="0"/>
          <w:sz w:val="22"/>
        </w:rPr>
        <w:t>decays the score linearly. τ_detect is not a detection deadline but the time constant of freshness decay, tightened in coupling with driving risk (Section 3.4). Linear decay (rather than a step at expiry) lets the score cross the downstream band boundary before it is exhausted — under complete silence the capability score falls below the boundary before τ_detect fully elapses, enabling early transition. As an auxiliary device, a k-miss rule penalizes early to a "suspect" stage if nothing is received for 3× the moving median of the reception interval.</w:t>
      </w:r>
    </w:p>
    <w:p>
      <w:pPr>
        <w:keepNext/>
        <w:spacing w:line="348" w:lineRule="auto" w:before="0" w:after="0"/>
        <w:ind w:firstLine="220"/>
      </w:pPr>
      <w:r>
        <w:rPr>
          <w:rFonts w:ascii="HY신명조" w:hAnsi="HY신명조" w:eastAsia="HY신명조"/>
          <w:b w:val="0"/>
          <w:sz w:val="22"/>
        </w:rPr>
        <w:t>B. Quality score</w:t>
      </w:r>
    </w:p>
    <w:p>
      <w:pPr>
        <w:spacing w:line="348" w:lineRule="auto" w:before="0" w:after="0"/>
        <w:ind w:firstLine="330"/>
        <w:jc w:val="both"/>
      </w:pPr>
      <w:r>
        <w:rPr>
          <w:rFonts w:ascii="HY신명조" w:hAnsi="HY신명조" w:eastAsia="HY신명조"/>
          <w:b w:val="0"/>
          <w:sz w:val="22"/>
        </w:rPr>
        <w:t>For LiDAR, the standard deviation under a Gaussian assumption is recovered from the mean of neighboring-point range differences:</w:t>
      </w:r>
    </w:p>
    <w:p>
      <w:pPr>
        <w:tabs>
          <w:tab w:pos="4110" w:val="center"/>
          <w:tab w:pos="8220" w:val="right"/>
        </w:tabs>
        <w:spacing w:line="348" w:lineRule="auto"/>
      </w:pPr>
      <w:r>
        <w:rPr>
          <w:rFonts w:ascii="HY신명조" w:hAnsi="HY신명조" w:eastAsia="HY신명조"/>
          <w:b w:val="0"/>
          <w:sz w:val="22"/>
        </w:rPr>
        <w:tab/>
      </w:r>
      <m:oMath>
        <m:box>
          <m:e>
            <m:sSub>
              <m:e>
                <m:r>
                  <m:rPr>
                    <m:sty m:val="i"/>
                  </m:rPr>
                  <m:t>σ</m:t>
                </m:r>
              </m:e>
              <m:sub>
                <m:box>
                  <m:e>
                    <m:box>
                      <m:e>
                        <m:r>
                          <m:rPr>
                            <m:sty m:val="p"/>
                          </m:rPr>
                          <m:t>e</m:t>
                        </m:r>
                        <m:r>
                          <m:rPr>
                            <m:sty m:val="p"/>
                          </m:rPr>
                          <m:t>s</m:t>
                        </m:r>
                        <m:r>
                          <m:rPr>
                            <m:sty m:val="p"/>
                          </m:rPr>
                          <m:t>t</m:t>
                        </m:r>
                      </m:e>
                    </m:box>
                  </m:e>
                </m:box>
              </m:sub>
            </m:sSub>
            <m:r>
              <m:rPr>
                <m:sty m:val="p"/>
              </m:rPr>
              <m:t>=</m:t>
            </m:r>
            <m:box>
              <m:e>
                <m:r>
                  <m:rPr>
                    <m:sty m:val="p"/>
                  </m:rPr>
                  <m:t>m</m:t>
                </m:r>
                <m:r>
                  <m:rPr>
                    <m:sty m:val="p"/>
                  </m:rPr>
                  <m:t>e</m:t>
                </m:r>
                <m:r>
                  <m:rPr>
                    <m:sty m:val="p"/>
                  </m:rPr>
                  <m:t>a</m:t>
                </m:r>
                <m:r>
                  <m:rPr>
                    <m:sty m:val="p"/>
                  </m:rPr>
                  <m:t>n</m:t>
                </m:r>
              </m:e>
            </m:box>
            <m:r>
              <m:rPr>
                <m:sty m:val="p"/>
              </m:rPr>
              <m:t>(</m:t>
            </m:r>
            <m:r>
              <m:rPr>
                <m:sty m:val="p"/>
              </m:rPr>
              <m:t>|</m:t>
            </m:r>
            <m:r>
              <m:rPr>
                <m:sty m:val="i"/>
              </m:rPr>
              <m:t>Δ</m:t>
            </m:r>
            <m:r>
              <m:rPr>
                <m:sty m:val="i"/>
              </m:rPr>
              <m:t>r</m:t>
            </m:r>
            <m:r>
              <m:rPr>
                <m:sty m:val="p"/>
              </m:rPr>
              <m:t>|</m:t>
            </m:r>
            <m:r>
              <m:rPr>
                <m:sty m:val="p"/>
              </m:rPr>
              <m:t>)</m:t>
            </m:r>
            <m:r>
              <m:rPr>
                <m:sty m:val="p"/>
              </m:rPr>
              <m:t>×</m:t>
            </m:r>
            <m:r>
              <m:rPr>
                <m:sty m:val="p"/>
              </m:rPr>
              <m:t>(</m:t>
            </m:r>
            <m:rad>
              <m:e>
                <m:box>
                  <m:e>
                    <m:box>
                      <m:e>
                        <m:r>
                          <m:rPr>
                            <m:sty m:val="i"/>
                          </m:rPr>
                          <m:t>π</m:t>
                        </m:r>
                      </m:e>
                    </m:box>
                  </m:e>
                </m:box>
              </m:e>
            </m:rad>
            <m:r>
              <m:rPr>
                <m:sty m:val="p"/>
              </m:rPr>
              <m:t>/</m:t>
            </m:r>
            <m:r>
              <m:rPr>
                <m:sty m:val="p"/>
              </m:rPr>
              <m:t>2</m:t>
            </m:r>
            <m:r>
              <m:rPr>
                <m:sty m:val="p"/>
              </m:rPr>
              <m:t>)</m:t>
            </m:r>
            <m:r>
              <m:rPr>
                <m:sty m:val="p"/>
              </m:rPr>
              <m:t>,</m:t>
            </m:r>
            <m:r>
              <m:t/>
            </m:r>
            <m:r>
              <m:rPr>
                <m:sty m:val="p"/>
              </m:rPr>
              <m:t>|</m:t>
            </m:r>
            <m:r>
              <m:rPr>
                <m:sty m:val="i"/>
              </m:rPr>
              <m:t>Δ</m:t>
            </m:r>
            <m:r>
              <m:rPr>
                <m:sty m:val="i"/>
              </m:rPr>
              <m:t>r</m:t>
            </m:r>
            <m:r>
              <m:rPr>
                <m:sty m:val="p"/>
              </m:rPr>
              <m:t>|</m:t>
            </m:r>
            <m:r>
              <m:rPr>
                <m:sty m:val="p"/>
              </m:rPr>
              <m:t>&lt;</m:t>
            </m:r>
            <m:r>
              <m:rPr>
                <m:sty m:val="p"/>
              </m:rPr>
              <m:t>1</m:t>
            </m:r>
            <m:r>
              <m:t/>
            </m:r>
            <m:r>
              <m:rPr>
                <m:sty m:val="i"/>
              </m:rPr>
              <m:t>m</m:t>
            </m:r>
          </m:e>
        </m:box>
      </m:oMath>
      <w:r>
        <w:rPr>
          <w:rFonts w:ascii="HY신명조" w:hAnsi="HY신명조" w:eastAsia="HY신명조"/>
          <w:b w:val="0"/>
          <w:sz w:val="22"/>
        </w:rPr>
        <w:tab/>
        <w:t>(3.2)</w:t>
      </w:r>
    </w:p>
    <w:p>
      <w:pPr>
        <w:spacing w:line="348" w:lineRule="auto" w:before="0" w:after="0"/>
        <w:ind w:firstLine="330"/>
        <w:jc w:val="both"/>
      </w:pPr>
      <w:r>
        <w:rPr>
          <w:rFonts w:ascii="HY신명조" w:hAnsi="HY신명조" w:eastAsia="HY신명조"/>
          <w:b w:val="0"/>
          <w:sz w:val="22"/>
        </w:rPr>
        <w:t>(the inversion of E|r1−r2| = 2σ/√π; differences over 1 m are excluded as genuine terrain boundaries). Scene-intrinsic roughness is absorbed by a baseline learned during the first 30 boot frames, but abrupt rises (over 1.5×) are not tracked so the fault cannot become its own baseline. The score is exp(−max(0, σ_est − base)/0.1) times a valid-point-ratio score — a relative anomaly score against the baseline, not an absolute noise estimator. A CUSUM sequential test (S = max(0, S + excess − k), drop when S &gt; h) runs in parallel so detection delay is inversely proportional to fault magnitude. Camera quality applies the same structure to inter-frame pixel differences without the cumulative test (pixel difference rises naturally with scene motion). Sparsification is handled by the valid-ratio channel and clutter by the range-discontinuity channel.</w:t>
      </w:r>
    </w:p>
    <w:p>
      <w:pPr>
        <w:keepNext/>
        <w:spacing w:line="348" w:lineRule="auto" w:before="0" w:after="0"/>
        <w:ind w:firstLine="220"/>
      </w:pPr>
      <w:r>
        <w:rPr>
          <w:rFonts w:ascii="HY신명조" w:hAnsi="HY신명조" w:eastAsia="HY신명조"/>
          <w:b w:val="0"/>
          <w:sz w:val="22"/>
        </w:rPr>
        <w:t>C. Three localization channels</w:t>
      </w:r>
    </w:p>
    <w:p>
      <w:pPr>
        <w:spacing w:line="348" w:lineRule="auto" w:before="0" w:after="0"/>
        <w:ind w:firstLine="330"/>
        <w:jc w:val="both"/>
      </w:pPr>
      <w:r>
        <w:rPr>
          <w:rFonts w:ascii="HY신명조" w:hAnsi="HY신명조" w:eastAsia="HY신명조"/>
          <w:b w:val="0"/>
          <w:sz w:val="22"/>
        </w:rPr>
        <w:t>Each channel covers a different fault mode. (a) Residual channel: for the distance r between the GNSS measurement and the EKF output, loc_meas = exp(−max(0, r − base − 0.2)/0.55) (static frame offset calibrated at boot) — sensitive to GNSS noise and multipath-type correlated bias. (b) Bias channel: penalizes when the difference between 3-s means of IMU and EKF yaw rates persists above a threshold for 3 s — normal turning cancels in both signals while gyro bias remains only on the IMU side. (c) Silence channel: penalizes with exponential decay when GNSS input stops for 1 s or longer while driving — covering the residual channel's blind spot of freezing at the last value.</w:t>
      </w:r>
    </w:p>
    <w:p>
      <w:pPr>
        <w:spacing w:line="348" w:lineRule="auto" w:before="0" w:after="0"/>
      </w:pPr>
    </w:p>
    <w:p>
      <w:pPr>
        <w:keepNext/>
        <w:spacing w:line="348" w:lineRule="auto" w:before="0" w:after="0"/>
      </w:pPr>
      <w:r>
        <w:rPr>
          <w:rFonts w:ascii="HY신명조" w:hAnsi="HY신명조" w:eastAsia="HY신명조"/>
          <w:b/>
          <w:sz w:val="28"/>
        </w:rPr>
        <w:t>3.3 Spatial Sectors and Capability Synthesis</w:t>
      </w:r>
    </w:p>
    <w:p>
      <w:pPr>
        <w:spacing w:line="348" w:lineRule="auto" w:before="0" w:after="0"/>
      </w:pPr>
    </w:p>
    <w:p>
      <w:pPr>
        <w:spacing w:line="348" w:lineRule="auto" w:before="0" w:after="0"/>
        <w:ind w:firstLine="330"/>
        <w:jc w:val="both"/>
      </w:pPr>
      <w:r>
        <w:rPr>
          <w:rFonts w:ascii="HY신명조" w:hAnsi="HY신명조" w:eastAsia="HY신명조"/>
          <w:b w:val="0"/>
          <w:sz w:val="22"/>
        </w:rPr>
        <w:t>Sensor scores map to eight directional sectors (F, FL, FR, L, R, RL, RR, B) by mounting direction and field of view, fused in the monotone noisy-OR form</w:t>
      </w:r>
    </w:p>
    <w:p>
      <w:pPr>
        <w:tabs>
          <w:tab w:pos="4110" w:val="center"/>
          <w:tab w:pos="8220" w:val="right"/>
        </w:tabs>
        <w:spacing w:line="348" w:lineRule="auto"/>
      </w:pPr>
      <w:r>
        <w:rPr>
          <w:rFonts w:ascii="HY신명조" w:hAnsi="HY신명조" w:eastAsia="HY신명조"/>
          <w:b w:val="0"/>
          <w:sz w:val="22"/>
        </w:rPr>
        <w:tab/>
      </w:r>
      <m:oMath>
        <m:box>
          <m:e>
            <m:box>
              <m:e>
                <m:r>
                  <m:rPr>
                    <m:sty m:val="p"/>
                  </m:rPr>
                  <m:t>s</m:t>
                </m:r>
                <m:r>
                  <m:rPr>
                    <m:sty m:val="p"/>
                  </m:rPr>
                  <m:t>e</m:t>
                </m:r>
                <m:r>
                  <m:rPr>
                    <m:sty m:val="p"/>
                  </m:rPr>
                  <m:t>c</m:t>
                </m:r>
                <m:r>
                  <m:rPr>
                    <m:sty m:val="p"/>
                  </m:rPr>
                  <m:t>t</m:t>
                </m:r>
                <m:r>
                  <m:rPr>
                    <m:sty m:val="p"/>
                  </m:rPr>
                  <m:t>o</m:t>
                </m:r>
                <m:r>
                  <m:rPr>
                    <m:sty m:val="p"/>
                  </m:rPr>
                  <m:t>r</m:t>
                </m:r>
              </m:e>
            </m:box>
            <m:r>
              <m:rPr>
                <m:sty m:val="p"/>
              </m:rPr>
              <m:t>=</m:t>
            </m:r>
            <m:r>
              <m:rPr>
                <m:sty m:val="p"/>
              </m:rPr>
              <m:t>1</m:t>
            </m:r>
            <m:r>
              <m:rPr>
                <m:sty m:val="p"/>
              </m:rPr>
              <m:t>−</m:t>
            </m:r>
            <m:nary>
              <m:naryPr>
                <m:chr m:val="∏"/>
                <m:limLoc m:val="undOvr"/>
              </m:naryPr>
              <m:sub>
                <m:r>
                  <m:rPr>
                    <m:sty m:val="i"/>
                  </m:rPr>
                  <m:t>i</m:t>
                </m:r>
              </m:sub>
              <m:sup/>
              <m:e>
                <m:r>
                  <m:rPr>
                    <m:sty m:val="p"/>
                  </m:rPr>
                  <m:t>(</m:t>
                </m:r>
                <m:r>
                  <m:rPr>
                    <m:sty m:val="p"/>
                  </m:rPr>
                  <m:t>1</m:t>
                </m:r>
                <m:r>
                  <m:rPr>
                    <m:sty m:val="p"/>
                  </m:rPr>
                  <m:t>−</m:t>
                </m:r>
                <m:sSub>
                  <m:e>
                    <m:r>
                      <m:rPr>
                        <m:sty m:val="i"/>
                      </m:rPr>
                      <m:t>s</m:t>
                    </m:r>
                  </m:e>
                  <m:sub>
                    <m:r>
                      <m:rPr>
                        <m:sty m:val="i"/>
                      </m:rPr>
                      <m:t>i</m:t>
                    </m:r>
                  </m:sub>
                </m:sSub>
                <m:r>
                  <m:rPr>
                    <m:sty m:val="p"/>
                  </m:rPr>
                  <m:t>)</m:t>
                </m:r>
              </m:e>
            </m:nary>
          </m:e>
        </m:box>
      </m:oMath>
      <w:r>
        <w:rPr>
          <w:rFonts w:ascii="HY신명조" w:hAnsi="HY신명조" w:eastAsia="HY신명조"/>
          <w:b w:val="0"/>
          <w:sz w:val="22"/>
        </w:rPr>
        <w:tab/>
        <w:t>(3.3)</w:t>
      </w:r>
    </w:p>
    <w:p>
      <w:pPr>
        <w:spacing w:line="348" w:lineRule="auto" w:before="0" w:after="0"/>
        <w:ind w:firstLine="330"/>
        <w:jc w:val="both"/>
      </w:pPr>
      <w:r>
        <w:rPr>
          <w:rFonts w:ascii="HY신명조" w:hAnsi="HY신명조" w:eastAsia="HY신명조"/>
          <w:b w:val="0"/>
          <w:sz w:val="22"/>
        </w:rPr>
        <w:t>(more sensors covering a sector make it more robust; the s_i are not claimed to be calibrated probabilities). Perception capability is the sector-weighted sum</w:t>
      </w:r>
    </w:p>
    <w:p>
      <w:pPr>
        <w:tabs>
          <w:tab w:pos="4110" w:val="center"/>
          <w:tab w:pos="8220" w:val="right"/>
        </w:tabs>
        <w:spacing w:line="348" w:lineRule="auto"/>
      </w:pPr>
      <w:r>
        <w:rPr>
          <w:rFonts w:ascii="HY신명조" w:hAnsi="HY신명조" w:eastAsia="HY신명조"/>
          <w:b w:val="0"/>
          <w:sz w:val="22"/>
        </w:rPr>
        <w:tab/>
      </w:r>
      <m:oMath>
        <m:box>
          <m:e>
            <m:box>
              <m:e>
                <m:r>
                  <m:rPr>
                    <m:sty m:val="p"/>
                  </m:rPr>
                  <m:t>p</m:t>
                </m:r>
                <m:r>
                  <m:rPr>
                    <m:sty m:val="p"/>
                  </m:rPr>
                  <m:t>e</m:t>
                </m:r>
                <m:r>
                  <m:rPr>
                    <m:sty m:val="p"/>
                  </m:rPr>
                  <m:t>r</m:t>
                </m:r>
                <m:r>
                  <m:rPr>
                    <m:sty m:val="p"/>
                  </m:rPr>
                  <m:t>c</m:t>
                </m:r>
                <m:r>
                  <m:rPr>
                    <m:sty m:val="p"/>
                  </m:rPr>
                  <m:t>e</m:t>
                </m:r>
                <m:r>
                  <m:rPr>
                    <m:sty m:val="p"/>
                  </m:rPr>
                  <m:t>p</m:t>
                </m:r>
                <m:r>
                  <m:rPr>
                    <m:sty m:val="p"/>
                  </m:rPr>
                  <m:t>t</m:t>
                </m:r>
                <m:r>
                  <m:rPr>
                    <m:sty m:val="p"/>
                  </m:rPr>
                  <m:t>i</m:t>
                </m:r>
                <m:r>
                  <m:rPr>
                    <m:sty m:val="p"/>
                  </m:rPr>
                  <m:t>o</m:t>
                </m:r>
                <m:r>
                  <m:rPr>
                    <m:sty m:val="p"/>
                  </m:rPr>
                  <m:t>n</m:t>
                </m:r>
              </m:e>
            </m:box>
            <m:r>
              <m:rPr>
                <m:sty m:val="p"/>
              </m:rPr>
              <m:t>=</m:t>
            </m:r>
            <m:nary>
              <m:naryPr>
                <m:chr m:val="∑"/>
                <m:limLoc m:val="undOvr"/>
              </m:naryPr>
              <m:sub>
                <m:r>
                  <m:rPr>
                    <m:sty m:val="i"/>
                  </m:rPr>
                  <m:t>k</m:t>
                </m:r>
              </m:sub>
              <m:sup/>
              <m:e>
                <m:sSub>
                  <m:e>
                    <m:r>
                      <m:rPr>
                        <m:sty m:val="i"/>
                      </m:rPr>
                      <m:t>w</m:t>
                    </m:r>
                  </m:e>
                  <m:sub>
                    <m:r>
                      <m:rPr>
                        <m:sty m:val="i"/>
                      </m:rPr>
                      <m:t>k</m:t>
                    </m:r>
                  </m:sub>
                </m:sSub>
                <m:r>
                  <m:rPr>
                    <m:sty m:val="p"/>
                  </m:rPr>
                  <m:t>·</m:t>
                </m:r>
                <m:sSub>
                  <m:e>
                    <m:box>
                      <m:e>
                        <m:r>
                          <m:rPr>
                            <m:sty m:val="p"/>
                          </m:rPr>
                          <m:t>s</m:t>
                        </m:r>
                        <m:r>
                          <m:rPr>
                            <m:sty m:val="p"/>
                          </m:rPr>
                          <m:t>e</m:t>
                        </m:r>
                        <m:r>
                          <m:rPr>
                            <m:sty m:val="p"/>
                          </m:rPr>
                          <m:t>c</m:t>
                        </m:r>
                        <m:r>
                          <m:rPr>
                            <m:sty m:val="p"/>
                          </m:rPr>
                          <m:t>t</m:t>
                        </m:r>
                        <m:r>
                          <m:rPr>
                            <m:sty m:val="p"/>
                          </m:rPr>
                          <m:t>o</m:t>
                        </m:r>
                        <m:r>
                          <m:rPr>
                            <m:sty m:val="p"/>
                          </m:rPr>
                          <m:t>r</m:t>
                        </m:r>
                      </m:e>
                    </m:box>
                  </m:e>
                  <m:sub>
                    <m:r>
                      <m:rPr>
                        <m:sty m:val="i"/>
                      </m:rPr>
                      <m:t>k</m:t>
                    </m:r>
                  </m:sub>
                </m:sSub>
                <m:r>
                  <m:rPr>
                    <m:sty m:val="p"/>
                  </m:rPr>
                  <m:t>,</m:t>
                </m:r>
                <m:r>
                  <m:t/>
                </m:r>
                <m:r>
                  <m:rPr>
                    <m:sty m:val="i"/>
                  </m:rPr>
                  <m:t>w</m:t>
                </m:r>
                <m:r>
                  <m:rPr>
                    <m:sty m:val="p"/>
                  </m:rPr>
                  <m:t>=</m:t>
                </m:r>
                <m:r>
                  <m:rPr>
                    <m:sty m:val="p"/>
                  </m:rPr>
                  <m:t>{</m:t>
                </m:r>
                <m:r>
                  <m:rPr>
                    <m:sty m:val="i"/>
                  </m:rPr>
                  <m:t>F</m:t>
                </m:r>
                <m:box>
                  <m:e>
                    <m:r>
                      <m:rPr>
                        <m:sty m:val="i"/>
                      </m:rPr>
                      <m:t>:</m:t>
                    </m:r>
                  </m:e>
                </m:box>
                <m:r>
                  <m:rPr>
                    <m:sty m:val="p"/>
                  </m:rPr>
                  <m:t>0.30</m:t>
                </m:r>
                <m:r>
                  <m:rPr>
                    <m:sty m:val="p"/>
                  </m:rPr>
                  <m:t>,</m:t>
                </m:r>
                <m:r>
                  <m:rPr>
                    <m:nor/>
                  </m:rPr>
                  <m:t> </m:t>
                </m:r>
                <m:r>
                  <m:rPr>
                    <m:sty m:val="i"/>
                  </m:rPr>
                  <m:t>F</m:t>
                </m:r>
                <m:r>
                  <m:rPr>
                    <m:sty m:val="i"/>
                  </m:rPr>
                  <m:t>L</m:t>
                </m:r>
                <m:r>
                  <m:rPr>
                    <m:sty m:val="p"/>
                  </m:rPr>
                  <m:t>/</m:t>
                </m:r>
                <m:r>
                  <m:rPr>
                    <m:sty m:val="i"/>
                  </m:rPr>
                  <m:t>F</m:t>
                </m:r>
                <m:r>
                  <m:rPr>
                    <m:sty m:val="i"/>
                  </m:rPr>
                  <m:t>R</m:t>
                </m:r>
                <m:box>
                  <m:e>
                    <m:r>
                      <m:rPr>
                        <m:sty m:val="i"/>
                      </m:rPr>
                      <m:t>:</m:t>
                    </m:r>
                  </m:e>
                </m:box>
                <m:r>
                  <m:rPr>
                    <m:sty m:val="p"/>
                  </m:rPr>
                  <m:t>0.15</m:t>
                </m:r>
                <m:r>
                  <m:rPr>
                    <m:sty m:val="p"/>
                  </m:rPr>
                  <m:t>,</m:t>
                </m:r>
                <m:r>
                  <m:rPr>
                    <m:nor/>
                  </m:rPr>
                  <m:t> </m:t>
                </m:r>
                <m:r>
                  <m:rPr>
                    <m:sty m:val="i"/>
                  </m:rPr>
                  <m:t>L</m:t>
                </m:r>
                <m:r>
                  <m:rPr>
                    <m:sty m:val="p"/>
                  </m:rPr>
                  <m:t>/</m:t>
                </m:r>
                <m:r>
                  <m:rPr>
                    <m:sty m:val="i"/>
                  </m:rPr>
                  <m:t>R</m:t>
                </m:r>
                <m:r>
                  <m:rPr>
                    <m:sty m:val="p"/>
                  </m:rPr>
                  <m:t>/</m:t>
                </m:r>
                <m:r>
                  <m:rPr>
                    <m:sty m:val="i"/>
                  </m:rPr>
                  <m:t>B</m:t>
                </m:r>
                <m:box>
                  <m:e>
                    <m:r>
                      <m:rPr>
                        <m:sty m:val="i"/>
                      </m:rPr>
                      <m:t>:</m:t>
                    </m:r>
                  </m:e>
                </m:box>
                <m:r>
                  <m:rPr>
                    <m:sty m:val="p"/>
                  </m:rPr>
                  <m:t>0.10</m:t>
                </m:r>
                <m:r>
                  <m:rPr>
                    <m:sty m:val="p"/>
                  </m:rPr>
                  <m:t>,</m:t>
                </m:r>
                <m:r>
                  <m:rPr>
                    <m:nor/>
                  </m:rPr>
                  <m:t> </m:t>
                </m:r>
                <m:r>
                  <m:rPr>
                    <m:sty m:val="i"/>
                  </m:rPr>
                  <m:t>R</m:t>
                </m:r>
                <m:r>
                  <m:rPr>
                    <m:sty m:val="i"/>
                  </m:rPr>
                  <m:t>L</m:t>
                </m:r>
                <m:r>
                  <m:rPr>
                    <m:sty m:val="p"/>
                  </m:rPr>
                  <m:t>/</m:t>
                </m:r>
                <m:r>
                  <m:rPr>
                    <m:sty m:val="i"/>
                  </m:rPr>
                  <m:t>R</m:t>
                </m:r>
                <m:r>
                  <m:rPr>
                    <m:sty m:val="i"/>
                  </m:rPr>
                  <m:t>R</m:t>
                </m:r>
                <m:box>
                  <m:e>
                    <m:r>
                      <m:rPr>
                        <m:sty m:val="i"/>
                      </m:rPr>
                      <m:t>:</m:t>
                    </m:r>
                  </m:e>
                </m:box>
                <m:r>
                  <m:rPr>
                    <m:sty m:val="p"/>
                  </m:rPr>
                  <m:t>0.05</m:t>
                </m:r>
                <m:r>
                  <m:rPr>
                    <m:sty m:val="p"/>
                  </m:rPr>
                  <m:t>}</m:t>
                </m:r>
              </m:e>
            </m:nary>
          </m:e>
        </m:box>
      </m:oMath>
      <w:r>
        <w:rPr>
          <w:rFonts w:ascii="HY신명조" w:hAnsi="HY신명조" w:eastAsia="HY신명조"/>
          <w:b w:val="0"/>
          <w:sz w:val="22"/>
        </w:rPr>
        <w:tab/>
        <w:t>(3.4)</w:t>
      </w:r>
    </w:p>
    <w:p>
      <w:pPr>
        <w:spacing w:line="348" w:lineRule="auto" w:before="0" w:after="0"/>
        <w:ind w:firstLine="330"/>
        <w:jc w:val="both"/>
      </w:pPr>
      <w:r>
        <w:rPr>
          <w:rFonts w:ascii="HY신명조" w:hAnsi="HY신명조" w:eastAsia="HY신명조"/>
          <w:b w:val="0"/>
          <w:sz w:val="22"/>
        </w:rPr>
        <w:t>combining obstacle perception and traffic-light observability at 0.6:0.4. The system health is</w:t>
      </w:r>
    </w:p>
    <w:p>
      <w:pPr>
        <w:tabs>
          <w:tab w:pos="4110" w:val="center"/>
          <w:tab w:pos="8220" w:val="right"/>
        </w:tabs>
        <w:spacing w:line="348" w:lineRule="auto"/>
      </w:pPr>
      <w:r>
        <w:rPr>
          <w:rFonts w:ascii="HY신명조" w:hAnsi="HY신명조" w:eastAsia="HY신명조"/>
          <w:b w:val="0"/>
          <w:sz w:val="22"/>
        </w:rPr>
        <w:tab/>
      </w:r>
      <m:oMath>
        <m:box>
          <m:e>
            <m:box>
              <m:e>
                <m:r>
                  <m:rPr>
                    <m:sty m:val="p"/>
                  </m:rPr>
                  <m:t>h</m:t>
                </m:r>
                <m:r>
                  <m:rPr>
                    <m:sty m:val="p"/>
                  </m:rPr>
                  <m:t>e</m:t>
                </m:r>
                <m:r>
                  <m:rPr>
                    <m:sty m:val="p"/>
                  </m:rPr>
                  <m:t>a</m:t>
                </m:r>
                <m:r>
                  <m:rPr>
                    <m:sty m:val="p"/>
                  </m:rPr>
                  <m:t>l</m:t>
                </m:r>
                <m:r>
                  <m:rPr>
                    <m:sty m:val="p"/>
                  </m:rPr>
                  <m:t>t</m:t>
                </m:r>
                <m:r>
                  <m:rPr>
                    <m:sty m:val="p"/>
                  </m:rPr>
                  <m:t>h</m:t>
                </m:r>
              </m:e>
            </m:box>
            <m:r>
              <m:rPr>
                <m:sty m:val="p"/>
              </m:rPr>
              <m:t>=</m:t>
            </m:r>
            <m:r>
              <m:rPr>
                <m:sty m:val="p"/>
              </m:rPr>
              <m:t>min</m:t>
            </m:r>
            <m:r>
              <m:rPr>
                <m:sty m:val="p"/>
              </m:rPr>
              <m:t>(</m:t>
            </m:r>
            <m:box>
              <m:e>
                <m:r>
                  <m:rPr>
                    <m:sty m:val="p"/>
                  </m:rPr>
                  <m:t>p</m:t>
                </m:r>
                <m:r>
                  <m:rPr>
                    <m:sty m:val="p"/>
                  </m:rPr>
                  <m:t>e</m:t>
                </m:r>
                <m:r>
                  <m:rPr>
                    <m:sty m:val="p"/>
                  </m:rPr>
                  <m:t>r</m:t>
                </m:r>
                <m:r>
                  <m:rPr>
                    <m:sty m:val="p"/>
                  </m:rPr>
                  <m:t>c</m:t>
                </m:r>
                <m:r>
                  <m:rPr>
                    <m:sty m:val="p"/>
                  </m:rPr>
                  <m:t>e</m:t>
                </m:r>
                <m:r>
                  <m:rPr>
                    <m:sty m:val="p"/>
                  </m:rPr>
                  <m:t>p</m:t>
                </m:r>
                <m:r>
                  <m:rPr>
                    <m:sty m:val="p"/>
                  </m:rPr>
                  <m:t>t</m:t>
                </m:r>
                <m:r>
                  <m:rPr>
                    <m:sty m:val="p"/>
                  </m:rPr>
                  <m:t>i</m:t>
                </m:r>
                <m:r>
                  <m:rPr>
                    <m:sty m:val="p"/>
                  </m:rPr>
                  <m:t>o</m:t>
                </m:r>
                <m:r>
                  <m:rPr>
                    <m:sty m:val="p"/>
                  </m:rPr>
                  <m:t>n</m:t>
                </m:r>
              </m:e>
            </m:box>
            <m:r>
              <m:rPr>
                <m:sty m:val="p"/>
              </m:rPr>
              <m:t>,</m:t>
            </m:r>
            <m:r>
              <m:rPr>
                <m:nor/>
              </m:rPr>
              <m:t> </m:t>
            </m:r>
            <m:sSub>
              <m:e>
                <m:box>
                  <m:e>
                    <m:r>
                      <m:rPr>
                        <m:sty m:val="p"/>
                      </m:rPr>
                      <m:t>c</m:t>
                    </m:r>
                    <m:r>
                      <m:rPr>
                        <m:sty m:val="p"/>
                      </m:rPr>
                      <m:t>a</m:t>
                    </m:r>
                    <m:r>
                      <m:rPr>
                        <m:sty m:val="p"/>
                      </m:rPr>
                      <m:t>p</m:t>
                    </m:r>
                  </m:e>
                </m:box>
              </m:e>
              <m:sub>
                <m:box>
                  <m:e>
                    <m:box>
                      <m:e>
                        <m:r>
                          <m:rPr>
                            <m:sty m:val="p"/>
                          </m:rPr>
                          <m:t>l</m:t>
                        </m:r>
                        <m:r>
                          <m:rPr>
                            <m:sty m:val="p"/>
                          </m:rPr>
                          <m:t>o</m:t>
                        </m:r>
                        <m:r>
                          <m:rPr>
                            <m:sty m:val="p"/>
                          </m:rPr>
                          <m:t>c</m:t>
                        </m:r>
                      </m:e>
                    </m:box>
                  </m:e>
                </m:box>
              </m:sub>
            </m:sSub>
            <m:r>
              <m:rPr>
                <m:sty m:val="p"/>
              </m:rPr>
              <m:t>)</m:t>
            </m:r>
          </m:e>
        </m:box>
      </m:oMath>
      <w:r>
        <w:rPr>
          <w:rFonts w:ascii="HY신명조" w:hAnsi="HY신명조" w:eastAsia="HY신명조"/>
          <w:b w:val="0"/>
          <w:sz w:val="22"/>
        </w:rPr>
        <w:tab/>
        <w:t>(3.5)</w:t>
      </w:r>
    </w:p>
    <w:p>
      <w:pPr>
        <w:spacing w:line="348" w:lineRule="auto" w:before="0" w:after="0"/>
        <w:ind w:firstLine="330"/>
        <w:jc w:val="both"/>
      </w:pPr>
      <w:r>
        <w:rPr>
          <w:rFonts w:ascii="HY신명조" w:hAnsi="HY신명조" w:eastAsia="HY신명조"/>
          <w:b w:val="0"/>
          <w:sz w:val="22"/>
        </w:rPr>
        <w:t>following the worst capability (weakest-link principle). cap_loc is the minimum over the physical range check, position jump, and the residual/bias/silence channels. These localization channels reside in the supervisor process as an implementation matter but belong logically to the monitoring layer (the boundary in Figure 3.1 is logical). The behavior-tree composition of the monitoring module is shown in Figure 3.2.</w:t>
      </w:r>
    </w:p>
    <w:p>
      <w:pPr>
        <w:spacing w:line="348" w:lineRule="auto" w:before="0" w:after="0"/>
      </w:pPr>
    </w:p>
    <w:p>
      <w:pPr>
        <w:keepNext/>
        <w:spacing w:line="348" w:lineRule="auto" w:before="0" w:after="0"/>
      </w:pPr>
      <w:r>
        <w:rPr>
          <w:rFonts w:ascii="HY신명조" w:hAnsi="HY신명조" w:eastAsia="HY신명조"/>
          <w:b/>
          <w:sz w:val="28"/>
        </w:rPr>
        <w:t>3.4 Risk-Coupled Dynamic Detection Budget</w:t>
      </w:r>
    </w:p>
    <w:p>
      <w:pPr>
        <w:spacing w:line="348" w:lineRule="auto" w:before="0" w:after="0"/>
      </w:pPr>
    </w:p>
    <w:p>
      <w:pPr>
        <w:spacing w:line="348" w:lineRule="auto" w:before="0" w:after="0"/>
        <w:ind w:firstLine="330"/>
        <w:jc w:val="both"/>
      </w:pPr>
      <w:r>
        <w:rPr>
          <w:rFonts w:ascii="HY신명조" w:hAnsi="HY신명조" w:eastAsia="HY신명조"/>
          <w:b w:val="0"/>
          <w:sz w:val="22"/>
        </w:rPr>
        <w:t>The freshness decay time constant is coupled to driving risk:</w:t>
      </w:r>
    </w:p>
    <w:p>
      <w:pPr>
        <w:tabs>
          <w:tab w:pos="4110" w:val="center"/>
          <w:tab w:pos="8220" w:val="right"/>
        </w:tabs>
        <w:spacing w:line="348" w:lineRule="auto"/>
      </w:pPr>
      <w:r>
        <w:rPr>
          <w:rFonts w:ascii="HY신명조" w:hAnsi="HY신명조" w:eastAsia="HY신명조"/>
          <w:b w:val="0"/>
          <w:sz w:val="22"/>
        </w:rPr>
        <w:tab/>
      </w:r>
      <m:oMath>
        <m:box>
          <m:e>
            <m:sSub>
              <m:e>
                <m:r>
                  <m:rPr>
                    <m:sty m:val="i"/>
                  </m:rPr>
                  <m:t>τ</m:t>
                </m:r>
              </m:e>
              <m:sub>
                <m:box>
                  <m:e>
                    <m:box>
                      <m:e>
                        <m:r>
                          <m:rPr>
                            <m:sty m:val="p"/>
                          </m:rPr>
                          <m:t>d</m:t>
                        </m:r>
                        <m:r>
                          <m:rPr>
                            <m:sty m:val="p"/>
                          </m:rPr>
                          <m:t>e</m:t>
                        </m:r>
                        <m:r>
                          <m:rPr>
                            <m:sty m:val="p"/>
                          </m:rPr>
                          <m:t>t</m:t>
                        </m:r>
                        <m:r>
                          <m:rPr>
                            <m:sty m:val="p"/>
                          </m:rPr>
                          <m:t>e</m:t>
                        </m:r>
                        <m:r>
                          <m:rPr>
                            <m:sty m:val="p"/>
                          </m:rPr>
                          <m:t>c</m:t>
                        </m:r>
                        <m:r>
                          <m:rPr>
                            <m:sty m:val="p"/>
                          </m:rPr>
                          <m:t>t</m:t>
                        </m:r>
                      </m:e>
                    </m:box>
                  </m:e>
                </m:box>
              </m:sub>
            </m:sSub>
            <m:r>
              <m:rPr>
                <m:sty m:val="p"/>
              </m:rPr>
              <m:t>(</m:t>
            </m:r>
            <m:r>
              <m:rPr>
                <m:sty m:val="i"/>
              </m:rPr>
              <m:t>t</m:t>
            </m:r>
            <m:r>
              <m:rPr>
                <m:sty m:val="p"/>
              </m:rPr>
              <m:t>)</m:t>
            </m:r>
            <m:r>
              <m:rPr>
                <m:sty m:val="p"/>
              </m:rPr>
              <m:t>=</m:t>
            </m:r>
            <m:r>
              <m:rPr>
                <m:sty m:val="p"/>
              </m:rPr>
              <m:t>min</m:t>
            </m:r>
            <m:r>
              <m:rPr>
                <m:sty m:val="p"/>
              </m:rPr>
              <m:t>(</m:t>
            </m:r>
            <m:sSub>
              <m:e>
                <m:r>
                  <m:rPr>
                    <m:sty m:val="i"/>
                  </m:rPr>
                  <m:t>τ</m:t>
                </m:r>
              </m:e>
              <m:sub>
                <m:box>
                  <m:e>
                    <m:box>
                      <m:e>
                        <m:r>
                          <m:rPr>
                            <m:sty m:val="p"/>
                          </m:rPr>
                          <m:t>f</m:t>
                        </m:r>
                        <m:r>
                          <m:rPr>
                            <m:sty m:val="p"/>
                          </m:rPr>
                          <m:t>r</m:t>
                        </m:r>
                        <m:r>
                          <m:rPr>
                            <m:sty m:val="p"/>
                          </m:rPr>
                          <m:t>e</m:t>
                        </m:r>
                        <m:r>
                          <m:rPr>
                            <m:sty m:val="p"/>
                          </m:rPr>
                          <m:t>s</m:t>
                        </m:r>
                        <m:r>
                          <m:rPr>
                            <m:sty m:val="p"/>
                          </m:rPr>
                          <m:t>h</m:t>
                        </m:r>
                      </m:e>
                    </m:box>
                  </m:e>
                </m:box>
              </m:sub>
            </m:sSub>
            <m:r>
              <m:rPr>
                <m:sty m:val="p"/>
              </m:rPr>
              <m:t>,</m:t>
            </m:r>
            <m:r>
              <m:rPr>
                <m:nor/>
              </m:rPr>
              <m:t> </m:t>
            </m:r>
            <m:sSub>
              <m:e>
                <m:box>
                  <m:e>
                    <m:r>
                      <m:rPr>
                        <m:sty m:val="p"/>
                      </m:rPr>
                      <m:t>T</m:t>
                    </m:r>
                    <m:r>
                      <m:rPr>
                        <m:sty m:val="p"/>
                      </m:rPr>
                      <m:t>T</m:t>
                    </m:r>
                    <m:r>
                      <m:rPr>
                        <m:sty m:val="p"/>
                      </m:rPr>
                      <m:t>C</m:t>
                    </m:r>
                  </m:e>
                </m:box>
              </m:e>
              <m:sub>
                <m:box>
                  <m:e>
                    <m:box>
                      <m:e>
                        <m:r>
                          <m:rPr>
                            <m:sty m:val="p"/>
                          </m:rPr>
                          <m:t>c</m:t>
                        </m:r>
                        <m:r>
                          <m:rPr>
                            <m:sty m:val="p"/>
                          </m:rPr>
                          <m:t>o</m:t>
                        </m:r>
                        <m:r>
                          <m:rPr>
                            <m:sty m:val="p"/>
                          </m:rPr>
                          <m:t>n</m:t>
                        </m:r>
                        <m:r>
                          <m:rPr>
                            <m:sty m:val="p"/>
                          </m:rPr>
                          <m:t>s</m:t>
                        </m:r>
                      </m:e>
                    </m:box>
                  </m:e>
                </m:box>
              </m:sub>
            </m:sSub>
            <m:r>
              <m:rPr>
                <m:sty m:val="p"/>
              </m:rPr>
              <m:t>(</m:t>
            </m:r>
            <m:r>
              <m:rPr>
                <m:sty m:val="i"/>
              </m:rPr>
              <m:t>t</m:t>
            </m:r>
            <m:r>
              <m:rPr>
                <m:sty m:val="p"/>
              </m:rPr>
              <m:t>)</m:t>
            </m:r>
            <m:r>
              <m:rPr>
                <m:sty m:val="p"/>
              </m:rPr>
              <m:t>)</m:t>
            </m:r>
          </m:e>
        </m:box>
      </m:oMath>
      <w:r>
        <w:rPr>
          <w:rFonts w:ascii="HY신명조" w:hAnsi="HY신명조" w:eastAsia="HY신명조"/>
          <w:b w:val="0"/>
          <w:sz w:val="22"/>
        </w:rPr>
        <w:tab/>
        <w:t>(3.6)</w:t>
      </w:r>
    </w:p>
    <w:p>
      <w:pPr>
        <w:spacing w:line="348" w:lineRule="auto" w:before="0" w:after="0"/>
        <w:ind w:firstLine="330"/>
        <w:jc w:val="both"/>
      </w:pPr>
      <w:r>
        <w:rPr>
          <w:rFonts w:ascii="HY신명조" w:hAnsi="HY신명조" w:eastAsia="HY신명조"/>
          <w:b w:val="0"/>
          <w:sz w:val="22"/>
        </w:rPr>
        <w:t>The τ_detect(t) of Eq. (3.6) is used as the decay constant of Eq. (3.1) (τ_fresh is the nominal default); as TTC shortens the decay tightens, conservatively strengthening the detection criterion. TTC_cons is the minimum of nearest-obstacle TTC and planned-path/predicted-path crossing time, with a fail-conservative hold that decays the TTC lower bound using the last observed closing speed when the TTC source sensor is unhealthy.</w:t>
      </w:r>
    </w:p>
    <w:p>
      <w:pPr>
        <w:spacing w:line="348" w:lineRule="auto" w:before="0" w:after="0"/>
        <w:ind w:firstLine="330"/>
        <w:jc w:val="both"/>
      </w:pPr>
      <w:r>
        <w:rPr>
          <w:rFonts w:ascii="HY신명조" w:hAnsi="HY신명조" w:eastAsia="HY신명조"/>
          <w:b w:val="0"/>
          <w:sz w:val="22"/>
        </w:rPr>
        <w:t>We clarify the relation to the formal time-budget form. The design intent is</w:t>
      </w:r>
    </w:p>
    <w:p>
      <w:pPr>
        <w:tabs>
          <w:tab w:pos="4110" w:val="center"/>
          <w:tab w:pos="8220" w:val="right"/>
        </w:tabs>
        <w:spacing w:line="348" w:lineRule="auto"/>
      </w:pPr>
      <w:r>
        <w:rPr>
          <w:rFonts w:ascii="HY신명조" w:hAnsi="HY신명조" w:eastAsia="HY신명조"/>
          <w:b w:val="0"/>
          <w:sz w:val="22"/>
        </w:rPr>
        <w:tab/>
      </w:r>
      <m:oMath>
        <m:box>
          <m:e>
            <m:sSub>
              <m:e>
                <m:r>
                  <m:rPr>
                    <m:sty m:val="i"/>
                  </m:rPr>
                  <m:t>T</m:t>
                </m:r>
              </m:e>
              <m:sub>
                <m:box>
                  <m:e>
                    <m:box>
                      <m:e>
                        <m:r>
                          <m:rPr>
                            <m:sty m:val="p"/>
                          </m:rPr>
                          <m:t>d</m:t>
                        </m:r>
                        <m:r>
                          <m:rPr>
                            <m:sty m:val="p"/>
                          </m:rPr>
                          <m:t>e</m:t>
                        </m:r>
                        <m:r>
                          <m:rPr>
                            <m:sty m:val="p"/>
                          </m:rPr>
                          <m:t>t</m:t>
                        </m:r>
                        <m:r>
                          <m:rPr>
                            <m:sty m:val="p"/>
                          </m:rPr>
                          <m:t>e</m:t>
                        </m:r>
                        <m:r>
                          <m:rPr>
                            <m:sty m:val="p"/>
                          </m:rPr>
                          <m:t>c</m:t>
                        </m:r>
                        <m:r>
                          <m:rPr>
                            <m:sty m:val="p"/>
                          </m:rPr>
                          <m:t>t</m:t>
                        </m:r>
                      </m:e>
                    </m:box>
                  </m:e>
                </m:box>
              </m:sub>
            </m:sSub>
            <m:r>
              <m:rPr>
                <m:sty m:val="p"/>
              </m:rPr>
              <m:t>+</m:t>
            </m:r>
            <m:sSub>
              <m:e>
                <m:r>
                  <m:rPr>
                    <m:sty m:val="i"/>
                  </m:rPr>
                  <m:t>T</m:t>
                </m:r>
              </m:e>
              <m:sub>
                <m:box>
                  <m:e>
                    <m:box>
                      <m:e>
                        <m:r>
                          <m:rPr>
                            <m:sty m:val="p"/>
                          </m:rPr>
                          <m:t>r</m:t>
                        </m:r>
                        <m:r>
                          <m:rPr>
                            <m:sty m:val="p"/>
                          </m:rPr>
                          <m:t>e</m:t>
                        </m:r>
                        <m:r>
                          <m:rPr>
                            <m:sty m:val="p"/>
                          </m:rPr>
                          <m:t>s</m:t>
                        </m:r>
                        <m:r>
                          <m:rPr>
                            <m:sty m:val="p"/>
                          </m:rPr>
                          <m:t>p</m:t>
                        </m:r>
                        <m:r>
                          <m:rPr>
                            <m:sty m:val="p"/>
                          </m:rPr>
                          <m:t>o</m:t>
                        </m:r>
                        <m:r>
                          <m:rPr>
                            <m:sty m:val="p"/>
                          </m:rPr>
                          <m:t>n</m:t>
                        </m:r>
                        <m:r>
                          <m:rPr>
                            <m:sty m:val="p"/>
                          </m:rPr>
                          <m:t>s</m:t>
                        </m:r>
                        <m:r>
                          <m:rPr>
                            <m:sty m:val="p"/>
                          </m:rPr>
                          <m:t>e</m:t>
                        </m:r>
                      </m:e>
                    </m:box>
                  </m:e>
                </m:box>
              </m:sub>
            </m:sSub>
            <m:r>
              <m:rPr>
                <m:sty m:val="p"/>
              </m:rPr>
              <m:t>+</m:t>
            </m:r>
            <m:sSub>
              <m:e>
                <m:r>
                  <m:rPr>
                    <m:sty m:val="i"/>
                  </m:rPr>
                  <m:t>T</m:t>
                </m:r>
              </m:e>
              <m:sub>
                <m:box>
                  <m:e>
                    <m:box>
                      <m:e>
                        <m:r>
                          <m:rPr>
                            <m:sty m:val="p"/>
                          </m:rPr>
                          <m:t>m</m:t>
                        </m:r>
                        <m:r>
                          <m:rPr>
                            <m:sty m:val="p"/>
                          </m:rPr>
                          <m:t>a</m:t>
                        </m:r>
                        <m:r>
                          <m:rPr>
                            <m:sty m:val="p"/>
                          </m:rPr>
                          <m:t>r</m:t>
                        </m:r>
                        <m:r>
                          <m:rPr>
                            <m:sty m:val="p"/>
                          </m:rPr>
                          <m:t>g</m:t>
                        </m:r>
                        <m:r>
                          <m:rPr>
                            <m:sty m:val="p"/>
                          </m:rPr>
                          <m:t>i</m:t>
                        </m:r>
                        <m:r>
                          <m:rPr>
                            <m:sty m:val="p"/>
                          </m:rPr>
                          <m:t>n</m:t>
                        </m:r>
                      </m:e>
                    </m:box>
                  </m:e>
                </m:box>
              </m:sub>
            </m:sSub>
            <m:r>
              <m:rPr>
                <m:sty m:val="p"/>
              </m:rPr>
              <m:t>≤</m:t>
            </m:r>
            <m:sSub>
              <m:e>
                <m:r>
                  <m:rPr>
                    <m:sty m:val="i"/>
                  </m:rPr>
                  <m:t>T</m:t>
                </m:r>
              </m:e>
              <m:sub>
                <m:box>
                  <m:e>
                    <m:box>
                      <m:e>
                        <m:r>
                          <m:rPr>
                            <m:sty m:val="p"/>
                          </m:rPr>
                          <m:t>h</m:t>
                        </m:r>
                        <m:r>
                          <m:rPr>
                            <m:sty m:val="p"/>
                          </m:rPr>
                          <m:t>a</m:t>
                        </m:r>
                        <m:r>
                          <m:rPr>
                            <m:sty m:val="p"/>
                          </m:rPr>
                          <m:t>z</m:t>
                        </m:r>
                        <m:r>
                          <m:rPr>
                            <m:sty m:val="p"/>
                          </m:rPr>
                          <m:t>a</m:t>
                        </m:r>
                        <m:r>
                          <m:rPr>
                            <m:sty m:val="p"/>
                          </m:rPr>
                          <m:t>r</m:t>
                        </m:r>
                        <m:r>
                          <m:rPr>
                            <m:sty m:val="p"/>
                          </m:rPr>
                          <m:t>d</m:t>
                        </m:r>
                      </m:e>
                    </m:box>
                  </m:e>
                </m:box>
              </m:sub>
            </m:sSub>
          </m:e>
        </m:box>
      </m:oMath>
      <w:r>
        <w:rPr>
          <w:rFonts w:ascii="HY신명조" w:hAnsi="HY신명조" w:eastAsia="HY신명조"/>
          <w:b w:val="0"/>
          <w:sz w:val="22"/>
        </w:rPr>
        <w:tab/>
        <w:t>(3.7)</w:t>
      </w:r>
    </w:p>
    <w:p>
      <w:pPr>
        <w:spacing w:line="348" w:lineRule="auto" w:before="0" w:after="0"/>
        <w:ind w:firstLine="330"/>
        <w:jc w:val="both"/>
      </w:pPr>
      <w:r>
        <w:rPr>
          <w:rFonts w:ascii="HY신명조" w:hAnsi="HY신명조" w:eastAsia="HY신명조"/>
          <w:b w:val="0"/>
          <w:sz w:val="22"/>
        </w:rPr>
        <w:t>and, approximating T_hazard by the conservative TTC estimate, the strict detection deadline is TTC_cons − FRTI − margin. The current implementation is a risk-adaptive heuristic approximation that strengthens freshness decay as TTC shortens, rather than explicitly reserving FRTI and margin, and does not guarantee formal deadline compliance (explicit reservation and verification are future work — Section 6.6). Since degradation-fault detection is an accumulation of statistical evidence, the requirement is formalized as a severity curve T_detect(σ) ≤ T_hazard(σ): small faults are caught later but become hazardous later.</w:t>
      </w:r>
    </w:p>
    <w:p>
      <w:pPr>
        <w:keepNext/>
        <w:spacing w:line="240" w:lineRule="auto"/>
        <w:jc w:val="center"/>
      </w:pPr>
      <w:r>
        <w:drawing>
          <wp:inline xmlns:a="http://schemas.openxmlformats.org/drawingml/2006/main" xmlns:pic="http://schemas.openxmlformats.org/drawingml/2006/picture">
            <wp:extent cx="3600000" cy="1616438"/>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3600000" cy="1616438"/>
                    </a:xfrm>
                    <a:prstGeom prst="rect"/>
                  </pic:spPr>
                </pic:pic>
              </a:graphicData>
            </a:graphic>
          </wp:inline>
        </w:drawing>
      </w:r>
    </w:p>
    <w:p>
      <w:pPr>
        <w:keepLines/>
        <w:spacing w:line="312" w:lineRule="auto" w:before="0" w:after="0"/>
      </w:pPr>
      <w:r>
        <w:rPr>
          <w:rFonts w:ascii="HY신명조" w:hAnsi="HY신명조" w:eastAsia="HY신명조"/>
          <w:b/>
          <w:sz w:val="22"/>
        </w:rPr>
        <w:t>Figure 3.2. Behavior-tree structure of the monitoring module. The root Sequence executes state-subscription Parallel, driving-state update, detection-budget computation (Eq. 3.6), per-sensor inspection Parallel, and score publishing on every 10 Hz tick. PublishScores maps sensor scores (freshness × quality) to eight sectors, fuses them as 1−Π(1−s), and computes capability scores by weighted sum, publishing to /monitor/scores and /diagnostics (Eqs. 3.3, 3.4). Per-leaf quality-channel details follow Section 3.2.</w:t>
      </w:r>
    </w:p>
    <w:p>
      <w:pPr>
        <w:spacing w:line="348" w:lineRule="auto" w:before="0" w:after="0"/>
      </w:pPr>
    </w:p>
    <w:p>
      <w:pPr>
        <w:spacing w:line="348" w:lineRule="auto" w:before="0" w:after="0"/>
      </w:pPr>
    </w:p>
    <w:p>
      <w:pPr>
        <w:keepNext/>
        <w:spacing w:line="348" w:lineRule="auto" w:before="0" w:after="0"/>
      </w:pPr>
      <w:r>
        <w:rPr>
          <w:rFonts w:ascii="HY신명조" w:hAnsi="HY신명조" w:eastAsia="HY신명조"/>
          <w:b/>
          <w:sz w:val="28"/>
        </w:rPr>
        <w:t>3.5 MRM Supervisor</w:t>
      </w:r>
    </w:p>
    <w:p>
      <w:pPr>
        <w:spacing w:line="348" w:lineRule="auto" w:before="0" w:after="0"/>
      </w:pPr>
    </w:p>
    <w:p>
      <w:pPr>
        <w:spacing w:line="348" w:lineRule="auto" w:before="0" w:after="0"/>
        <w:ind w:firstLine="330"/>
        <w:jc w:val="both"/>
      </w:pPr>
      <w:r>
        <w:rPr>
          <w:rFonts w:ascii="HY신명조" w:hAnsi="HY신명조" w:eastAsia="HY신명조"/>
          <w:b w:val="0"/>
          <w:sz w:val="22"/>
        </w:rPr>
        <w:t>The supervisor switches its response by dual thresholds on health (upper 0.7, lower 0.3) (Figure 3.3): falling below the upper threshold triggers evacuation movement (MRM_MOVE), completion triggers evacuation parking (MRM_PARKED), and the floor or a localization-confidence collapse triggers deferral to the stock stop (MRM_DEFER). Safeguards against false activation include a post-boot health check, a route-change non-response watchdog, a candidate-stagnation blacklist, and a creep guard. Selection is not frozen while moving — sustained rear occupancy during a parking approach (within 10 m for 20 s) penalizes reversing parking candidates and demotes to a shoulder stop; stalls and non-responses get bounded retries; candidate exhaustion or an en-route health collapse falls back to DEFER (Figure 3.1).</w:t>
      </w:r>
    </w:p>
    <w:p>
      <w:pPr>
        <w:keepNext/>
        <w:spacing w:line="240" w:lineRule="auto"/>
        <w:jc w:val="center"/>
      </w:pPr>
      <w:r>
        <w:drawing>
          <wp:inline xmlns:a="http://schemas.openxmlformats.org/drawingml/2006/main" xmlns:pic="http://schemas.openxmlformats.org/drawingml/2006/picture">
            <wp:extent cx="3780000" cy="1076525"/>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3780000" cy="1076525"/>
                    </a:xfrm>
                    <a:prstGeom prst="rect"/>
                  </pic:spPr>
                </pic:pic>
              </a:graphicData>
            </a:graphic>
          </wp:inline>
        </w:drawing>
      </w:r>
    </w:p>
    <w:p>
      <w:pPr>
        <w:keepLines/>
        <w:spacing w:line="312" w:lineRule="auto" w:before="0" w:after="0"/>
      </w:pPr>
      <w:r>
        <w:rPr>
          <w:rFonts w:ascii="HY신명조" w:hAnsi="HY신명조" w:eastAsia="HY신명조"/>
          <w:b/>
          <w:sz w:val="22"/>
        </w:rPr>
        <w:t>Figure 3.3. MRM selection policy matrix by monitoring state. The dual thresholds separate NORMAL, DEGRADED, and CRITICAL; ● selection by cost order, ○ fallback on movement failure, × non-selection. A dead sensor goes directly to the degraded stage regardless of thresholds, and with no reachable candidate the state demotes to critical and defers to the stock stop.</w:t>
      </w:r>
    </w:p>
    <w:p>
      <w:pPr>
        <w:spacing w:line="348" w:lineRule="auto" w:before="0" w:after="0"/>
      </w:pPr>
    </w:p>
    <w:p>
      <w:pPr>
        <w:spacing w:line="348" w:lineRule="auto" w:before="0" w:after="0"/>
        <w:ind w:firstLine="330"/>
        <w:jc w:val="both"/>
      </w:pPr>
      <w:r>
        <w:rPr>
          <w:rFonts w:ascii="HY신명조" w:hAnsi="HY신명조" w:eastAsia="HY신명조"/>
          <w:b w:val="0"/>
          <w:sz w:val="22"/>
        </w:rPr>
        <w:t>The dual thresholds serve chattering prevention and grade separation; the decay constants were designed so that a wide insensitive gap lies between faulted and normal scores, so behavior is determined by the three-band structure rather than precise threshold placement.</w:t>
      </w:r>
    </w:p>
    <w:p>
      <w:pPr>
        <w:spacing w:line="348" w:lineRule="auto" w:before="0" w:after="0"/>
        <w:ind w:firstLine="330"/>
        <w:jc w:val="both"/>
      </w:pPr>
      <w:r>
        <w:rPr>
          <w:rFonts w:ascii="HY신명조" w:hAnsi="HY신명조" w:eastAsia="HY신명조"/>
          <w:b w:val="0"/>
          <w:sz w:val="22"/>
        </w:rPr>
        <w:t>The timing rules split by the nature of the evidence. Degradation (noise) faults are statistical evidence and require sustained confirmation: 1.0 s for band entry, 2.0 s at the floor (deferral is an irreversible terminal decision), and a 5.0 s recovery grace when localization confidence falls short of the movement minimum (0.5) — preventing terminal decisions on transient dips deeper than the settled value (measured 0.44 vs settled 0.58); varying the grace over 0.5-5.0 s left results unchanged (gn-mid, 10 repetitions per condition). Hard fails (confirmed death past the 850 ms freshness deadline), whose persistence of silence is itself accumulated evidence, skip these confirmations: with at least one live sensor remaining (simultaneous all-sensor silence is excluded as a frame-freeze artifact), band confirmation is skipped, and unrecoverable conditions defer immediately without grace or retry. Candidate route costs are precomputed during normal driving, removing selection latency at decision time; hard-fail decisions thus complete within the 1.5 s deadline (Section 5.7).</w:t>
      </w:r>
    </w:p>
    <w:p>
      <w:pPr>
        <w:spacing w:line="348" w:lineRule="auto" w:before="0" w:after="0"/>
        <w:ind w:firstLine="330"/>
        <w:jc w:val="both"/>
      </w:pPr>
      <w:r>
        <w:rPr>
          <w:rFonts w:ascii="HY신명조" w:hAnsi="HY신명조" w:eastAsia="HY신명조"/>
          <w:b w:val="0"/>
          <w:sz w:val="22"/>
        </w:rPr>
        <w:t>Refuge selection minimizes the cost (candidate layout in Figure 3.4):</w:t>
      </w:r>
    </w:p>
    <w:p>
      <w:pPr>
        <w:tabs>
          <w:tab w:pos="4110" w:val="center"/>
          <w:tab w:pos="8220" w:val="right"/>
        </w:tabs>
        <w:spacing w:line="348" w:lineRule="auto"/>
      </w:pPr>
      <w:r>
        <w:rPr>
          <w:rFonts w:ascii="HY신명조" w:hAnsi="HY신명조" w:eastAsia="HY신명조"/>
          <w:b w:val="0"/>
          <w:sz w:val="22"/>
        </w:rPr>
        <w:tab/>
      </w:r>
      <m:oMath>
        <m:box>
          <m:e>
            <m:r>
              <m:rPr>
                <m:sty m:val="i"/>
              </m:rPr>
              <m:t>J</m:t>
            </m:r>
            <m:r>
              <m:rPr>
                <m:sty m:val="p"/>
              </m:rPr>
              <m:t>(</m:t>
            </m:r>
            <m:r>
              <m:rPr>
                <m:sty m:val="i"/>
              </m:rPr>
              <m:t>c</m:t>
            </m:r>
            <m:r>
              <m:rPr>
                <m:sty m:val="p"/>
              </m:rPr>
              <m:t>)</m:t>
            </m:r>
            <m:r>
              <m:rPr>
                <m:sty m:val="p"/>
              </m:rPr>
              <m:t>=</m:t>
            </m:r>
            <m:sSub>
              <m:e>
                <m:r>
                  <m:rPr>
                    <m:sty m:val="i"/>
                  </m:rPr>
                  <m:t>w</m:t>
                </m:r>
              </m:e>
              <m:sub>
                <m:r>
                  <m:rPr>
                    <m:sty m:val="i"/>
                  </m:rPr>
                  <m:t>t</m:t>
                </m:r>
              </m:sub>
            </m:sSub>
            <m:r>
              <m:t/>
            </m:r>
            <m:r>
              <m:rPr>
                <m:sty m:val="i"/>
              </m:rPr>
              <m:t>η</m:t>
            </m:r>
            <m:r>
              <m:rPr>
                <m:sty m:val="p"/>
              </m:rPr>
              <m:t>(</m:t>
            </m:r>
            <m:r>
              <m:rPr>
                <m:sty m:val="i"/>
              </m:rPr>
              <m:t>c</m:t>
            </m:r>
            <m:r>
              <m:rPr>
                <m:sty m:val="p"/>
              </m:rPr>
              <m:t>)</m:t>
            </m:r>
            <m:r>
              <m:rPr>
                <m:sty m:val="p"/>
              </m:rPr>
              <m:t>+</m:t>
            </m:r>
            <m:sSub>
              <m:e>
                <m:r>
                  <m:rPr>
                    <m:sty m:val="i"/>
                  </m:rPr>
                  <m:t>w</m:t>
                </m:r>
              </m:e>
              <m:sub>
                <m:box>
                  <m:e>
                    <m:r>
                      <m:rPr>
                        <m:sty m:val="i"/>
                      </m:rPr>
                      <m:t>t</m:t>
                    </m:r>
                    <m:r>
                      <m:rPr>
                        <m:sty m:val="i"/>
                      </m:rPr>
                      <m:t>l</m:t>
                    </m:r>
                  </m:e>
                </m:box>
              </m:sub>
            </m:sSub>
            <m:r>
              <m:t/>
            </m:r>
            <m:sSub>
              <m:e>
                <m:r>
                  <m:rPr>
                    <m:sty m:val="i"/>
                  </m:rPr>
                  <m:t>n</m:t>
                </m:r>
              </m:e>
              <m:sub>
                <m:box>
                  <m:e>
                    <m:r>
                      <m:rPr>
                        <m:sty m:val="i"/>
                      </m:rPr>
                      <m:t>t</m:t>
                    </m:r>
                    <m:r>
                      <m:rPr>
                        <m:sty m:val="i"/>
                      </m:rPr>
                      <m:t>l</m:t>
                    </m:r>
                  </m:e>
                </m:box>
              </m:sub>
            </m:sSub>
            <m:r>
              <m:rPr>
                <m:sty m:val="p"/>
              </m:rPr>
              <m:t>(</m:t>
            </m:r>
            <m:r>
              <m:rPr>
                <m:sty m:val="i"/>
              </m:rPr>
              <m:t>c</m:t>
            </m:r>
            <m:r>
              <m:rPr>
                <m:sty m:val="p"/>
              </m:rPr>
              <m:t>)</m:t>
            </m:r>
            <m:r>
              <m:t/>
            </m:r>
            <m:r>
              <m:rPr>
                <m:sty m:val="i"/>
              </m:rPr>
              <m:t>g</m:t>
            </m:r>
            <m:r>
              <m:rPr>
                <m:sty m:val="p"/>
              </m:rPr>
              <m:t>(</m:t>
            </m:r>
            <m:r>
              <m:rPr>
                <m:sty m:val="i"/>
              </m:rPr>
              <m:t>t</m:t>
            </m:r>
            <m:r>
              <m:rPr>
                <m:sty m:val="i"/>
              </m:rPr>
              <m:t>l</m:t>
            </m:r>
            <m:r>
              <m:rPr>
                <m:sty m:val="p"/>
              </m:rPr>
              <m:t>)</m:t>
            </m:r>
            <m:r>
              <m:rPr>
                <m:sty m:val="p"/>
              </m:rPr>
              <m:t>+</m:t>
            </m:r>
            <m:sSub>
              <m:e>
                <m:r>
                  <m:rPr>
                    <m:sty m:val="i"/>
                  </m:rPr>
                  <m:t>w</m:t>
                </m:r>
              </m:e>
              <m:sub>
                <m:box>
                  <m:e>
                    <m:r>
                      <m:rPr>
                        <m:sty m:val="i"/>
                      </m:rPr>
                      <m:t>s</m:t>
                    </m:r>
                    <m:r>
                      <m:rPr>
                        <m:sty m:val="i"/>
                      </m:rPr>
                      <m:t>e</m:t>
                    </m:r>
                    <m:r>
                      <m:rPr>
                        <m:sty m:val="i"/>
                      </m:rPr>
                      <m:t>c</m:t>
                    </m:r>
                  </m:e>
                </m:box>
              </m:sub>
            </m:sSub>
            <m:r>
              <m:rPr>
                <m:sty m:val="p"/>
              </m:rPr>
              <m:t>∑</m:t>
            </m:r>
            <m:r>
              <m:rPr>
                <m:sty m:val="p"/>
              </m:rPr>
              <m:t>(</m:t>
            </m:r>
            <m:r>
              <m:rPr>
                <m:sty m:val="p"/>
              </m:rPr>
              <m:t>1</m:t>
            </m:r>
            <m:r>
              <m:rPr>
                <m:sty m:val="p"/>
              </m:rPr>
              <m:t>−</m:t>
            </m:r>
            <m:sSub>
              <m:e>
                <m:box>
                  <m:e>
                    <m:r>
                      <m:rPr>
                        <m:sty m:val="p"/>
                      </m:rPr>
                      <m:t>s</m:t>
                    </m:r>
                    <m:r>
                      <m:rPr>
                        <m:sty m:val="p"/>
                      </m:rPr>
                      <m:t>e</m:t>
                    </m:r>
                    <m:r>
                      <m:rPr>
                        <m:sty m:val="p"/>
                      </m:rPr>
                      <m:t>c</m:t>
                    </m:r>
                    <m:r>
                      <m:rPr>
                        <m:sty m:val="p"/>
                      </m:rPr>
                      <m:t>t</m:t>
                    </m:r>
                    <m:r>
                      <m:rPr>
                        <m:sty m:val="p"/>
                      </m:rPr>
                      <m:t>o</m:t>
                    </m:r>
                    <m:r>
                      <m:rPr>
                        <m:sty m:val="p"/>
                      </m:rPr>
                      <m:t>r</m:t>
                    </m:r>
                  </m:e>
                </m:box>
              </m:e>
              <m:sub>
                <m:box>
                  <m:e>
                    <m:box>
                      <m:e>
                        <m:r>
                          <m:rPr>
                            <m:sty m:val="p"/>
                          </m:rPr>
                          <m:t>r</m:t>
                        </m:r>
                        <m:r>
                          <m:rPr>
                            <m:sty m:val="p"/>
                          </m:rPr>
                          <m:t>e</m:t>
                        </m:r>
                        <m:r>
                          <m:rPr>
                            <m:sty m:val="p"/>
                          </m:rPr>
                          <m:t>q</m:t>
                        </m:r>
                      </m:e>
                    </m:box>
                  </m:e>
                </m:box>
              </m:sub>
            </m:sSub>
            <m:r>
              <m:rPr>
                <m:sty m:val="p"/>
              </m:rPr>
              <m:t>)</m:t>
            </m:r>
            <m:r>
              <m:rPr>
                <m:sty m:val="p"/>
              </m:rPr>
              <m:t>+</m:t>
            </m:r>
            <m:sSub>
              <m:e>
                <m:r>
                  <m:rPr>
                    <m:sty m:val="i"/>
                  </m:rPr>
                  <m:t>w</m:t>
                </m:r>
              </m:e>
              <m:sub>
                <m:box>
                  <m:e>
                    <m:r>
                      <m:rPr>
                        <m:sty m:val="i"/>
                      </m:rPr>
                      <m:t>l</m:t>
                    </m:r>
                    <m:r>
                      <m:rPr>
                        <m:sty m:val="i"/>
                      </m:rPr>
                      <m:t>o</m:t>
                    </m:r>
                    <m:r>
                      <m:rPr>
                        <m:sty m:val="i"/>
                      </m:rPr>
                      <m:t>c</m:t>
                    </m:r>
                  </m:e>
                </m:box>
              </m:sub>
            </m:sSub>
            <m:r>
              <m:t/>
            </m:r>
            <m:r>
              <m:rPr>
                <m:sty m:val="i"/>
              </m:rPr>
              <m:t>η</m:t>
            </m:r>
            <m:r>
              <m:rPr>
                <m:sty m:val="p"/>
              </m:rPr>
              <m:t>(</m:t>
            </m:r>
            <m:r>
              <m:rPr>
                <m:sty m:val="i"/>
              </m:rPr>
              <m:t>c</m:t>
            </m:r>
            <m:r>
              <m:rPr>
                <m:sty m:val="p"/>
              </m:rPr>
              <m:t>)</m:t>
            </m:r>
            <m:r>
              <m:t/>
            </m:r>
            <m:r>
              <m:rPr>
                <m:sty m:val="p"/>
              </m:rPr>
              <m:t>(</m:t>
            </m:r>
            <m:r>
              <m:rPr>
                <m:sty m:val="p"/>
              </m:rPr>
              <m:t>1</m:t>
            </m:r>
            <m:r>
              <m:rPr>
                <m:sty m:val="p"/>
              </m:rPr>
              <m:t>−</m:t>
            </m:r>
            <m:box>
              <m:e>
                <m:r>
                  <m:rPr>
                    <m:sty m:val="p"/>
                  </m:rPr>
                  <m:t>l</m:t>
                </m:r>
                <m:r>
                  <m:rPr>
                    <m:sty m:val="p"/>
                  </m:rPr>
                  <m:t>o</m:t>
                </m:r>
                <m:r>
                  <m:rPr>
                    <m:sty m:val="p"/>
                  </m:rPr>
                  <m:t>c</m:t>
                </m:r>
              </m:e>
            </m:box>
            <m:r>
              <m:rPr>
                <m:sty m:val="p"/>
              </m:rPr>
              <m:t>)</m:t>
            </m:r>
          </m:e>
        </m:box>
      </m:oMath>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2700000" cy="2351613"/>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2700000" cy="2351613"/>
                    </a:xfrm>
                    <a:prstGeom prst="rect"/>
                  </pic:spPr>
                </pic:pic>
              </a:graphicData>
            </a:graphic>
          </wp:inline>
        </w:drawing>
      </w:r>
    </w:p>
    <w:p>
      <w:pPr>
        <w:keepLines/>
        <w:spacing w:line="312" w:lineRule="auto" w:before="0" w:after="0"/>
      </w:pPr>
      <w:r>
        <w:rPr>
          <w:rFonts w:ascii="HY신명조" w:hAnsi="HY신명조" w:eastAsia="HY신명조"/>
          <w:b/>
          <w:sz w:val="22"/>
        </w:rPr>
        <w:t>Figure 3.4. Town07 evacuation candidate map — 16 shoulder candidates (lanelet shapes), 4 parking-lot candidates (polygons), and the reference route (dashed). Candidate route costs are computed on an in-house road-network graph; signalized intersections are subject to the observability gate.</w:t>
      </w:r>
    </w:p>
    <w:p>
      <w:pPr>
        <w:spacing w:line="348" w:lineRule="auto" w:before="0" w:after="0"/>
      </w:pPr>
    </w:p>
    <w:p>
      <w:pPr>
        <w:spacing w:line="348" w:lineRule="auto" w:before="0" w:after="0"/>
        <w:ind w:firstLine="330"/>
        <w:jc w:val="both"/>
      </w:pPr>
      <w:r>
        <w:rPr>
          <w:rFonts w:ascii="HY신명조" w:hAnsi="HY신명조" w:eastAsia="HY신명조"/>
          <w:b w:val="0"/>
          <w:sz w:val="22"/>
        </w:rPr>
        <w:t>η(c) is the degraded-state exposure time (route time + expected wait per signal), g(tl) the traffic-light observability penalty (1/cap_tl − 1), sector_req the sector scores required to approach the candidate, and loc the localization confidence — the ISO 26262 view that risk accumulates per unit time, not distance. Route times and signal counts are computed on an in-house road-network graph parsed directly from the lanelet2 map, keeping the decision layer outside the influence of main-stack faults (signals counted by clustering stop-line regulatory elements — the discovery and correction of an initial defect is reported in Section 4.3). The key safeguard is the traffic-light observability gate: a candidate whose route passes signals no healthy camera can observe is excluded with J = ∞ (the signal-state source is selected fault-aware). Hard constraints add a minimum approach distance and minimum shoulder length; no precise tuning of the absolute weights is claimed (discrimination is dominated by the gate and approach distance).</w:t>
      </w:r>
    </w:p>
    <w:p>
      <w:pPr>
        <w:spacing w:line="348" w:lineRule="auto" w:before="0" w:after="0"/>
      </w:pPr>
    </w:p>
    <w:p>
      <w:pPr>
        <w:keepNext/>
        <w:spacing w:line="348" w:lineRule="auto" w:before="0" w:after="0"/>
      </w:pPr>
      <w:r>
        <w:rPr>
          <w:rFonts w:ascii="HY신명조" w:hAnsi="HY신명조" w:eastAsia="HY신명조"/>
          <w:b/>
          <w:sz w:val="28"/>
        </w:rPr>
        <w:t>3.6 Remaining-Capability-Based Conservative Low-Speed MRM Movement (Speed Cap)</w:t>
      </w:r>
    </w:p>
    <w:p>
      <w:pPr>
        <w:spacing w:line="348" w:lineRule="auto" w:before="0" w:after="0"/>
      </w:pPr>
    </w:p>
    <w:p>
      <w:pPr>
        <w:spacing w:line="348" w:lineRule="auto" w:before="0" w:after="0"/>
        <w:ind w:firstLine="330"/>
        <w:jc w:val="both"/>
      </w:pPr>
      <w:r>
        <w:rPr>
          <w:rFonts w:ascii="HY신명조" w:hAnsi="HY신명조" w:eastAsia="HY신명조"/>
          <w:b w:val="0"/>
          <w:sz w:val="22"/>
        </w:rPr>
        <w:t>Evacuation is movement under degraded perception, so stopping capability against a dart-out matters more than in normal driving. For an obstacle appearing at forward distance D_avail while traveling at speed v, stopping without collision requires, for reaction time τ and deceleration a,</w:t>
      </w:r>
    </w:p>
    <w:p>
      <w:pPr>
        <w:tabs>
          <w:tab w:pos="4110" w:val="center"/>
          <w:tab w:pos="8220" w:val="right"/>
        </w:tabs>
        <w:spacing w:line="348" w:lineRule="auto"/>
      </w:pPr>
      <w:r>
        <w:rPr>
          <w:rFonts w:ascii="HY신명조" w:hAnsi="HY신명조" w:eastAsia="HY신명조"/>
          <w:b w:val="0"/>
          <w:sz w:val="22"/>
        </w:rPr>
        <w:tab/>
      </w:r>
      <m:oMath>
        <m:box>
          <m:e>
            <m:sSub>
              <m:e>
                <m:r>
                  <m:rPr>
                    <m:sty m:val="i"/>
                  </m:rPr>
                  <m:t>d</m:t>
                </m:r>
              </m:e>
              <m:sub>
                <m:box>
                  <m:e>
                    <m:box>
                      <m:e>
                        <m:r>
                          <m:rPr>
                            <m:sty m:val="p"/>
                          </m:rPr>
                          <m:t>s</m:t>
                        </m:r>
                        <m:r>
                          <m:rPr>
                            <m:sty m:val="p"/>
                          </m:rPr>
                          <m:t>a</m:t>
                        </m:r>
                        <m:r>
                          <m:rPr>
                            <m:sty m:val="p"/>
                          </m:rPr>
                          <m:t>f</m:t>
                        </m:r>
                        <m:r>
                          <m:rPr>
                            <m:sty m:val="p"/>
                          </m:rPr>
                          <m:t>e</m:t>
                        </m:r>
                      </m:e>
                    </m:box>
                  </m:e>
                </m:box>
              </m:sub>
            </m:sSub>
            <m:r>
              <m:rPr>
                <m:sty m:val="p"/>
              </m:rPr>
              <m:t>(</m:t>
            </m:r>
            <m:r>
              <m:rPr>
                <m:sty m:val="i"/>
              </m:rPr>
              <m:t>v</m:t>
            </m:r>
            <m:r>
              <m:rPr>
                <m:sty m:val="p"/>
              </m:rPr>
              <m:t>)</m:t>
            </m:r>
            <m:r>
              <m:rPr>
                <m:sty m:val="p"/>
              </m:rPr>
              <m:t>=</m:t>
            </m:r>
            <m:r>
              <m:rPr>
                <m:sty m:val="i"/>
              </m:rPr>
              <m:t>v</m:t>
            </m:r>
            <m:r>
              <m:rPr>
                <m:sty m:val="i"/>
              </m:rPr>
              <m:t>τ</m:t>
            </m:r>
            <m:r>
              <m:rPr>
                <m:sty m:val="p"/>
              </m:rPr>
              <m:t>+</m:t>
            </m:r>
            <m:f>
              <m:num>
                <m:box>
                  <m:e>
                    <m:sSup>
                      <m:e>
                        <m:r>
                          <m:rPr>
                            <m:sty m:val="i"/>
                          </m:rPr>
                          <m:t>v</m:t>
                        </m:r>
                      </m:e>
                      <m:sup>
                        <m:box>
                          <m:e>
                            <m:r>
                              <m:rPr>
                                <m:sty m:val="p"/>
                              </m:rPr>
                              <m:t>2</m:t>
                            </m:r>
                          </m:e>
                        </m:box>
                      </m:sup>
                    </m:sSup>
                  </m:e>
                </m:box>
              </m:num>
              <m:den>
                <m:box>
                  <m:e>
                    <m:r>
                      <m:rPr>
                        <m:sty m:val="p"/>
                      </m:rPr>
                      <m:t>2</m:t>
                    </m:r>
                    <m:r>
                      <m:rPr>
                        <m:sty m:val="i"/>
                      </m:rPr>
                      <m:t>a</m:t>
                    </m:r>
                  </m:e>
                </m:box>
              </m:den>
            </m:f>
            <m:r>
              <m:rPr>
                <m:sty m:val="p"/>
              </m:rPr>
              <m:t>+</m:t>
            </m:r>
            <m:sSub>
              <m:e>
                <m:r>
                  <m:rPr>
                    <m:sty m:val="i"/>
                  </m:rPr>
                  <m:t>d</m:t>
                </m:r>
              </m:e>
              <m:sub>
                <m:box>
                  <m:e>
                    <m:box>
                      <m:e>
                        <m:r>
                          <m:rPr>
                            <m:sty m:val="p"/>
                          </m:rPr>
                          <m:t>m</m:t>
                        </m:r>
                        <m:r>
                          <m:rPr>
                            <m:sty m:val="p"/>
                          </m:rPr>
                          <m:t>a</m:t>
                        </m:r>
                        <m:r>
                          <m:rPr>
                            <m:sty m:val="p"/>
                          </m:rPr>
                          <m:t>r</m:t>
                        </m:r>
                        <m:r>
                          <m:rPr>
                            <m:sty m:val="p"/>
                          </m:rPr>
                          <m:t>g</m:t>
                        </m:r>
                        <m:r>
                          <m:rPr>
                            <m:sty m:val="p"/>
                          </m:rPr>
                          <m:t>i</m:t>
                        </m:r>
                        <m:r>
                          <m:rPr>
                            <m:sty m:val="p"/>
                          </m:rPr>
                          <m:t>n</m:t>
                        </m:r>
                      </m:e>
                    </m:box>
                  </m:e>
                </m:box>
              </m:sub>
            </m:sSub>
            <m:r>
              <m:rPr>
                <m:sty m:val="p"/>
              </m:rPr>
              <m:t>≤</m:t>
            </m:r>
            <m:sSub>
              <m:e>
                <m:r>
                  <m:rPr>
                    <m:sty m:val="i"/>
                  </m:rPr>
                  <m:t>D</m:t>
                </m:r>
              </m:e>
              <m:sub>
                <m:box>
                  <m:e>
                    <m:box>
                      <m:e>
                        <m:r>
                          <m:rPr>
                            <m:sty m:val="p"/>
                          </m:rPr>
                          <m:t>a</m:t>
                        </m:r>
                        <m:r>
                          <m:rPr>
                            <m:sty m:val="p"/>
                          </m:rPr>
                          <m:t>v</m:t>
                        </m:r>
                        <m:r>
                          <m:rPr>
                            <m:sty m:val="p"/>
                          </m:rPr>
                          <m:t>a</m:t>
                        </m:r>
                        <m:r>
                          <m:rPr>
                            <m:sty m:val="p"/>
                          </m:rPr>
                          <m:t>i</m:t>
                        </m:r>
                        <m:r>
                          <m:rPr>
                            <m:sty m:val="p"/>
                          </m:rPr>
                          <m:t>l</m:t>
                        </m:r>
                      </m:e>
                    </m:box>
                  </m:e>
                </m:box>
              </m:sub>
            </m:sSub>
          </m:e>
        </m:box>
      </m:oMath>
      <w:r>
        <w:rPr>
          <w:rFonts w:ascii="HY신명조" w:hAnsi="HY신명조" w:eastAsia="HY신명조"/>
          <w:b w:val="0"/>
          <w:sz w:val="22"/>
        </w:rPr>
        <w:tab/>
        <w:t>(3.9)</w:t>
      </w:r>
    </w:p>
    <w:p>
      <w:pPr>
        <w:spacing w:line="348" w:lineRule="auto" w:before="0" w:after="0"/>
        <w:ind w:firstLine="330"/>
        <w:jc w:val="both"/>
      </w:pPr>
      <w:r>
        <w:rPr>
          <w:rFonts w:ascii="HY신명조" w:hAnsi="HY신명조" w:eastAsia="HY신명조"/>
          <w:b w:val="0"/>
          <w:sz w:val="22"/>
        </w:rPr>
        <w:t>Here τ≈1.5 s and a≈3.5 m/s² are not independently measured values but nominal lumped values calibrated to reproduce the measured ladder boundary (8-11 m); the formula is a design approximation for selecting the cap policy value, not a predictive safety model. In a dedicated braking experiment (fault-free stock, pedestrian at 14 m during 4.2 m/s cruise, n=5), braking onset lagged by 0.46±0.08 s with an effective deceleration of 2.87±0.20 m/s² — the onset delay is encounter-geometry-dependent (early precautionary braking under long preview vs an effective delay of ≈1.5 s in the 8 m near-boundary regime), so a single (τ, a) pair is a lumped approximation; agreement between the ladder boundary and the computed 8.8 m is a self-consistency check, not independent validation (Section 5.3). On entering MRM_MOVE the supervisor imposes a fixed 3.0 m/s cap on the planning layer, chosen in the band whose upper end is the model-inverted cap that still stops within an 8 m dart-out (≈3.9 m/s) and whose lower end is the requirement that evacuation completion time stay bounded; no optimization within the band was performed. The cap is delivered to the input side of the Autoware velocity-limit arbiter, and delivery is verified by measured vehicle speed rather than publish records — an interface mismatch that silently dropped the cap in earlier campaign runs was discovered exactly this way and corrected; the effect under an actually holding cap is verified in Section 5.6 (a health-proportional cap is implemented but unused — Table 4.3).</w:t>
      </w:r>
    </w:p>
    <w:p>
      <w:pPr>
        <w:spacing w:line="348" w:lineRule="auto" w:before="0" w:after="0"/>
      </w:pPr>
    </w:p>
    <w:p>
      <w:pPr>
        <w:keepNext/>
        <w:spacing w:line="348" w:lineRule="auto" w:before="0" w:after="0"/>
      </w:pPr>
      <w:r>
        <w:rPr>
          <w:rFonts w:ascii="HY신명조" w:hAnsi="HY신명조" w:eastAsia="HY신명조"/>
          <w:b/>
          <w:sz w:val="28"/>
        </w:rPr>
        <w:t>3.7 MRM Candidate Map Annotation</w:t>
      </w:r>
    </w:p>
    <w:p>
      <w:pPr>
        <w:spacing w:line="348" w:lineRule="auto" w:before="0" w:after="0"/>
      </w:pPr>
    </w:p>
    <w:p>
      <w:pPr>
        <w:spacing w:line="348" w:lineRule="auto" w:before="0" w:after="0"/>
        <w:ind w:firstLine="330"/>
        <w:jc w:val="both"/>
      </w:pPr>
      <w:r>
        <w:rPr>
          <w:rFonts w:ascii="HY신명조" w:hAnsi="HY신명조" w:eastAsia="HY신명조"/>
          <w:b w:val="0"/>
          <w:sz w:val="22"/>
        </w:rPr>
        <w:t>The refuge candidate layer (shoulders, parking lots) was built by manual annotation of road_shoulder/parking_lot subtypes on the lanelet2 map (criteria: minimum shoulder length to complete the maneuver, mainline connectivity, entry-polygon/goal consistency). Shoulder candidates are lanelets sharing a boundary with the mainline; parking-lot candidates are closed polygons; manual annotation limits the verification scope to the annotated segments (Chapter 6).</w:t>
      </w:r>
    </w:p>
    <w:p>
      <w:pPr>
        <w:spacing w:line="348" w:lineRule="auto" w:before="0" w:after="0"/>
      </w:pPr>
    </w:p>
    <w:p>
      <w:pPr>
        <w:keepNext/>
        <w:spacing w:line="348" w:lineRule="auto" w:before="0" w:after="0"/>
      </w:pPr>
      <w:r>
        <w:rPr>
          <w:rFonts w:ascii="HY신명조" w:hAnsi="HY신명조" w:eastAsia="HY신명조"/>
          <w:b/>
          <w:sz w:val="28"/>
        </w:rPr>
        <w:t>3.8 Boundary and Interface with the Execution Layer</w:t>
      </w:r>
    </w:p>
    <w:p>
      <w:pPr>
        <w:spacing w:line="348" w:lineRule="auto" w:before="0" w:after="0"/>
      </w:pPr>
    </w:p>
    <w:p>
      <w:pPr>
        <w:spacing w:line="348" w:lineRule="auto" w:before="0" w:after="0"/>
        <w:ind w:firstLine="330"/>
        <w:jc w:val="both"/>
      </w:pPr>
      <w:r>
        <w:rPr>
          <w:rFonts w:ascii="HY신명조" w:hAnsi="HY신명조" w:eastAsia="HY신명조"/>
          <w:b w:val="0"/>
          <w:sz w:val="22"/>
        </w:rPr>
        <w:t>The system's responsibility covers detection, decision, candidate selection, and the speed cap ("whether to evacuate, where, when, how fast"), delegating stopping-maneuver execution to Autoware. In MRM_MOVE the evacuation goal is delivered via AD API route resetting, executed by mission_planner replanning and the goal_planner pull-over (the shoulder-entry maneuver is a stock capability, unmodified in this work); in MRM_DEFER an ERROR is injected into the diagnostic graph to trigger the stock mrm_handler stop (a boundary separating decision from execution).</w:t>
      </w:r>
    </w:p>
    <w:p>
      <w:pPr>
        <w:spacing w:line="348" w:lineRule="auto" w:before="0" w:after="0"/>
        <w:jc w:val="center"/>
      </w:pPr>
      <w:r>
        <w:rPr>
          <w:rFonts w:ascii="HY신명조" w:hAnsi="HY신명조" w:eastAsia="HY신명조"/>
          <w:b/>
          <w:sz w:val="32"/>
        </w:rPr>
        <w:br w:type="page"/>
      </w:r>
      <w:r>
        <w:rPr>
          <w:rFonts w:ascii="HY신명조" w:hAnsi="HY신명조" w:eastAsia="HY신명조"/>
          <w:b/>
          <w:sz w:val="32"/>
        </w:rPr>
        <w:t>Chapter 4. Experimental Environment and Design</w:t>
      </w:r>
    </w:p>
    <w:p>
      <w:pPr>
        <w:spacing w:line="348" w:lineRule="auto" w:before="0" w:after="0"/>
      </w:pPr>
    </w:p>
    <w:p>
      <w:pPr>
        <w:spacing w:line="348" w:lineRule="auto" w:before="0" w:after="0"/>
      </w:pPr>
    </w:p>
    <w:p>
      <w:pPr>
        <w:keepNext/>
        <w:spacing w:line="348" w:lineRule="auto" w:before="0" w:after="0"/>
      </w:pPr>
      <w:r>
        <w:rPr>
          <w:rFonts w:ascii="HY신명조" w:hAnsi="HY신명조" w:eastAsia="HY신명조"/>
          <w:b/>
          <w:sz w:val="28"/>
        </w:rPr>
        <w:t>4.1 Experimental Environment</w:t>
      </w:r>
    </w:p>
    <w:p>
      <w:pPr>
        <w:spacing w:line="348" w:lineRule="auto" w:before="0" w:after="0"/>
      </w:pPr>
    </w:p>
    <w:p>
      <w:pPr>
        <w:spacing w:line="348" w:lineRule="auto" w:before="0" w:after="0"/>
        <w:ind w:firstLine="330"/>
        <w:jc w:val="both"/>
      </w:pPr>
      <w:r>
        <w:rPr>
          <w:rFonts w:ascii="HY신명조" w:hAnsi="HY신명조" w:eastAsia="HY신명조"/>
          <w:b w:val="0"/>
          <w:sz w:val="22"/>
        </w:rPr>
        <w:t>The stage is a closed loop coupling CARLA 0.9.16 and Autoware 0.39.0 (Figure 4.1). The integration builds on AWCL [52], the TUM Autoware-CARLA leaderboard framework (C++ bridge, vehicle digital twin, scenario runner); CARLA runs on the host and the bridge, leaderboard, and Autoware in independent containers. The map is a custom Town07 vector map annotated with shoulder/parking candidates, the speed limit 15 km/h (4.2 m/s), and the simulator is fully restarted every case for independence (CARLA_RESTART_EVERY=1).</w:t>
      </w:r>
    </w:p>
    <w:p>
      <w:pPr>
        <w:keepNext/>
        <w:spacing w:line="240" w:lineRule="auto"/>
        <w:jc w:val="center"/>
      </w:pPr>
      <w:r>
        <w:drawing>
          <wp:inline xmlns:a="http://schemas.openxmlformats.org/drawingml/2006/main" xmlns:pic="http://schemas.openxmlformats.org/drawingml/2006/picture">
            <wp:extent cx="3780000" cy="1779261"/>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3780000" cy="1779261"/>
                    </a:xfrm>
                    <a:prstGeom prst="rect"/>
                  </pic:spPr>
                </pic:pic>
              </a:graphicData>
            </a:graphic>
          </wp:inline>
        </w:drawing>
      </w:r>
    </w:p>
    <w:p>
      <w:pPr>
        <w:keepLines/>
        <w:spacing w:line="312" w:lineRule="auto" w:before="0" w:after="0"/>
      </w:pPr>
      <w:r>
        <w:rPr>
          <w:rFonts w:ascii="HY신명조" w:hAnsi="HY신명조" w:eastAsia="HY신명조"/>
          <w:b/>
          <w:sz w:val="22"/>
        </w:rPr>
        <w:t>Figure 4.1. Representative execution views (actual run captures): (a) Town07 driving, (b) RViz perception, (c) candidate-annotated vector map, (d) shoulder-evacuation MRC (following traffic passing), (e) overhead view of parking-lot MRC, (f) pedestrian dart-out encounter (Section 4.4).</w:t>
      </w:r>
    </w:p>
    <w:p>
      <w:pPr>
        <w:spacing w:line="348" w:lineRule="auto" w:before="0" w:after="0"/>
      </w:pPr>
    </w:p>
    <w:p>
      <w:pPr>
        <w:spacing w:line="348" w:lineRule="auto" w:before="0" w:after="0"/>
        <w:ind w:firstLine="330"/>
        <w:jc w:val="both"/>
      </w:pPr>
      <w:r>
        <w:rPr>
          <w:rFonts w:ascii="HY신명조" w:hAnsi="HY신명조" w:eastAsia="HY신명조"/>
          <w:b w:val="0"/>
          <w:sz w:val="22"/>
        </w:rPr>
        <w:t>A common runner automates the experiments; a case is defined by {method, fault, severity, traffic, repetition, injection time}. Methods are ours (proposed supervisor), baseline (same detection, deferral to the stock stop-type MRM), and mrm-off (non-intervention observation — passive scoring only). Baseline shares identical detection with the proposal to separate the response-strategy effect from detection performance; "no detection at all" is provided by mrm-off. The runner manages process lifetimes and archives per-case logs for post-hoc re-adjudication.</w:t>
      </w:r>
    </w:p>
    <w:p>
      <w:pPr>
        <w:spacing w:line="348" w:lineRule="auto" w:before="0" w:after="0"/>
        <w:ind w:firstLine="330"/>
        <w:jc w:val="both"/>
      </w:pPr>
      <w:r>
        <w:rPr>
          <w:rFonts w:ascii="HY신명조" w:hAnsi="HY신명조" w:eastAsia="HY신명조"/>
          <w:b w:val="0"/>
          <w:sz w:val="22"/>
        </w:rPr>
        <w:t>A ROS-topic-based automatic adjudicator classifies each case's termination into management labels (shoulder/parking evacuation completed, stock stop-type MRM completed, stalled during evacuation, hazard-event contact, hazardous stop, incident-free persistence, infrastructure failure) and records stop coordinates, lane occupancy, detection latency, faulted-state distance, and official collision records as CSV. The exit label is a first-pass management classification only, never the basis of safety adjudication (basis and pitfalls in Section 4.5).</w:t>
      </w:r>
    </w:p>
    <w:p>
      <w:pPr>
        <w:spacing w:line="348" w:lineRule="auto" w:before="0" w:after="0"/>
      </w:pPr>
    </w:p>
    <w:p>
      <w:pPr>
        <w:keepNext/>
        <w:spacing w:line="348" w:lineRule="auto" w:before="0" w:after="0"/>
      </w:pPr>
      <w:r>
        <w:rPr>
          <w:rFonts w:ascii="HY신명조" w:hAnsi="HY신명조" w:eastAsia="HY신명조"/>
          <w:b/>
          <w:sz w:val="28"/>
        </w:rPr>
        <w:t>4.2 Fault Model</w:t>
      </w:r>
    </w:p>
    <w:p>
      <w:pPr>
        <w:spacing w:line="348" w:lineRule="auto" w:before="0" w:after="0"/>
      </w:pPr>
    </w:p>
    <w:p>
      <w:pPr>
        <w:spacing w:line="348" w:lineRule="auto" w:before="0" w:after="0"/>
        <w:ind w:firstLine="330"/>
        <w:jc w:val="both"/>
      </w:pPr>
      <w:r>
        <w:rPr>
          <w:rFonts w:ascii="HY신명조" w:hAnsi="HY신명조" w:eastAsia="HY신명조"/>
          <w:b w:val="0"/>
          <w:sz w:val="22"/>
        </w:rPr>
        <w:t>Faults are injected inside the agent's sensor pipeline (Table 4.1 — reference literature and physical models in the injection-method column). The early simple Gaussian range noise (ln) was retired for weak correspondence to real fault modes and replaced by two physical models (lso, lcl). Injection times are drawn from deterministic case-key seeds for reproducibility; in the encounter experiments even the fault-waveform randomness is seed-fixed (FAULT_SEED) so paired conditions of the same seed experience an identical fault realization.</w:t>
      </w:r>
    </w:p>
    <w:p>
      <w:pPr>
        <w:keepNext/>
        <w:spacing w:line="312" w:lineRule="auto" w:before="0" w:after="0"/>
      </w:pPr>
      <w:r>
        <w:rPr>
          <w:rFonts w:ascii="HY신명조" w:hAnsi="HY신명조" w:eastAsia="HY신명조"/>
          <w:b/>
          <w:sz w:val="22"/>
        </w:rPr>
        <w:t>Table 4.1. Fault model (v4.6)</w:t>
      </w:r>
    </w:p>
    <w:tbl>
      <w:tblPr>
        <w:tblStyle w:val="aa"/>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Abbrev.</w:t>
            </w:r>
          </w:p>
        </w:tc>
        <w:tc>
          <w:tcPr>
            <w:tcW w:type="dxa" w:w="2126"/>
          </w:tcPr>
          <w:p>
            <w:pPr>
              <w:spacing w:line="288" w:lineRule="auto" w:before="20" w:after="20"/>
              <w:jc w:val="center"/>
            </w:pPr>
            <w:r/>
            <w:r>
              <w:rPr>
                <w:rFonts w:ascii="HY신명조" w:hAnsi="HY신명조" w:eastAsia="HY신명조"/>
                <w:b/>
                <w:sz w:val="18"/>
              </w:rPr>
              <w:t>Fault</w:t>
            </w:r>
          </w:p>
        </w:tc>
        <w:tc>
          <w:tcPr>
            <w:tcW w:type="dxa" w:w="2126"/>
          </w:tcPr>
          <w:p>
            <w:pPr>
              <w:spacing w:line="288" w:lineRule="auto" w:before="20" w:after="20"/>
              <w:jc w:val="center"/>
            </w:pPr>
            <w:r/>
            <w:r>
              <w:rPr>
                <w:rFonts w:ascii="HY신명조" w:hAnsi="HY신명조" w:eastAsia="HY신명조"/>
                <w:b/>
                <w:sz w:val="18"/>
              </w:rPr>
              <w:t>Injection method</w:t>
            </w:r>
          </w:p>
        </w:tc>
        <w:tc>
          <w:tcPr>
            <w:tcW w:type="dxa" w:w="2126"/>
          </w:tcPr>
          <w:p>
            <w:pPr>
              <w:spacing w:line="288" w:lineRule="auto" w:before="20" w:after="20"/>
              <w:jc w:val="center"/>
            </w:pPr>
            <w:r/>
            <w:r>
              <w:rPr>
                <w:rFonts w:ascii="HY신명조" w:hAnsi="HY신명조" w:eastAsia="HY신명조"/>
                <w:b/>
                <w:sz w:val="18"/>
              </w:rPr>
              <w:t>Severity</w:t>
            </w:r>
          </w:p>
        </w:tc>
      </w:tr>
      <w:tr>
        <w:trPr>
          <w:cantSplit/>
        </w:trPr>
        <w:tc>
          <w:tcPr>
            <w:tcW w:type="dxa" w:w="2126"/>
          </w:tcPr>
          <w:p>
            <w:pPr>
              <w:spacing w:line="288" w:lineRule="auto" w:before="20" w:after="20"/>
              <w:jc w:val="left"/>
            </w:pPr>
            <w:r/>
            <w:r>
              <w:rPr>
                <w:rFonts w:ascii="HY신명조" w:hAnsi="HY신명조" w:eastAsia="HY신명조"/>
                <w:b w:val="0"/>
                <w:sz w:val="18"/>
              </w:rPr>
              <w:t>cf</w:t>
            </w:r>
          </w:p>
        </w:tc>
        <w:tc>
          <w:tcPr>
            <w:tcW w:type="dxa" w:w="2126"/>
          </w:tcPr>
          <w:p>
            <w:pPr>
              <w:spacing w:line="288" w:lineRule="auto" w:before="20" w:after="20"/>
              <w:jc w:val="left"/>
            </w:pPr>
            <w:r/>
            <w:r>
              <w:rPr>
                <w:rFonts w:ascii="HY신명조" w:hAnsi="HY신명조" w:eastAsia="HY신명조"/>
                <w:b w:val="0"/>
                <w:sz w:val="18"/>
              </w:rPr>
              <w:t>Camera death</w:t>
            </w:r>
          </w:p>
        </w:tc>
        <w:tc>
          <w:tcPr>
            <w:tcW w:type="dxa" w:w="2126"/>
          </w:tcPr>
          <w:p>
            <w:pPr>
              <w:spacing w:line="288" w:lineRule="auto" w:before="20" w:after="20"/>
              <w:jc w:val="left"/>
            </w:pPr>
            <w:r/>
            <w:r>
              <w:rPr>
                <w:rFonts w:ascii="HY신명조" w:hAnsi="HY신명조" w:eastAsia="HY신명조"/>
                <w:b w:val="0"/>
                <w:sz w:val="18"/>
              </w:rPr>
              <w:t>Frame transmission halted</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cn</w:t>
            </w:r>
          </w:p>
        </w:tc>
        <w:tc>
          <w:tcPr>
            <w:tcW w:type="dxa" w:w="2126"/>
          </w:tcPr>
          <w:p>
            <w:pPr>
              <w:spacing w:line="288" w:lineRule="auto" w:before="20" w:after="20"/>
              <w:jc w:val="left"/>
            </w:pPr>
            <w:r/>
            <w:r>
              <w:rPr>
                <w:rFonts w:ascii="HY신명조" w:hAnsi="HY신명조" w:eastAsia="HY신명조"/>
                <w:b w:val="0"/>
                <w:sz w:val="18"/>
              </w:rPr>
              <w:t>Camera noise</w:t>
            </w:r>
          </w:p>
        </w:tc>
        <w:tc>
          <w:tcPr>
            <w:tcW w:type="dxa" w:w="2126"/>
          </w:tcPr>
          <w:p>
            <w:pPr>
              <w:spacing w:line="288" w:lineRule="auto" w:before="20" w:after="20"/>
              <w:jc w:val="left"/>
            </w:pPr>
            <w:r/>
            <w:r>
              <w:rPr>
                <w:rFonts w:ascii="HY신명조" w:hAnsi="HY신명조" w:eastAsia="HY신명조"/>
                <w:b w:val="0"/>
                <w:sz w:val="18"/>
              </w:rPr>
              <w:t>Gaussian pixel noise</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lf</w:t>
            </w:r>
          </w:p>
        </w:tc>
        <w:tc>
          <w:tcPr>
            <w:tcW w:type="dxa" w:w="2126"/>
          </w:tcPr>
          <w:p>
            <w:pPr>
              <w:spacing w:line="288" w:lineRule="auto" w:before="20" w:after="20"/>
              <w:jc w:val="left"/>
            </w:pPr>
            <w:r/>
            <w:r>
              <w:rPr>
                <w:rFonts w:ascii="HY신명조" w:hAnsi="HY신명조" w:eastAsia="HY신명조"/>
                <w:b w:val="0"/>
                <w:sz w:val="18"/>
              </w:rPr>
              <w:t>LiDAR death</w:t>
            </w:r>
          </w:p>
        </w:tc>
        <w:tc>
          <w:tcPr>
            <w:tcW w:type="dxa" w:w="2126"/>
          </w:tcPr>
          <w:p>
            <w:pPr>
              <w:spacing w:line="288" w:lineRule="auto" w:before="20" w:after="20"/>
              <w:jc w:val="left"/>
            </w:pPr>
            <w:r/>
            <w:r>
              <w:rPr>
                <w:rFonts w:ascii="HY신명조" w:hAnsi="HY신명조" w:eastAsia="HY신명조"/>
                <w:b w:val="0"/>
                <w:sz w:val="18"/>
              </w:rPr>
              <w:t>Point-cloud transmission halted</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lso</w:t>
            </w:r>
          </w:p>
        </w:tc>
        <w:tc>
          <w:tcPr>
            <w:tcW w:type="dxa" w:w="2126"/>
          </w:tcPr>
          <w:p>
            <w:pPr>
              <w:spacing w:line="288" w:lineRule="auto" w:before="20" w:after="20"/>
              <w:jc w:val="left"/>
            </w:pPr>
            <w:r/>
            <w:r>
              <w:rPr>
                <w:rFonts w:ascii="HY신명조" w:hAnsi="HY신명조" w:eastAsia="HY신명조"/>
                <w:b w:val="0"/>
                <w:sz w:val="18"/>
              </w:rPr>
              <w:t>LiDAR sparsification</w:t>
            </w:r>
          </w:p>
        </w:tc>
        <w:tc>
          <w:tcPr>
            <w:tcW w:type="dxa" w:w="2126"/>
          </w:tcPr>
          <w:p>
            <w:pPr>
              <w:spacing w:line="288" w:lineRule="auto" w:before="20" w:after="20"/>
              <w:jc w:val="left"/>
            </w:pPr>
            <w:r/>
            <w:r>
              <w:rPr>
                <w:rFonts w:ascii="HY신명조" w:hAnsi="HY신명조" w:eastAsia="HY신명조"/>
                <w:b w:val="0"/>
                <w:sz w:val="18"/>
              </w:rPr>
              <w:t>Contamination-type dropout (physical model [55])</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lcl</w:t>
            </w:r>
          </w:p>
        </w:tc>
        <w:tc>
          <w:tcPr>
            <w:tcW w:type="dxa" w:w="2126"/>
          </w:tcPr>
          <w:p>
            <w:pPr>
              <w:spacing w:line="288" w:lineRule="auto" w:before="20" w:after="20"/>
              <w:jc w:val="left"/>
            </w:pPr>
            <w:r/>
            <w:r>
              <w:rPr>
                <w:rFonts w:ascii="HY신명조" w:hAnsi="HY신명조" w:eastAsia="HY신명조"/>
                <w:b w:val="0"/>
                <w:sz w:val="18"/>
              </w:rPr>
              <w:t>LiDAR clutter</w:t>
            </w:r>
          </w:p>
        </w:tc>
        <w:tc>
          <w:tcPr>
            <w:tcW w:type="dxa" w:w="2126"/>
          </w:tcPr>
          <w:p>
            <w:pPr>
              <w:spacing w:line="288" w:lineRule="auto" w:before="20" w:after="20"/>
              <w:jc w:val="left"/>
            </w:pPr>
            <w:r/>
            <w:r>
              <w:rPr>
                <w:rFonts w:ascii="HY신명조" w:hAnsi="HY신명조" w:eastAsia="HY신명조"/>
                <w:b w:val="0"/>
                <w:sz w:val="18"/>
              </w:rPr>
              <w:t>Rain-scattering spurious returns (models [53][54])</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gn</w:t>
            </w:r>
          </w:p>
        </w:tc>
        <w:tc>
          <w:tcPr>
            <w:tcW w:type="dxa" w:w="2126"/>
          </w:tcPr>
          <w:p>
            <w:pPr>
              <w:spacing w:line="288" w:lineRule="auto" w:before="20" w:after="20"/>
              <w:jc w:val="left"/>
            </w:pPr>
            <w:r/>
            <w:r>
              <w:rPr>
                <w:rFonts w:ascii="HY신명조" w:hAnsi="HY신명조" w:eastAsia="HY신명조"/>
                <w:b w:val="0"/>
                <w:sz w:val="18"/>
              </w:rPr>
              <w:t>GNSS position noise</w:t>
            </w:r>
          </w:p>
        </w:tc>
        <w:tc>
          <w:tcPr>
            <w:tcW w:type="dxa" w:w="2126"/>
          </w:tcPr>
          <w:p>
            <w:pPr>
              <w:spacing w:line="288" w:lineRule="auto" w:before="20" w:after="20"/>
              <w:jc w:val="left"/>
            </w:pPr>
            <w:r/>
            <w:r>
              <w:rPr>
                <w:rFonts w:ascii="HY신명조" w:hAnsi="HY신명조" w:eastAsia="HY신명조"/>
                <w:b w:val="0"/>
                <w:sz w:val="18"/>
              </w:rPr>
              <w:t>Gaussian position noise (EKF input)</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gb</w:t>
            </w:r>
          </w:p>
        </w:tc>
        <w:tc>
          <w:tcPr>
            <w:tcW w:type="dxa" w:w="2126"/>
          </w:tcPr>
          <w:p>
            <w:pPr>
              <w:spacing w:line="288" w:lineRule="auto" w:before="20" w:after="20"/>
              <w:jc w:val="left"/>
            </w:pPr>
            <w:r/>
            <w:r>
              <w:rPr>
                <w:rFonts w:ascii="HY신명조" w:hAnsi="HY신명조" w:eastAsia="HY신명조"/>
                <w:b w:val="0"/>
                <w:sz w:val="18"/>
              </w:rPr>
              <w:t>GNSS correlated bias</w:t>
            </w:r>
          </w:p>
        </w:tc>
        <w:tc>
          <w:tcPr>
            <w:tcW w:type="dxa" w:w="2126"/>
          </w:tcPr>
          <w:p>
            <w:pPr>
              <w:spacing w:line="288" w:lineRule="auto" w:before="20" w:after="20"/>
              <w:jc w:val="left"/>
            </w:pPr>
            <w:r/>
            <w:r>
              <w:rPr>
                <w:rFonts w:ascii="HY신명조" w:hAnsi="HY신명조" w:eastAsia="HY신명조"/>
                <w:b w:val="0"/>
                <w:sz w:val="18"/>
              </w:rPr>
              <w:t>First-order Gauss-Markov bias [61]</w:t>
            </w:r>
          </w:p>
        </w:tc>
        <w:tc>
          <w:tcPr>
            <w:tcW w:type="dxa" w:w="2126"/>
          </w:tcPr>
          <w:p>
            <w:pPr>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imn</w:t>
            </w:r>
          </w:p>
        </w:tc>
        <w:tc>
          <w:tcPr>
            <w:tcW w:type="dxa" w:w="2126"/>
          </w:tcPr>
          <w:p>
            <w:pPr>
              <w:spacing w:line="288" w:lineRule="auto" w:before="20" w:after="20"/>
              <w:jc w:val="left"/>
            </w:pPr>
            <w:r/>
            <w:r>
              <w:rPr>
                <w:rFonts w:ascii="HY신명조" w:hAnsi="HY신명조" w:eastAsia="HY신명조"/>
                <w:b w:val="0"/>
                <w:sz w:val="18"/>
              </w:rPr>
              <w:t>IMU noise</w:t>
            </w:r>
          </w:p>
        </w:tc>
        <w:tc>
          <w:tcPr>
            <w:tcW w:type="dxa" w:w="2126"/>
          </w:tcPr>
          <w:p>
            <w:pPr>
              <w:spacing w:line="288" w:lineRule="auto" w:before="20" w:after="20"/>
              <w:jc w:val="left"/>
            </w:pPr>
            <w:r/>
            <w:r>
              <w:rPr>
                <w:rFonts w:ascii="HY신명조" w:hAnsi="HY신명조" w:eastAsia="HY신명조"/>
                <w:b w:val="0"/>
                <w:sz w:val="18"/>
              </w:rPr>
              <w:t>Gyro white noise</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imb</w:t>
            </w:r>
          </w:p>
        </w:tc>
        <w:tc>
          <w:tcPr>
            <w:tcW w:type="dxa" w:w="2126"/>
          </w:tcPr>
          <w:p>
            <w:pPr>
              <w:spacing w:line="288" w:lineRule="auto" w:before="20" w:after="20"/>
              <w:jc w:val="left"/>
            </w:pPr>
            <w:r/>
            <w:r>
              <w:rPr>
                <w:rFonts w:ascii="HY신명조" w:hAnsi="HY신명조" w:eastAsia="HY신명조"/>
                <w:b w:val="0"/>
                <w:sz w:val="18"/>
              </w:rPr>
              <w:t>IMU gyro bias</w:t>
            </w:r>
          </w:p>
        </w:tc>
        <w:tc>
          <w:tcPr>
            <w:tcW w:type="dxa" w:w="2126"/>
          </w:tcPr>
          <w:p>
            <w:pPr>
              <w:spacing w:line="288" w:lineRule="auto" w:before="20" w:after="20"/>
              <w:jc w:val="left"/>
            </w:pPr>
            <w:r/>
            <w:r>
              <w:rPr>
                <w:rFonts w:ascii="HY신명조" w:hAnsi="HY신명조" w:eastAsia="HY신명조"/>
                <w:b w:val="0"/>
                <w:sz w:val="18"/>
              </w:rPr>
              <w:t>Step-type constant bias</w:t>
            </w:r>
          </w:p>
        </w:tc>
        <w:tc>
          <w:tcPr>
            <w:tcW w:type="dxa" w:w="2126"/>
          </w:tcPr>
          <w:p>
            <w:pPr>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imd</w:t>
            </w:r>
          </w:p>
        </w:tc>
        <w:tc>
          <w:tcPr>
            <w:tcW w:type="dxa" w:w="2126"/>
          </w:tcPr>
          <w:p>
            <w:pPr>
              <w:spacing w:line="288" w:lineRule="auto" w:before="20" w:after="20"/>
              <w:jc w:val="left"/>
            </w:pPr>
            <w:r/>
            <w:r>
              <w:rPr>
                <w:rFonts w:ascii="HY신명조" w:hAnsi="HY신명조" w:eastAsia="HY신명조"/>
                <w:b w:val="0"/>
                <w:sz w:val="18"/>
              </w:rPr>
              <w:t>IMU bias drift</w:t>
            </w:r>
          </w:p>
        </w:tc>
        <w:tc>
          <w:tcPr>
            <w:tcW w:type="dxa" w:w="2126"/>
          </w:tcPr>
          <w:p>
            <w:pPr>
              <w:spacing w:line="288" w:lineRule="auto" w:before="20" w:after="20"/>
              <w:jc w:val="left"/>
            </w:pPr>
            <w:r/>
            <w:r>
              <w:rPr>
                <w:rFonts w:ascii="HY신명조" w:hAnsi="HY신명조" w:eastAsia="HY신명조"/>
                <w:b w:val="0"/>
                <w:sz w:val="18"/>
              </w:rPr>
              <w:t>Time-proportional ramp</w:t>
            </w:r>
          </w:p>
        </w:tc>
        <w:tc>
          <w:tcPr>
            <w:tcW w:type="dxa" w:w="2126"/>
          </w:tcPr>
          <w:p>
            <w:pPr>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gf</w:t>
            </w:r>
          </w:p>
        </w:tc>
        <w:tc>
          <w:tcPr>
            <w:tcW w:type="dxa" w:w="2126"/>
          </w:tcPr>
          <w:p>
            <w:pPr>
              <w:spacing w:line="288" w:lineRule="auto" w:before="20" w:after="20"/>
              <w:jc w:val="left"/>
            </w:pPr>
            <w:r/>
            <w:r>
              <w:rPr>
                <w:rFonts w:ascii="HY신명조" w:hAnsi="HY신명조" w:eastAsia="HY신명조"/>
                <w:b w:val="0"/>
                <w:sz w:val="18"/>
              </w:rPr>
              <w:t>GNSS outage</w:t>
            </w:r>
          </w:p>
        </w:tc>
        <w:tc>
          <w:tcPr>
            <w:tcW w:type="dxa" w:w="2126"/>
          </w:tcPr>
          <w:p>
            <w:pPr>
              <w:spacing w:line="288" w:lineRule="auto" w:before="20" w:after="20"/>
              <w:jc w:val="left"/>
            </w:pPr>
            <w:r/>
            <w:r>
              <w:rPr>
                <w:rFonts w:ascii="HY신명조" w:hAnsi="HY신명조" w:eastAsia="HY신명조"/>
                <w:b w:val="0"/>
                <w:sz w:val="18"/>
              </w:rPr>
              <w:t>Input silence</w:t>
            </w:r>
          </w:p>
        </w:tc>
        <w:tc>
          <w:tcPr>
            <w:tcW w:type="dxa" w:w="2126"/>
          </w:tcPr>
          <w:p>
            <w:pPr>
              <w:spacing w:line="288" w:lineRule="auto" w:before="20" w:after="20"/>
              <w:jc w:val="left"/>
            </w:pPr>
            <w:r/>
            <w:r>
              <w:rPr>
                <w:rFonts w:ascii="HY신명조" w:hAnsi="HY신명조" w:eastAsia="HY신명조"/>
                <w:b w:val="0"/>
                <w:sz w:val="18"/>
              </w:rPr>
              <w:t>-</w:t>
            </w:r>
          </w:p>
        </w:tc>
      </w:tr>
    </w:tbl>
    <w:p>
      <w:pPr>
        <w:spacing w:line="312" w:lineRule="auto" w:before="0" w:after="0"/>
      </w:pPr>
      <w:r>
        <w:rPr>
          <w:rFonts w:ascii="HY신명조" w:hAnsi="HY신명조" w:eastAsia="HY신명조"/>
          <w:b w:val="0"/>
          <w:sz w:val="18"/>
        </w:rPr>
        <w:t>Note: the main campaign used cf, cn, lf, lso, lcl, gn, imn (×mid/high; low is within the tolerated range for some types, so the budget was concentrated on mid/high with non-execution stated). The four navigation faults (gb, gf, imb, imd) were evaluated in a navigation-extension matrix of identical structure (Section 5.1). In all navigation injections the message covariance fields retain normal values — modeling an overconfident integrity fault (raw-data tags gm/gb correspond to gb/gf). Sensor-level effects are illustrated in Figure 4.2.</w:t>
      </w:r>
    </w:p>
    <w:p>
      <w:pPr>
        <w:spacing w:line="348" w:lineRule="auto" w:before="0" w:after="0"/>
      </w:pPr>
    </w:p>
    <w:p>
      <w:pPr>
        <w:keepNext/>
        <w:spacing w:line="240" w:lineRule="auto"/>
        <w:jc w:val="center"/>
      </w:pPr>
      <w:r>
        <w:drawing>
          <wp:inline xmlns:a="http://schemas.openxmlformats.org/drawingml/2006/main" xmlns:pic="http://schemas.openxmlformats.org/drawingml/2006/picture">
            <wp:extent cx="3600000" cy="210247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3600000" cy="2102479"/>
                    </a:xfrm>
                    <a:prstGeom prst="rect"/>
                  </pic:spPr>
                </pic:pic>
              </a:graphicData>
            </a:graphic>
          </wp:inline>
        </w:drawing>
      </w:r>
    </w:p>
    <w:p>
      <w:pPr>
        <w:keepLines/>
        <w:spacing w:line="312" w:lineRule="auto" w:before="0" w:after="0"/>
      </w:pPr>
      <w:r>
        <w:rPr>
          <w:rFonts w:ascii="HY신명조" w:hAnsi="HY신명조" w:eastAsia="HY신명조"/>
          <w:b/>
          <w:sz w:val="22"/>
        </w:rPr>
        <w:t>Figure 4.2. Sensor-level effects of fault injection — the injector's own physics applied to one measured Town07 LiDAR scan and camera frame (before/after). (a) LiDAR sparsification (lso), (b) LiDAR clutter (lcl, spurious returns in red), (c) camera pixel noise (cn), (d) GNSS fault waveforms (gn/gb/gf), (e) gyro fault waveforms (imn/imb/imd). Panel parameters are the injector's raw values for the severity definitions (representative values in Table 4.3).</w:t>
      </w:r>
    </w:p>
    <w:p>
      <w:pPr>
        <w:spacing w:line="348" w:lineRule="auto" w:before="0" w:after="0"/>
      </w:pPr>
    </w:p>
    <w:p>
      <w:pPr>
        <w:spacing w:line="348" w:lineRule="auto" w:before="0" w:after="0"/>
      </w:pPr>
    </w:p>
    <w:p>
      <w:pPr>
        <w:keepNext/>
        <w:spacing w:line="348" w:lineRule="auto" w:before="0" w:after="0"/>
      </w:pPr>
      <w:r>
        <w:rPr>
          <w:rFonts w:ascii="HY신명조" w:hAnsi="HY신명조" w:eastAsia="HY신명조"/>
          <w:b/>
          <w:sz w:val="28"/>
        </w:rPr>
        <w:t>4.3 Main Campaign Matrix</w:t>
      </w:r>
    </w:p>
    <w:p>
      <w:pPr>
        <w:spacing w:line="348" w:lineRule="auto" w:before="0" w:after="0"/>
      </w:pPr>
    </w:p>
    <w:p>
      <w:pPr>
        <w:spacing w:line="348" w:lineRule="auto" w:before="0" w:after="0"/>
        <w:ind w:firstLine="330"/>
        <w:jc w:val="both"/>
      </w:pPr>
      <w:r>
        <w:rPr>
          <w:rFonts w:ascii="HY신명조" w:hAnsi="HY신명조" w:eastAsia="HY신명조"/>
          <w:b w:val="0"/>
          <w:sz w:val="22"/>
        </w:rPr>
        <w:t>The main campaign is a fault × severity × traffic density (none/def/agg) × method (ours/baseline) × repetition matrix, executed serially by a battery script with infrastructure failures re-collected via a retry chain. The total valid count is 1,131 (39 short of the 1,170 plan, all in lcl-high — Table 4.2). This includes a full re-run of the 450 affected camera/navigation cases after a traffic-light miscount defect in the refuge cost function was uncovered and fixed (clustering method of Section 3.5) — the disclosure lets follow-up research treat map annotation quality as a hidden confounder of refuge selection.</w:t>
      </w:r>
    </w:p>
    <w:p>
      <w:pPr>
        <w:keepNext/>
        <w:spacing w:line="312" w:lineRule="auto" w:before="0" w:after="0"/>
      </w:pPr>
      <w:r>
        <w:rPr>
          <w:rFonts w:ascii="HY신명조" w:hAnsi="HY신명조" w:eastAsia="HY신명조"/>
          <w:b/>
          <w:sz w:val="22"/>
        </w:rPr>
        <w:t>Table 4.2. Main-campaign case accounting — planned vs final valid</w:t>
      </w:r>
    </w:p>
    <w:tbl>
      <w:tblPr>
        <w:tblStyle w:val="aa"/>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Block</w:t>
            </w:r>
          </w:p>
        </w:tc>
        <w:tc>
          <w:tcPr>
            <w:tcW w:type="dxa" w:w="2126"/>
          </w:tcPr>
          <w:p>
            <w:pPr>
              <w:spacing w:line="288" w:lineRule="auto" w:before="20" w:after="20"/>
              <w:jc w:val="center"/>
            </w:pPr>
            <w:r/>
            <w:r>
              <w:rPr>
                <w:rFonts w:ascii="HY신명조" w:hAnsi="HY신명조" w:eastAsia="HY신명조"/>
                <w:b/>
                <w:sz w:val="18"/>
              </w:rPr>
              <w:t>Planned</w:t>
            </w:r>
          </w:p>
        </w:tc>
        <w:tc>
          <w:tcPr>
            <w:tcW w:type="dxa" w:w="2126"/>
          </w:tcPr>
          <w:p>
            <w:pPr>
              <w:spacing w:line="288" w:lineRule="auto" w:before="20" w:after="20"/>
              <w:jc w:val="center"/>
            </w:pPr>
            <w:r/>
            <w:r>
              <w:rPr>
                <w:rFonts w:ascii="HY신명조" w:hAnsi="HY신명조" w:eastAsia="HY신명조"/>
                <w:b/>
                <w:sz w:val="18"/>
              </w:rPr>
              <w:t>Final valid</w:t>
            </w:r>
          </w:p>
        </w:tc>
        <w:tc>
          <w:tcPr>
            <w:tcW w:type="dxa" w:w="2126"/>
          </w:tcPr>
          <w:p>
            <w:pPr>
              <w:spacing w:line="288" w:lineRule="auto" w:before="20" w:after="20"/>
              <w:jc w:val="center"/>
            </w:pPr>
            <w:r/>
            <w:r>
              <w:rPr>
                <w:rFonts w:ascii="HY신명조" w:hAnsi="HY신명조" w:eastAsia="HY신명조"/>
                <w:b/>
                <w:sz w:val="18"/>
              </w:rPr>
              <w:t>Notes</w:t>
            </w:r>
          </w:p>
        </w:tc>
      </w:tr>
      <w:tr>
        <w:trPr>
          <w:cantSplit/>
        </w:trPr>
        <w:tc>
          <w:tcPr>
            <w:tcW w:type="dxa" w:w="2126"/>
          </w:tcPr>
          <w:p>
            <w:pPr>
              <w:spacing w:line="288" w:lineRule="auto" w:before="20" w:after="20"/>
              <w:jc w:val="left"/>
            </w:pPr>
            <w:r/>
            <w:r>
              <w:rPr>
                <w:rFonts w:ascii="HY신명조" w:hAnsi="HY신명조" w:eastAsia="HY신명조"/>
                <w:b w:val="0"/>
                <w:sz w:val="18"/>
              </w:rPr>
              <w:t>cf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revised-detector (v4.8) re-run batch adopted</w:t>
            </w:r>
          </w:p>
        </w:tc>
      </w:tr>
      <w:tr>
        <w:trPr>
          <w:cantSplit/>
        </w:trPr>
        <w:tc>
          <w:tcPr>
            <w:tcW w:type="dxa" w:w="2126"/>
          </w:tcPr>
          <w:p>
            <w:pPr>
              <w:spacing w:line="288" w:lineRule="auto" w:before="20" w:after="20"/>
              <w:jc w:val="left"/>
            </w:pPr>
            <w:r/>
            <w:r>
              <w:rPr>
                <w:rFonts w:ascii="HY신명조" w:hAnsi="HY신명조" w:eastAsia="HY신명조"/>
                <w:b w:val="0"/>
                <w:sz w:val="18"/>
              </w:rPr>
              <w:t>cn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revised-detector (v4.8) re-run batch adopted</w:t>
            </w:r>
          </w:p>
        </w:tc>
      </w:tr>
      <w:tr>
        <w:trPr>
          <w:cantSplit/>
        </w:trPr>
        <w:tc>
          <w:tcPr>
            <w:tcW w:type="dxa" w:w="2126"/>
          </w:tcPr>
          <w:p>
            <w:pPr>
              <w:spacing w:line="288" w:lineRule="auto" w:before="20" w:after="20"/>
              <w:jc w:val="left"/>
            </w:pPr>
            <w:r/>
            <w:r>
              <w:rPr>
                <w:rFonts w:ascii="HY신명조" w:hAnsi="HY신명조" w:eastAsia="HY신명조"/>
                <w:b w:val="0"/>
                <w:sz w:val="18"/>
              </w:rPr>
              <w:t>gn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revised-detector (v4.8) re-run batch adopted</w:t>
            </w:r>
          </w:p>
        </w:tc>
      </w:tr>
      <w:tr>
        <w:trPr>
          <w:cantSplit/>
        </w:trPr>
        <w:tc>
          <w:tcPr>
            <w:tcW w:type="dxa" w:w="2126"/>
          </w:tcPr>
          <w:p>
            <w:pPr>
              <w:spacing w:line="288" w:lineRule="auto" w:before="20" w:after="20"/>
              <w:jc w:val="left"/>
            </w:pPr>
            <w:r/>
            <w:r>
              <w:rPr>
                <w:rFonts w:ascii="HY신명조" w:hAnsi="HY신명조" w:eastAsia="HY신명조"/>
                <w:b w:val="0"/>
                <w:sz w:val="18"/>
              </w:rPr>
              <w:t>lso</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r>
          </w:p>
        </w:tc>
      </w:tr>
      <w:tr>
        <w:trPr>
          <w:cantSplit/>
        </w:trPr>
        <w:tc>
          <w:tcPr>
            <w:tcW w:type="dxa" w:w="2126"/>
          </w:tcPr>
          <w:p>
            <w:pPr>
              <w:spacing w:line="288" w:lineRule="auto" w:before="20" w:after="20"/>
              <w:jc w:val="left"/>
            </w:pPr>
            <w:r/>
            <w:r>
              <w:rPr>
                <w:rFonts w:ascii="HY신명조" w:hAnsi="HY신명조" w:eastAsia="HY신명조"/>
                <w:b w:val="0"/>
                <w:sz w:val="18"/>
              </w:rPr>
              <w:t>lcl</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141</w:t>
            </w:r>
          </w:p>
        </w:tc>
        <w:tc>
          <w:tcPr>
            <w:tcW w:type="dxa" w:w="2126"/>
          </w:tcPr>
          <w:p>
            <w:pPr>
              <w:spacing w:line="288" w:lineRule="auto" w:before="20" w:after="20"/>
              <w:jc w:val="left"/>
            </w:pPr>
            <w:r/>
            <w:r>
              <w:rPr>
                <w:rFonts w:ascii="HY신명조" w:hAnsi="HY신명조" w:eastAsia="HY신명조"/>
                <w:b w:val="0"/>
                <w:sz w:val="18"/>
              </w:rPr>
              <w:t>39 short in lcl-high — final batch halted; later batches failed adoption criteria</w:t>
            </w:r>
          </w:p>
        </w:tc>
      </w:tr>
      <w:tr>
        <w:trPr>
          <w:cantSplit/>
        </w:trPr>
        <w:tc>
          <w:tcPr>
            <w:tcW w:type="dxa" w:w="2126"/>
          </w:tcPr>
          <w:p>
            <w:pPr>
              <w:spacing w:line="288" w:lineRule="auto" w:before="20" w:after="20"/>
              <w:jc w:val="left"/>
            </w:pPr>
            <w:r/>
            <w:r>
              <w:rPr>
                <w:rFonts w:ascii="HY신명조" w:hAnsi="HY신명조" w:eastAsia="HY신명조"/>
                <w:b w:val="0"/>
                <w:sz w:val="18"/>
              </w:rPr>
              <w:t>imn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 CARLA_DIED row replaced by same-condition re-run</w:t>
            </w:r>
          </w:p>
        </w:tc>
      </w:tr>
      <w:tr>
        <w:trPr>
          <w:cantSplit/>
        </w:trPr>
        <w:tc>
          <w:tcPr>
            <w:tcW w:type="dxa" w:w="2126"/>
          </w:tcPr>
          <w:p>
            <w:pPr>
              <w:spacing w:line="288" w:lineRule="auto" w:before="20" w:after="20"/>
              <w:jc w:val="left"/>
            </w:pPr>
            <w:r/>
            <w:r>
              <w:rPr>
                <w:rFonts w:ascii="HY신명조" w:hAnsi="HY신명조" w:eastAsia="HY신명조"/>
                <w:b w:val="0"/>
                <w:sz w:val="18"/>
              </w:rPr>
              <w:t>lf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r>
          </w:p>
        </w:tc>
      </w:tr>
      <w:tr>
        <w:trPr>
          <w:cantSplit/>
        </w:trPr>
        <w:tc>
          <w:tcPr>
            <w:tcW w:type="dxa" w:w="2126"/>
          </w:tcPr>
          <w:p>
            <w:pPr>
              <w:spacing w:line="288" w:lineRule="auto" w:before="20" w:after="20"/>
              <w:jc w:val="left"/>
            </w:pPr>
            <w:r/>
            <w:r>
              <w:rPr>
                <w:rFonts w:ascii="HY신명조" w:hAnsi="HY신명조" w:eastAsia="HY신명조"/>
                <w:b w:val="0"/>
                <w:sz w:val="18"/>
              </w:rPr>
              <w:t>nf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false-activation control</w:t>
            </w:r>
          </w:p>
        </w:tc>
      </w:tr>
      <w:tr>
        <w:trPr>
          <w:cantSplit/>
        </w:trPr>
        <w:tc>
          <w:tcPr>
            <w:tcW w:type="dxa" w:w="2126"/>
          </w:tcPr>
          <w:p>
            <w:pPr>
              <w:spacing w:line="288" w:lineRule="auto" w:before="20" w:after="20"/>
              <w:jc w:val="left"/>
            </w:pPr>
            <w:r/>
            <w:r>
              <w:rPr>
                <w:rFonts w:ascii="HY신명조" w:hAnsi="HY신명조" w:eastAsia="HY신명조"/>
                <w:b w:val="0"/>
                <w:sz w:val="18"/>
              </w:rPr>
              <w:t>Total</w:t>
            </w:r>
          </w:p>
        </w:tc>
        <w:tc>
          <w:tcPr>
            <w:tcW w:type="dxa" w:w="2126"/>
          </w:tcPr>
          <w:p>
            <w:pPr>
              <w:spacing w:line="288" w:lineRule="auto" w:before="20" w:after="20"/>
              <w:jc w:val="left"/>
            </w:pPr>
            <w:r/>
            <w:r>
              <w:rPr>
                <w:rFonts w:ascii="HY신명조" w:hAnsi="HY신명조" w:eastAsia="HY신명조"/>
                <w:b w:val="0"/>
                <w:sz w:val="18"/>
              </w:rPr>
              <w:t>1,170</w:t>
            </w:r>
          </w:p>
        </w:tc>
        <w:tc>
          <w:tcPr>
            <w:tcW w:type="dxa" w:w="2126"/>
          </w:tcPr>
          <w:p>
            <w:pPr>
              <w:spacing w:line="288" w:lineRule="auto" w:before="20" w:after="20"/>
              <w:jc w:val="left"/>
            </w:pPr>
            <w:r/>
            <w:r>
              <w:rPr>
                <w:rFonts w:ascii="HY신명조" w:hAnsi="HY신명조" w:eastAsia="HY신명조"/>
                <w:b w:val="0"/>
                <w:sz w:val="18"/>
              </w:rPr>
              <w:t>1,131</w:t>
            </w:r>
          </w:p>
        </w:tc>
        <w:tc>
          <w:tcPr>
            <w:tcW w:type="dxa" w:w="2126"/>
          </w:tcPr>
          <w:p>
            <w:pPr>
              <w:spacing w:line="288" w:lineRule="auto" w:before="20" w:after="20"/>
              <w:jc w:val="left"/>
            </w:pPr>
            <w:r/>
            <w:r>
              <w:rPr>
                <w:rFonts w:ascii="HY신명조" w:hAnsi="HY신명조" w:eastAsia="HY신명조"/>
                <w:b w:val="0"/>
                <w:sz w:val="18"/>
              </w:rPr>
            </w:r>
          </w:p>
        </w:tc>
      </w:tr>
    </w:tbl>
    <w:p>
      <w:pPr>
        <w:spacing w:line="312" w:lineRule="auto" w:before="0" w:after="0"/>
      </w:pPr>
      <w:r>
        <w:rPr>
          <w:rFonts w:ascii="HY신명조" w:hAnsi="HY신명조" w:eastAsia="HY신명조"/>
          <w:b w:val="0"/>
          <w:sz w:val="18"/>
        </w:rPr>
        <w:t>Infrastructure failures (CARLA_DIED/SETUP_FAIL) were replaced by same-condition re-runs; adopted batches and replacement rules are fixed in the merge script.</w:t>
      </w:r>
    </w:p>
    <w:p>
      <w:pPr>
        <w:spacing w:line="348" w:lineRule="auto" w:before="0" w:after="0"/>
      </w:pPr>
    </w:p>
    <w:p>
      <w:pPr>
        <w:spacing w:line="348" w:lineRule="auto" w:before="0" w:after="0"/>
        <w:ind w:firstLine="330"/>
        <w:jc w:val="both"/>
      </w:pPr>
      <w:r>
        <w:rPr>
          <w:rFonts w:ascii="HY신명조" w:hAnsi="HY신명조" w:eastAsia="HY신명조"/>
          <w:b w:val="0"/>
          <w:sz w:val="22"/>
        </w:rPr>
        <w:t>Traffic density has three levels — none, defensive, aggressive — and defensive traffic applies courtesy rules (7 m minimum gap to stopped vehicles, no respawning near refuges) so evacuation-completion adjudication is not contaminated by NPC spawn artifacts.</w:t>
      </w:r>
    </w:p>
    <w:p>
      <w:pPr>
        <w:spacing w:line="348" w:lineRule="auto" w:before="0" w:after="0"/>
      </w:pPr>
    </w:p>
    <w:p>
      <w:pPr>
        <w:keepNext/>
        <w:spacing w:line="348" w:lineRule="auto" w:before="0" w:after="0"/>
      </w:pPr>
      <w:r>
        <w:rPr>
          <w:rFonts w:ascii="HY신명조" w:hAnsi="HY신명조" w:eastAsia="HY신명조"/>
          <w:b/>
          <w:sz w:val="28"/>
        </w:rPr>
        <w:t>4.4 Pedestrian Dart-out Encounter Injector</w:t>
      </w:r>
    </w:p>
    <w:p>
      <w:pPr>
        <w:spacing w:line="348" w:lineRule="auto" w:before="0" w:after="0"/>
      </w:pPr>
    </w:p>
    <w:p>
      <w:pPr>
        <w:spacing w:line="348" w:lineRule="auto" w:before="0" w:after="0"/>
        <w:ind w:firstLine="330"/>
        <w:jc w:val="both"/>
      </w:pPr>
      <w:r>
        <w:rPr>
          <w:rFonts w:ascii="HY신명조" w:hAnsi="HY신명조" w:eastAsia="HY신명조"/>
          <w:b w:val="0"/>
          <w:sz w:val="22"/>
        </w:rPr>
        <w:t>An independent process (hazard_injector) in the leaderboard container injects pedestrian dart-out crossings — a decoupled design that modifies neither agent nor runner. Encounter fairness was secured by repeated measurement: (i) spawning at the right lane edge (+0.5 m) eliminates non-encounters from outside-guardrail spawns; (ii) 1-s re-commanding and walking-speed verification (&gt;1 m/s) block stationary mannequins; (iii) triggering by fixed route-point passage (settlement trigger in the dose-response experiment); (iv) ego-progress lead correction and stopping 12 m after crossing prevent side/late contacts; (v) ego position from the ROS localization topic (workaround for the actor-list-empty phenomenon, y-sign flip handled).</w:t>
      </w:r>
    </w:p>
    <w:p>
      <w:pPr>
        <w:spacing w:line="348" w:lineRule="auto" w:before="0" w:after="0"/>
        <w:ind w:firstLine="330"/>
        <w:jc w:val="both"/>
      </w:pPr>
      <w:r>
        <w:rPr>
          <w:rFonts w:ascii="HY신명조" w:hAnsi="HY신명조" w:eastAsia="HY신명조"/>
          <w:b w:val="0"/>
          <w:sz w:val="22"/>
        </w:rPr>
        <w:t>The v5 injector adds three things: a state-establishment trigger that launches only once the compared state actually holds (lateral jitter ±0.2 m; preconditions verified by the manipulation check), fault-waveform seed fixing (FAULT_SEED), and physics-tick-synchronized recording of ego/pedestrian coordinates, speeds, and separation to per-case CSV.</w:t>
      </w:r>
    </w:p>
    <w:p>
      <w:pPr>
        <w:spacing w:line="348" w:lineRule="auto" w:before="0" w:after="0"/>
        <w:ind w:firstLine="330"/>
        <w:jc w:val="both"/>
      </w:pPr>
      <w:r>
        <w:rPr>
          <w:rFonts w:ascii="HY신명조" w:hAnsi="HY신명조" w:eastAsia="HY신명조"/>
          <w:b w:val="0"/>
          <w:sz w:val="22"/>
        </w:rPr>
        <w:t>Injector reliability is managed as infrastructure: recording-channel survival is guaranteed by a watchdog (runs with lost records are invalid — Section 4.5), and the 8 m comparison arms the trigger only after the compared state is confirmed, preventing state-mismatched encounters.</w:t>
      </w:r>
    </w:p>
    <w:p>
      <w:pPr>
        <w:spacing w:line="348" w:lineRule="auto" w:before="0" w:after="0"/>
      </w:pPr>
    </w:p>
    <w:p>
      <w:pPr>
        <w:keepNext/>
        <w:spacing w:line="348" w:lineRule="auto" w:before="0" w:after="0"/>
      </w:pPr>
      <w:r>
        <w:rPr>
          <w:rFonts w:ascii="HY신명조" w:hAnsi="HY신명조" w:eastAsia="HY신명조"/>
          <w:b/>
          <w:sz w:val="28"/>
        </w:rPr>
        <w:t>4.5 Collision Adjudication Methodology</w:t>
      </w:r>
    </w:p>
    <w:p>
      <w:pPr>
        <w:spacing w:line="348" w:lineRule="auto" w:before="0" w:after="0"/>
      </w:pPr>
    </w:p>
    <w:p>
      <w:pPr>
        <w:spacing w:line="348" w:lineRule="auto" w:before="0" w:after="0"/>
        <w:ind w:firstLine="330"/>
        <w:jc w:val="both"/>
      </w:pPr>
      <w:r>
        <w:rPr>
          <w:rFonts w:ascii="HY신명조" w:hAnsi="HY신명조" w:eastAsia="HY신명조"/>
          <w:b w:val="0"/>
          <w:sz w:val="22"/>
        </w:rPr>
        <w:t>This section formally reports an adjudication-reliability incident and its reconstruction. The initial implementation adjudicated collisions with a collision sensor attached to the pedestrian, but measurement confirmed this sensor never fired in CARLA — silent even in cases where the official adjudicator confirmed a collision. A ROS-listener death additionally lost separation records, so many non-intervention-arm cases were misjudged as "avoided" without evidence; this was uncovered by video review, and all affected data were discarded and re-run.</w:t>
      </w:r>
    </w:p>
    <w:p>
      <w:pPr>
        <w:spacing w:line="348" w:lineRule="auto" w:before="0" w:after="0"/>
        <w:ind w:firstLine="330"/>
        <w:jc w:val="both"/>
      </w:pPr>
      <w:r>
        <w:rPr>
          <w:rFonts w:ascii="HY신명조" w:hAnsi="HY신명조" w:eastAsia="HY신명조"/>
          <w:b w:val="0"/>
          <w:sz w:val="22"/>
        </w:rPr>
        <w:t>The reconstructed system has two layers. The primary ground truth is the real-time ledger of the ego collision sensor: the callback of the sensor.other.collision attached by the official adjudicator (CollisionTest) is patched to write, the moment a collision occurs, the counterpart actor identifier to a file (RAW-HIT ledger) — unlike official infraction tallies it survives early/forced termination, and endpoint-structure grazes are classified separately. Consistency audits comprise the pedestrian physics oracle (kinematic anomalies at collision — flung 12-28 m: speed &gt;4.5 m/s or a &gt;5 m jump within 1 s) and the separation stream (not fully independent, same physics engine; the initial 2 m jump threshold falsely flagged normal walking and was raised — stated).</w:t>
      </w:r>
    </w:p>
    <w:p>
      <w:pPr>
        <w:spacing w:line="348" w:lineRule="auto" w:before="0" w:after="0"/>
        <w:ind w:firstLine="330"/>
        <w:jc w:val="both"/>
      </w:pPr>
      <w:r>
        <w:rPr>
          <w:rFonts w:ascii="HY신명조" w:hAnsi="HY신명조" w:eastAsia="HY신명조"/>
          <w:b w:val="0"/>
          <w:sz w:val="22"/>
        </w:rPr>
        <w:t>Verdict pitfalls of the runner exit labels: (i) the collision label may include endpoint-structure contacts (distinguish by ledger counterpart actor); (ii) the hazardous-stop label may include post-collision stops; (iii) official infractions are saved only on natural termination — a recording gap in an early-terminated case is not evidence of no collision. All encounter-level safety figures in this thesis are ledger-based.</w:t>
      </w:r>
    </w:p>
    <w:p>
      <w:pPr>
        <w:spacing w:line="348" w:lineRule="auto" w:before="0" w:after="0"/>
        <w:ind w:firstLine="330"/>
        <w:jc w:val="both"/>
      </w:pPr>
      <w:r>
        <w:rPr>
          <w:rFonts w:ascii="HY신명조" w:hAnsi="HY신명조" w:eastAsia="HY신명조"/>
          <w:b w:val="0"/>
          <w:sz w:val="22"/>
        </w:rPr>
        <w:t>The clock for latency figures is unified to simulation time. Actor destruction at death injection stalls the simulator (~1.6 s) while the world stops with it, so simulation time is the correct clock and wall clock overestimates. Adjudicated latency is computed from injection and state-transition times written to append-only ledgers independent of case termination, with stop-before-destroy preventing residual frames from distorting silence onset.</w:t>
      </w:r>
    </w:p>
    <w:p>
      <w:pPr>
        <w:spacing w:line="348" w:lineRule="auto" w:before="0" w:after="0"/>
      </w:pPr>
    </w:p>
    <w:p>
      <w:pPr>
        <w:keepNext/>
        <w:spacing w:line="348" w:lineRule="auto" w:before="0" w:after="0"/>
      </w:pPr>
      <w:r>
        <w:rPr>
          <w:rFonts w:ascii="HY신명조" w:hAnsi="HY신명조" w:eastAsia="HY신명조"/>
          <w:b/>
          <w:sz w:val="28"/>
        </w:rPr>
        <w:t>4.6 Distance Ladder and 8 m Encounter Experiment Design</w:t>
      </w:r>
    </w:p>
    <w:p>
      <w:pPr>
        <w:spacing w:line="348" w:lineRule="auto" w:before="0" w:after="0"/>
      </w:pPr>
    </w:p>
    <w:p>
      <w:pPr>
        <w:spacing w:line="348" w:lineRule="auto" w:before="0" w:after="0"/>
        <w:ind w:firstLine="330"/>
        <w:jc w:val="both"/>
      </w:pPr>
      <w:r>
        <w:rPr>
          <w:rFonts w:ascii="HY신명조" w:hAnsi="HY신명조" w:eastAsia="HY신명조"/>
          <w:b w:val="0"/>
          <w:sz w:val="22"/>
        </w:rPr>
        <w:t>Spawn distance was varied as a ladder to measure the per-speed avoid/collide boundary. (i) Fault-free ladder: fault-free stock, {14, 11, 8, 6, 5} m × n=4 at a normal-driving (4.2 m/s) waypoint. (ii) Blinded ladder: stock under complete LiDAR degradation (lso-high), same ladder. (iii) 8 m encounter comparison: proposed low-speed MRM vs stock under gn-mid (EKF input contaminated only, perception intact) — cf excluded (signal reading impossible, encounters do not form) and gn-high excluded (mostly comfort stops); the selection process itself corroborates per-fault behavioral differences. (iv) Low-speed ladder: {8, 7, 6, 5} m at 3.0 m/s cruise (restart cruise) — launch protocols differ from the fault-free ladder, so the comparison axis is the encounter speed of constant-speed cruising (Section 5.5). (v) Dose-response experiment: after fixing the cap-delivery defect, caps {4.2, 3.6, 3.0} m/s × distances {6, 7, 8, 9} m × 10 seeds (S12-S21, per-seed randomness fixed — Table 4.3; gn-mid, injection at 25 s) = 120 runs. Launch uses the settlement trigger (spawn D m ahead only once the supervisor is in MRM_MOVE and measured speed has stayed in the cap-specific band for 1.0 s), guaranteeing an encounter under an actually holding cap at trigger level; the three arms differ only in the value on the identical interface (Section 5.6). Adjudication follows the ledger standard of Section 4.5 (the pre-ledger exception is stated in Section 5.3).</w:t>
      </w:r>
    </w:p>
    <w:p>
      <w:pPr>
        <w:spacing w:line="348" w:lineRule="auto" w:before="0" w:after="0"/>
      </w:pPr>
    </w:p>
    <w:p>
      <w:pPr>
        <w:keepNext/>
        <w:spacing w:line="348" w:lineRule="auto" w:before="0" w:after="0"/>
      </w:pPr>
      <w:r>
        <w:rPr>
          <w:rFonts w:ascii="HY신명조" w:hAnsi="HY신명조" w:eastAsia="HY신명조"/>
          <w:b/>
          <w:sz w:val="28"/>
        </w:rPr>
        <w:t>4.7 Metrics and Statistics</w:t>
      </w:r>
    </w:p>
    <w:p>
      <w:pPr>
        <w:spacing w:line="348" w:lineRule="auto" w:before="0" w:after="0"/>
      </w:pPr>
    </w:p>
    <w:p>
      <w:pPr>
        <w:spacing w:line="348" w:lineRule="auto" w:before="0" w:after="0"/>
        <w:ind w:firstLine="330"/>
        <w:jc w:val="both"/>
      </w:pPr>
      <w:r>
        <w:rPr>
          <w:rFonts w:ascii="HY신명조" w:hAnsi="HY신명조" w:eastAsia="HY신명조"/>
          <w:b w:val="0"/>
          <w:sz w:val="22"/>
        </w:rPr>
        <w:t>The primary encounter-level metric is the collision rate, reported with Wilson 95% confidence intervals. Inferential testing is pre-specified as the single primary endpoint of the dose-response experiment — the paired 4.2↔3.0 m/s collision difference at the 8 m spawn (exact McNemar) — with the remaining combinations reported only as boundary characterization (descriptive statistics with Wilson CIs; in small samples the exact McNemar p is discrete: 5:0 gives p=0.0625 and 6:0 first crosses 0.05 at p=0.03125). Fisher's exact test is used for unpaired auxiliary comparisons. As the manipulation check, a run with no launch within 420 s or a first-tick speed outside the band (±0.15 m/s) is rejected regardless of outcome and re-run under identical conditions. Exposure is defined as deg_dist, the distance from injection to reaching MRC.</w:t>
      </w:r>
    </w:p>
    <w:p>
      <w:pPr>
        <w:spacing w:line="348" w:lineRule="auto" w:before="0" w:after="0"/>
      </w:pPr>
    </w:p>
    <w:p>
      <w:pPr>
        <w:keepNext/>
        <w:spacing w:line="348" w:lineRule="auto" w:before="0" w:after="0"/>
      </w:pPr>
      <w:r>
        <w:rPr>
          <w:rFonts w:ascii="HY신명조" w:hAnsi="HY신명조" w:eastAsia="HY신명조"/>
          <w:b/>
          <w:sz w:val="28"/>
        </w:rPr>
        <w:t>4.8 Reproducibility: Key Experimental Parameters</w:t>
      </w:r>
    </w:p>
    <w:p>
      <w:pPr>
        <w:spacing w:line="348" w:lineRule="auto" w:before="0" w:after="0"/>
      </w:pPr>
    </w:p>
    <w:p>
      <w:pPr>
        <w:spacing w:line="348" w:lineRule="auto" w:before="0" w:after="0"/>
        <w:ind w:firstLine="330"/>
        <w:jc w:val="both"/>
      </w:pPr>
      <w:r>
        <w:rPr>
          <w:rFonts w:ascii="HY신명조" w:hAnsi="HY신명조" w:eastAsia="HY신명조"/>
          <w:b w:val="0"/>
          <w:sz w:val="22"/>
        </w:rPr>
        <w:t>Key parameters are summarized in Table 4.3, exactly as used in the experiments, with supporting sections indicated.</w:t>
      </w:r>
    </w:p>
    <w:p>
      <w:pPr>
        <w:keepNext/>
        <w:spacing w:line="312" w:lineRule="auto" w:before="0" w:after="0"/>
      </w:pPr>
      <w:r>
        <w:rPr>
          <w:rFonts w:ascii="HY신명조" w:hAnsi="HY신명조" w:eastAsia="HY신명조"/>
          <w:b/>
          <w:sz w:val="22"/>
        </w:rPr>
        <w:t>Table 4.3. Summary of key experimental parameters</w:t>
      </w:r>
    </w:p>
    <w:tbl>
      <w:tblPr>
        <w:tblStyle w:val="aa"/>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HY신명조" w:hAnsi="HY신명조" w:eastAsia="HY신명조"/>
                <w:b/>
                <w:sz w:val="18"/>
              </w:rPr>
              <w:t>Item</w:t>
            </w:r>
          </w:p>
        </w:tc>
        <w:tc>
          <w:tcPr>
            <w:tcW w:type="dxa" w:w="2835"/>
          </w:tcPr>
          <w:p>
            <w:pPr>
              <w:spacing w:line="288" w:lineRule="auto" w:before="20" w:after="20"/>
              <w:jc w:val="center"/>
            </w:pPr>
            <w:r/>
            <w:r>
              <w:rPr>
                <w:rFonts w:ascii="HY신명조" w:hAnsi="HY신명조" w:eastAsia="HY신명조"/>
                <w:b/>
                <w:sz w:val="18"/>
              </w:rPr>
              <w:t>Value</w:t>
            </w:r>
          </w:p>
        </w:tc>
        <w:tc>
          <w:tcPr>
            <w:tcW w:type="dxa" w:w="2835"/>
          </w:tcPr>
          <w:p>
            <w:pPr>
              <w:spacing w:line="288" w:lineRule="auto" w:before="20" w:after="20"/>
              <w:jc w:val="center"/>
            </w:pPr>
            <w:r/>
            <w:r>
              <w:rPr>
                <w:rFonts w:ascii="HY신명조" w:hAnsi="HY신명조" w:eastAsia="HY신명조"/>
                <w:b/>
                <w:sz w:val="18"/>
              </w:rPr>
              <w:t>Remarks</w:t>
            </w:r>
          </w:p>
        </w:tc>
      </w:tr>
      <w:tr>
        <w:trPr>
          <w:cantSplit/>
        </w:trPr>
        <w:tc>
          <w:tcPr>
            <w:tcW w:type="dxa" w:w="2835"/>
          </w:tcPr>
          <w:p>
            <w:pPr>
              <w:spacing w:line="288" w:lineRule="auto" w:before="20" w:after="20"/>
              <w:jc w:val="left"/>
            </w:pPr>
            <w:r/>
            <w:r>
              <w:rPr>
                <w:rFonts w:ascii="HY신명조" w:hAnsi="HY신명조" w:eastAsia="HY신명조"/>
                <w:b w:val="0"/>
                <w:sz w:val="18"/>
              </w:rPr>
              <w:t>State-transition thresholds</w:t>
            </w:r>
          </w:p>
        </w:tc>
        <w:tc>
          <w:tcPr>
            <w:tcW w:type="dxa" w:w="2835"/>
          </w:tcPr>
          <w:p>
            <w:pPr>
              <w:spacing w:line="288" w:lineRule="auto" w:before="20" w:after="20"/>
              <w:jc w:val="left"/>
            </w:pPr>
            <w:r/>
            <w:r>
              <w:rPr>
                <w:rFonts w:ascii="HY신명조" w:hAnsi="HY신명조" w:eastAsia="HY신명조"/>
                <w:b w:val="0"/>
                <w:sz w:val="18"/>
              </w:rPr>
              <w:t>upper 0.7 / lower 0.3</w:t>
            </w:r>
          </w:p>
        </w:tc>
        <w:tc>
          <w:tcPr>
            <w:tcW w:type="dxa" w:w="2835"/>
          </w:tcPr>
          <w:p>
            <w:pPr>
              <w:spacing w:line="288" w:lineRule="auto" w:before="20" w:after="20"/>
              <w:jc w:val="left"/>
            </w:pPr>
            <w:r/>
            <w:r>
              <w:rPr>
                <w:rFonts w:ascii="HY신명조" w:hAnsi="HY신명조" w:eastAsia="HY신명조"/>
                <w:b w:val="0"/>
                <w:sz w:val="18"/>
              </w:rPr>
              <w:t>dual thresholds — normal/evacuate/defer (Sec. 3.5)</w:t>
            </w:r>
          </w:p>
        </w:tc>
      </w:tr>
      <w:tr>
        <w:trPr>
          <w:cantSplit/>
        </w:trPr>
        <w:tc>
          <w:tcPr>
            <w:tcW w:type="dxa" w:w="2835"/>
          </w:tcPr>
          <w:p>
            <w:pPr>
              <w:spacing w:line="288" w:lineRule="auto" w:before="20" w:after="20"/>
              <w:jc w:val="left"/>
            </w:pPr>
            <w:r/>
            <w:r>
              <w:rPr>
                <w:rFonts w:ascii="HY신명조" w:hAnsi="HY신명조" w:eastAsia="HY신명조"/>
                <w:b w:val="0"/>
                <w:sz w:val="18"/>
              </w:rPr>
              <w:t>Freshness deadline τ_fresh</w:t>
            </w:r>
          </w:p>
        </w:tc>
        <w:tc>
          <w:tcPr>
            <w:tcW w:type="dxa" w:w="2835"/>
          </w:tcPr>
          <w:p>
            <w:pPr>
              <w:spacing w:line="288" w:lineRule="auto" w:before="20" w:after="20"/>
              <w:jc w:val="left"/>
            </w:pPr>
            <w:r/>
            <w:r>
              <w:rPr>
                <w:rFonts w:ascii="HY신명조" w:hAnsi="HY신명조" w:eastAsia="HY신명조"/>
                <w:b w:val="0"/>
                <w:sz w:val="18"/>
              </w:rPr>
              <w:t>850 ms</w:t>
            </w:r>
          </w:p>
        </w:tc>
        <w:tc>
          <w:tcPr>
            <w:tcW w:type="dxa" w:w="2835"/>
          </w:tcPr>
          <w:p>
            <w:pPr>
              <w:spacing w:line="288" w:lineRule="auto" w:before="20" w:after="20"/>
              <w:jc w:val="left"/>
            </w:pPr>
            <w:r/>
            <w:r>
              <w:rPr>
                <w:rFonts w:ascii="HY신명조" w:hAnsi="HY신명조" w:eastAsia="HY신명조"/>
                <w:b w:val="0"/>
                <w:sz w:val="18"/>
              </w:rPr>
              <w:t>hard-fail fast-path criterion (Secs. 3.4-3.5)</w:t>
            </w:r>
          </w:p>
        </w:tc>
      </w:tr>
      <w:tr>
        <w:trPr>
          <w:cantSplit/>
        </w:trPr>
        <w:tc>
          <w:tcPr>
            <w:tcW w:type="dxa" w:w="2835"/>
          </w:tcPr>
          <w:p>
            <w:pPr>
              <w:spacing w:line="288" w:lineRule="auto" w:before="20" w:after="20"/>
              <w:jc w:val="left"/>
            </w:pPr>
            <w:r/>
            <w:r>
              <w:rPr>
                <w:rFonts w:ascii="HY신명조" w:hAnsi="HY신명조" w:eastAsia="HY신명조"/>
                <w:b w:val="0"/>
                <w:sz w:val="18"/>
              </w:rPr>
              <w:t>CUSUM parameters</w:t>
            </w:r>
          </w:p>
        </w:tc>
        <w:tc>
          <w:tcPr>
            <w:tcW w:type="dxa" w:w="2835"/>
          </w:tcPr>
          <w:p>
            <w:pPr>
              <w:spacing w:line="288" w:lineRule="auto" w:before="20" w:after="20"/>
              <w:jc w:val="left"/>
            </w:pPr>
            <w:r/>
            <w:r>
              <w:rPr>
                <w:rFonts w:ascii="HY신명조" w:hAnsi="HY신명조" w:eastAsia="HY신명조"/>
                <w:b w:val="0"/>
                <w:sz w:val="18"/>
              </w:rPr>
              <w:t>k = 0.5×fault-free baseline (adaptive) · h = 0.5 m/30</w:t>
            </w:r>
          </w:p>
        </w:tc>
        <w:tc>
          <w:tcPr>
            <w:tcW w:type="dxa" w:w="2835"/>
          </w:tcPr>
          <w:p>
            <w:pPr>
              <w:spacing w:line="288" w:lineRule="auto" w:before="20" w:after="20"/>
              <w:jc w:val="left"/>
            </w:pPr>
            <w:r/>
            <w:r>
              <w:rPr>
                <w:rFonts w:ascii="HY신명조" w:hAnsi="HY신명조" w:eastAsia="HY신명조"/>
                <w:b w:val="0"/>
                <w:sz w:val="18"/>
              </w:rPr>
              <w:t>quality-series change test; LiDAR/camera σ (Sec. 3.2)</w:t>
            </w:r>
          </w:p>
        </w:tc>
      </w:tr>
      <w:tr>
        <w:trPr>
          <w:cantSplit/>
        </w:trPr>
        <w:tc>
          <w:tcPr>
            <w:tcW w:type="dxa" w:w="2835"/>
          </w:tcPr>
          <w:p>
            <w:pPr>
              <w:spacing w:line="288" w:lineRule="auto" w:before="20" w:after="20"/>
              <w:jc w:val="left"/>
            </w:pPr>
            <w:r/>
            <w:r>
              <w:rPr>
                <w:rFonts w:ascii="HY신명조" w:hAnsi="HY신명조" w:eastAsia="HY신명조"/>
                <w:b w:val="0"/>
                <w:sz w:val="18"/>
              </w:rPr>
              <w:t>Execution environment</w:t>
            </w:r>
          </w:p>
        </w:tc>
        <w:tc>
          <w:tcPr>
            <w:tcW w:type="dxa" w:w="2835"/>
          </w:tcPr>
          <w:p>
            <w:pPr>
              <w:spacing w:line="288" w:lineRule="auto" w:before="20" w:after="20"/>
              <w:jc w:val="left"/>
            </w:pPr>
            <w:r/>
            <w:r>
              <w:rPr>
                <w:rFonts w:ascii="HY신명조" w:hAnsi="HY신명조" w:eastAsia="HY신명조"/>
                <w:b w:val="0"/>
                <w:sz w:val="18"/>
              </w:rPr>
              <w:t>Autoware 0.39.0 · CARLA 0.9.16 · ROS 2 Humble</w:t>
            </w:r>
          </w:p>
        </w:tc>
        <w:tc>
          <w:tcPr>
            <w:tcW w:type="dxa" w:w="2835"/>
          </w:tcPr>
          <w:p>
            <w:pPr>
              <w:spacing w:line="288" w:lineRule="auto" w:before="20" w:after="20"/>
              <w:jc w:val="left"/>
            </w:pPr>
            <w:r/>
            <w:r>
              <w:rPr>
                <w:rFonts w:ascii="HY신명조" w:hAnsi="HY신명조" w:eastAsia="HY신명조"/>
                <w:b w:val="0"/>
                <w:sz w:val="18"/>
              </w:rPr>
              <w:t>synchronous, fixed step 0.05 s; modules cdr_monitor, mrm_supervisor</w:t>
            </w:r>
          </w:p>
        </w:tc>
      </w:tr>
      <w:tr>
        <w:trPr>
          <w:cantSplit/>
        </w:trPr>
        <w:tc>
          <w:tcPr>
            <w:tcW w:type="dxa" w:w="2835"/>
          </w:tcPr>
          <w:p>
            <w:pPr>
              <w:spacing w:line="288" w:lineRule="auto" w:before="20" w:after="20"/>
              <w:jc w:val="left"/>
            </w:pPr>
            <w:r/>
            <w:r>
              <w:rPr>
                <w:rFonts w:ascii="HY신명조" w:hAnsi="HY신명조" w:eastAsia="HY신명조"/>
                <w:b w:val="0"/>
                <w:sz w:val="18"/>
              </w:rPr>
              <w:t>MRM speed cap</w:t>
            </w:r>
          </w:p>
        </w:tc>
        <w:tc>
          <w:tcPr>
            <w:tcW w:type="dxa" w:w="2835"/>
          </w:tcPr>
          <w:p>
            <w:pPr>
              <w:spacing w:line="288" w:lineRule="auto" w:before="20" w:after="20"/>
              <w:jc w:val="left"/>
            </w:pPr>
            <w:r/>
            <w:r>
              <w:rPr>
                <w:rFonts w:ascii="HY신명조" w:hAnsi="HY신명조" w:eastAsia="HY신명조"/>
                <w:b w:val="0"/>
                <w:sz w:val="18"/>
              </w:rPr>
              <w:t>3.0 m/s (fixed)</w:t>
            </w:r>
          </w:p>
        </w:tc>
        <w:tc>
          <w:tcPr>
            <w:tcW w:type="dxa" w:w="2835"/>
          </w:tcPr>
          <w:p>
            <w:pPr>
              <w:spacing w:line="288" w:lineRule="auto" w:before="20" w:after="20"/>
              <w:jc w:val="left"/>
            </w:pPr>
            <w:r/>
            <w:r>
              <w:rPr>
                <w:rFonts w:ascii="HY신명조" w:hAnsi="HY신명조" w:eastAsia="HY신명조"/>
                <w:b w:val="0"/>
                <w:sz w:val="18"/>
              </w:rPr>
              <w:t>below analytic v_max≈3.89 m/s; health-proportional cap implemented, unused (Sec. 3.6)</w:t>
            </w:r>
          </w:p>
        </w:tc>
      </w:tr>
      <w:tr>
        <w:trPr>
          <w:cantSplit/>
        </w:trPr>
        <w:tc>
          <w:tcPr>
            <w:tcW w:type="dxa" w:w="2835"/>
          </w:tcPr>
          <w:p>
            <w:pPr>
              <w:spacing w:line="288" w:lineRule="auto" w:before="20" w:after="20"/>
              <w:jc w:val="left"/>
            </w:pPr>
            <w:r/>
            <w:r>
              <w:rPr>
                <w:rFonts w:ascii="HY신명조" w:hAnsi="HY신명조" w:eastAsia="HY신명조"/>
                <w:b w:val="0"/>
                <w:sz w:val="18"/>
              </w:rPr>
              <w:t>Stopping-distance model</w:t>
            </w:r>
          </w:p>
        </w:tc>
        <w:tc>
          <w:tcPr>
            <w:tcW w:type="dxa" w:w="2835"/>
          </w:tcPr>
          <w:p>
            <w:pPr>
              <w:spacing w:line="288" w:lineRule="auto" w:before="20" w:after="20"/>
              <w:jc w:val="left"/>
            </w:pPr>
            <w:r/>
            <w:r>
              <w:rPr>
                <w:rFonts w:ascii="HY신명조" w:hAnsi="HY신명조" w:eastAsia="HY신명조"/>
                <w:b w:val="0"/>
                <w:sz w:val="18"/>
              </w:rPr>
              <w:t>τ=1.5 s, a=3.5 m/s²</w:t>
            </w:r>
          </w:p>
        </w:tc>
        <w:tc>
          <w:tcPr>
            <w:tcW w:type="dxa" w:w="2835"/>
          </w:tcPr>
          <w:p>
            <w:pPr>
              <w:spacing w:line="288" w:lineRule="auto" w:before="20" w:after="20"/>
              <w:jc w:val="left"/>
            </w:pPr>
            <w:r/>
            <w:r>
              <w:rPr>
                <w:rFonts w:ascii="HY신명조" w:hAnsi="HY신명조" w:eastAsia="HY신명조"/>
                <w:b w:val="0"/>
                <w:sz w:val="18"/>
              </w:rPr>
              <w:t>Eq. (3.9); nominal values calibrated to the ladder — design approximation (Sec. 3.6)</w:t>
            </w:r>
          </w:p>
        </w:tc>
      </w:tr>
      <w:tr>
        <w:trPr>
          <w:cantSplit/>
        </w:trPr>
        <w:tc>
          <w:tcPr>
            <w:tcW w:type="dxa" w:w="2835"/>
          </w:tcPr>
          <w:p>
            <w:pPr>
              <w:spacing w:line="288" w:lineRule="auto" w:before="20" w:after="20"/>
              <w:jc w:val="left"/>
            </w:pPr>
            <w:r/>
            <w:r>
              <w:rPr>
                <w:rFonts w:ascii="HY신명조" w:hAnsi="HY신명조" w:eastAsia="HY신명조"/>
                <w:b w:val="0"/>
                <w:sz w:val="18"/>
              </w:rPr>
              <w:t>Cost weights · hard constraints</w:t>
            </w:r>
          </w:p>
        </w:tc>
        <w:tc>
          <w:tcPr>
            <w:tcW w:type="dxa" w:w="2835"/>
          </w:tcPr>
          <w:p>
            <w:pPr>
              <w:spacing w:line="288" w:lineRule="auto" w:before="20" w:after="20"/>
              <w:jc w:val="left"/>
            </w:pPr>
            <w:r/>
            <w:r>
              <w:rPr>
                <w:rFonts w:ascii="HY신명조" w:hAnsi="HY신명조" w:eastAsia="HY신명조"/>
                <w:b w:val="0"/>
                <w:sz w:val="18"/>
              </w:rPr>
              <w:t>w_t=7.0/s · w_tl=200 · w_sec=500 · w_loc=14/s ·</w:t>
            </w:r>
          </w:p>
          <w:p>
            <w:pPr>
              <w:spacing w:line="288" w:lineRule="auto" w:before="20" w:after="20"/>
              <w:jc w:val="left"/>
            </w:pPr>
            <w:r>
              <w:rPr>
                <w:rFonts w:ascii="HY신명조" w:hAnsi="HY신명조" w:eastAsia="HY신명조"/>
                <w:b w:val="0"/>
                <w:sz w:val="18"/>
              </w:rPr>
              <w:t>min approach 25 m · min shoulder 7.0 m</w:t>
            </w:r>
          </w:p>
        </w:tc>
        <w:tc>
          <w:tcPr>
            <w:tcW w:type="dxa" w:w="2835"/>
          </w:tcPr>
          <w:p>
            <w:pPr>
              <w:spacing w:line="288" w:lineRule="auto" w:before="20" w:after="20"/>
              <w:jc w:val="left"/>
            </w:pPr>
            <w:r/>
            <w:r>
              <w:rPr>
                <w:rFonts w:ascii="HY신명조" w:hAnsi="HY신명조" w:eastAsia="HY신명조"/>
                <w:b w:val="0"/>
                <w:sz w:val="18"/>
              </w:rPr>
              <w:t>Eq. (3.8); 15 s expected wait per signal, shoulder-MRC penalty 175; constraint violators get infinite cost (Sec. 3.5)</w:t>
            </w:r>
          </w:p>
        </w:tc>
      </w:tr>
      <w:tr>
        <w:trPr>
          <w:cantSplit/>
        </w:trPr>
        <w:tc>
          <w:tcPr>
            <w:tcW w:type="dxa" w:w="2835"/>
          </w:tcPr>
          <w:p>
            <w:pPr>
              <w:spacing w:line="288" w:lineRule="auto" w:before="20" w:after="20"/>
              <w:jc w:val="left"/>
            </w:pPr>
            <w:r/>
            <w:r>
              <w:rPr>
                <w:rFonts w:ascii="HY신명조" w:hAnsi="HY신명조" w:eastAsia="HY신명조"/>
                <w:b w:val="0"/>
                <w:sz w:val="18"/>
              </w:rPr>
              <w:t>Launch geometry · walking speed · seeds</w:t>
            </w:r>
          </w:p>
        </w:tc>
        <w:tc>
          <w:tcPr>
            <w:tcW w:type="dxa" w:w="2835"/>
          </w:tcPr>
          <w:p>
            <w:pPr>
              <w:spacing w:line="288" w:lineRule="auto" w:before="20" w:after="20"/>
              <w:jc w:val="left"/>
            </w:pPr>
            <w:r/>
            <w:r>
              <w:rPr>
                <w:rFonts w:ascii="HY신명조" w:hAnsi="HY신명조" w:eastAsia="HY신명조"/>
                <w:b w:val="0"/>
                <w:sz w:val="18"/>
              </w:rPr>
              <w:t>ahead {6, 7, 8, 9} m · jitter ±0.2 m ·</w:t>
            </w:r>
          </w:p>
          <w:p>
            <w:pPr>
              <w:spacing w:line="288" w:lineRule="auto" w:before="20" w:after="20"/>
              <w:jc w:val="left"/>
            </w:pPr>
            <w:r>
              <w:rPr>
                <w:rFonts w:ascii="HY신명조" w:hAnsi="HY신명조" w:eastAsia="HY신명조"/>
                <w:b w:val="0"/>
                <w:sz w:val="18"/>
              </w:rPr>
              <w:t>walk {2.5, 3.0} m/s (per-seed blocks) · S12-S21</w:t>
            </w:r>
          </w:p>
        </w:tc>
        <w:tc>
          <w:tcPr>
            <w:tcW w:type="dxa" w:w="2835"/>
          </w:tcPr>
          <w:p>
            <w:pPr>
              <w:spacing w:line="288" w:lineRule="auto" w:before="20" w:after="20"/>
              <w:jc w:val="left"/>
            </w:pPr>
            <w:r/>
            <w:r>
              <w:rPr>
                <w:rFonts w:ascii="HY신명조" w:hAnsi="HY신명조" w:eastAsia="HY신명조"/>
                <w:b w:val="0"/>
                <w:sz w:val="18"/>
              </w:rPr>
              <w:t>crossing starts at right lane edge +0.5 m; measured median 2.46-2.50 m/s (transient — Sec. 6.6); fault-waveform/pedestrian randomness seed-fixed (Sec. 4.6 (v))</w:t>
            </w:r>
          </w:p>
        </w:tc>
      </w:tr>
      <w:tr>
        <w:trPr>
          <w:cantSplit/>
        </w:trPr>
        <w:tc>
          <w:tcPr>
            <w:tcW w:type="dxa" w:w="2835"/>
          </w:tcPr>
          <w:p>
            <w:pPr>
              <w:spacing w:line="288" w:lineRule="auto" w:before="20" w:after="20"/>
              <w:jc w:val="left"/>
            </w:pPr>
            <w:r/>
            <w:r>
              <w:rPr>
                <w:rFonts w:ascii="HY신명조" w:hAnsi="HY신명조" w:eastAsia="HY신명조"/>
                <w:b w:val="0"/>
                <w:sz w:val="18"/>
              </w:rPr>
              <w:t>Fault severity (mid/high)</w:t>
            </w:r>
          </w:p>
        </w:tc>
        <w:tc>
          <w:tcPr>
            <w:tcW w:type="dxa" w:w="2835"/>
          </w:tcPr>
          <w:p>
            <w:pPr>
              <w:spacing w:line="288" w:lineRule="auto" w:before="20" w:after="20"/>
              <w:jc w:val="left"/>
            </w:pPr>
            <w:r/>
            <w:r>
              <w:rPr>
                <w:rFonts w:ascii="HY신명조" w:hAnsi="HY신명조" w:eastAsia="HY신명조"/>
                <w:b w:val="0"/>
                <w:sz w:val="18"/>
              </w:rPr>
              <w:t>cn 15/30, imn 0.5/1.5, gn 1.0/2.5,</w:t>
            </w:r>
          </w:p>
          <w:p>
            <w:pPr>
              <w:spacing w:line="288" w:lineRule="auto" w:before="20" w:after="20"/>
              <w:jc w:val="left"/>
            </w:pPr>
            <w:r>
              <w:rPr>
                <w:rFonts w:ascii="HY신명조" w:hAnsi="HY신명조" w:eastAsia="HY신명조"/>
                <w:b w:val="0"/>
                <w:sz w:val="18"/>
              </w:rPr>
              <w:t>lso "0.33:90"/"0.07:150", lcl "5:1500"/"25:4000"</w:t>
            </w:r>
          </w:p>
        </w:tc>
        <w:tc>
          <w:tcPr>
            <w:tcW w:type="dxa" w:w="2835"/>
          </w:tcPr>
          <w:p>
            <w:pPr>
              <w:spacing w:line="288" w:lineRule="auto" w:before="20" w:after="20"/>
              <w:jc w:val="left"/>
            </w:pPr>
            <w:r/>
            <w:r>
              <w:rPr>
                <w:rFonts w:ascii="HY신명조" w:hAnsi="HY신명조" w:eastAsia="HY신명조"/>
                <w:b w:val="0"/>
                <w:sz w:val="18"/>
              </w:rPr>
              <w:t>raw injector values (cn pixel σ, imn gyro σ, gn position σ[m], lso/lcl parameter pairs)</w:t>
            </w:r>
          </w:p>
        </w:tc>
      </w:tr>
      <w:tr>
        <w:trPr>
          <w:cantSplit/>
        </w:trPr>
        <w:tc>
          <w:tcPr>
            <w:tcW w:type="dxa" w:w="2835"/>
          </w:tcPr>
          <w:p>
            <w:pPr>
              <w:spacing w:line="288" w:lineRule="auto" w:before="20" w:after="20"/>
              <w:jc w:val="left"/>
            </w:pPr>
            <w:r/>
            <w:r>
              <w:rPr>
                <w:rFonts w:ascii="HY신명조" w:hAnsi="HY신명조" w:eastAsia="HY신명조"/>
                <w:b w:val="0"/>
                <w:sz w:val="18"/>
              </w:rPr>
              <w:t>Dose-response launch bands</w:t>
            </w:r>
          </w:p>
        </w:tc>
        <w:tc>
          <w:tcPr>
            <w:tcW w:type="dxa" w:w="2835"/>
          </w:tcPr>
          <w:p>
            <w:pPr>
              <w:spacing w:line="288" w:lineRule="auto" w:before="20" w:after="20"/>
              <w:jc w:val="left"/>
            </w:pPr>
            <w:r/>
            <w:r>
              <w:rPr>
                <w:rFonts w:ascii="HY신명조" w:hAnsi="HY신명조" w:eastAsia="HY신명조"/>
                <w:b w:val="0"/>
                <w:sz w:val="18"/>
              </w:rPr>
              <w:t>4.2→[3.85, 4.45] · 3.6→[3.25, 3.75] ·</w:t>
            </w:r>
          </w:p>
          <w:p>
            <w:pPr>
              <w:spacing w:line="288" w:lineRule="auto" w:before="20" w:after="20"/>
              <w:jc w:val="left"/>
            </w:pPr>
            <w:r>
              <w:rPr>
                <w:rFonts w:ascii="HY신명조" w:hAnsi="HY신명조" w:eastAsia="HY신명조"/>
                <w:b w:val="0"/>
                <w:sz w:val="18"/>
              </w:rPr>
              <w:t>3.0→[2.65, 3.15] m/s, 1.0 s continuous, spread ≤0.25</w:t>
            </w:r>
          </w:p>
        </w:tc>
        <w:tc>
          <w:tcPr>
            <w:tcW w:type="dxa" w:w="2835"/>
          </w:tcPr>
          <w:p>
            <w:pPr>
              <w:spacing w:line="288" w:lineRule="auto" w:before="20" w:after="20"/>
              <w:jc w:val="left"/>
            </w:pPr>
            <w:r/>
            <w:r>
              <w:rPr>
                <w:rFonts w:ascii="HY신명조" w:hAnsi="HY신명조" w:eastAsia="HY신명조"/>
                <w:b w:val="0"/>
                <w:sz w:val="18"/>
              </w:rPr>
              <w:t>settlement trigger; smoother offset (about −0.2) reflected, mutually disjoint (Sec. 5.6)</w:t>
            </w:r>
          </w:p>
        </w:tc>
      </w:tr>
      <w:tr>
        <w:trPr>
          <w:cantSplit/>
        </w:trPr>
        <w:tc>
          <w:tcPr>
            <w:tcW w:type="dxa" w:w="2835"/>
          </w:tcPr>
          <w:p>
            <w:pPr>
              <w:spacing w:line="288" w:lineRule="auto" w:before="20" w:after="20"/>
              <w:jc w:val="left"/>
            </w:pPr>
            <w:r/>
            <w:r>
              <w:rPr>
                <w:rFonts w:ascii="HY신명조" w:hAnsi="HY신명조" w:eastAsia="HY신명조"/>
                <w:b w:val="0"/>
                <w:sz w:val="18"/>
              </w:rPr>
              <w:t>Traffic-light control</w:t>
            </w:r>
          </w:p>
        </w:tc>
        <w:tc>
          <w:tcPr>
            <w:tcW w:type="dxa" w:w="2835"/>
          </w:tcPr>
          <w:p>
            <w:pPr>
              <w:spacing w:line="288" w:lineRule="auto" w:before="20" w:after="20"/>
              <w:jc w:val="left"/>
            </w:pPr>
            <w:r/>
            <w:r>
              <w:rPr>
                <w:rFonts w:ascii="HY신명조" w:hAnsi="HY신명조" w:eastAsia="HY신명조"/>
                <w:b w:val="0"/>
                <w:sz w:val="18"/>
              </w:rPr>
              <w:t>all frozen green</w:t>
            </w:r>
          </w:p>
        </w:tc>
        <w:tc>
          <w:tcPr>
            <w:tcW w:type="dxa" w:w="2835"/>
          </w:tcPr>
          <w:p>
            <w:pPr>
              <w:spacing w:line="288" w:lineRule="auto" w:before="20" w:after="20"/>
              <w:jc w:val="left"/>
            </w:pPr>
            <w:r/>
            <w:r>
              <w:rPr>
                <w:rFonts w:ascii="HY신명조" w:hAnsi="HY신명조" w:eastAsia="HY신명조"/>
                <w:b w:val="0"/>
                <w:sz w:val="18"/>
              </w:rPr>
              <w:t>removes signal-wait confounds in encounter experiments</w:t>
            </w:r>
          </w:p>
        </w:tc>
      </w:tr>
    </w:tbl>
    <w:p>
      <w:pPr>
        <w:spacing w:line="348" w:lineRule="auto" w:before="0" w:after="0"/>
      </w:pPr>
    </w:p>
    <w:p>
      <w:pPr>
        <w:spacing w:line="348" w:lineRule="auto" w:before="0" w:after="0"/>
        <w:jc w:val="center"/>
      </w:pPr>
      <w:r>
        <w:rPr>
          <w:rFonts w:ascii="HY신명조" w:hAnsi="HY신명조" w:eastAsia="HY신명조"/>
          <w:b/>
          <w:sz w:val="32"/>
        </w:rPr>
        <w:br w:type="page"/>
      </w:r>
      <w:r>
        <w:rPr>
          <w:rFonts w:ascii="HY신명조" w:hAnsi="HY신명조" w:eastAsia="HY신명조"/>
          <w:b/>
          <w:sz w:val="32"/>
        </w:rPr>
        <w:t>Chapter 5. Experimental Results</w:t>
      </w:r>
    </w:p>
    <w:p>
      <w:pPr>
        <w:spacing w:line="348" w:lineRule="auto" w:before="0" w:after="0"/>
      </w:pPr>
    </w:p>
    <w:p>
      <w:pPr>
        <w:spacing w:line="348" w:lineRule="auto" w:before="0" w:after="0"/>
      </w:pPr>
    </w:p>
    <w:p>
      <w:pPr>
        <w:keepNext/>
        <w:spacing w:line="348" w:lineRule="auto" w:before="0" w:after="0"/>
      </w:pPr>
      <w:r>
        <w:rPr>
          <w:rFonts w:ascii="HY신명조" w:hAnsi="HY신명조" w:eastAsia="HY신명조"/>
          <w:b/>
          <w:sz w:val="28"/>
        </w:rPr>
        <w:t>5.1 Main Campaign: Detection Performance and Per-Fault Behavior</w:t>
      </w:r>
    </w:p>
    <w:p>
      <w:pPr>
        <w:spacing w:line="348" w:lineRule="auto" w:before="0" w:after="0"/>
      </w:pPr>
    </w:p>
    <w:p>
      <w:pPr>
        <w:spacing w:line="348" w:lineRule="auto" w:before="0" w:after="0"/>
        <w:ind w:firstLine="330"/>
        <w:jc w:val="both"/>
      </w:pPr>
      <w:r>
        <w:rPr>
          <w:rFonts w:ascii="HY신명조" w:hAnsi="HY신명조" w:eastAsia="HY신명조"/>
          <w:b w:val="0"/>
          <w:sz w:val="22"/>
        </w:rPr>
        <w:t>We begin with detection performance (the premise of RQ1). Table 5.1 summarizes per-condition detection rates and median latencies. The proposed detectors achieved 96-100% in 11 of 12 fault conditions (median latency: hard fails ~1.0 s by ledger re-measurement, degradation faults 2.1-5.0 s), with zero false activations in the 45 fault-free (nf) controls. The sole exception, mid LiDAR sparsification (lso-mid, 0.02), lies by design in the tolerated band above the threshold — about 55 m of effective detection range remains after this dropout level, health does not reach the intervention condition, and the supervisor deliberately continues driving (Table 5.2). Since "tolerance as designed" cannot yet be separated from quality-channel insensitivity, the rates of Table 5.1 should be read as intervention eligibility, with the separation stated as future work. The four navigation faults (gb correlated bias, gf outage, imb gyro bias, imd bias ramp) were evaluated in a navigation-extension matrix of identical structure (45 cases per condition and method, identical seed pairing): detection was 100% in every condition over 611/630 valid cases (Table 5.1, †), all converging to localization-confidence-based deferral, the same design manifestation as gn-high. Three observations: (i) imd latency is inversely related to ramp slope (median 8.6 vs 5.4 s) — small faults are caught later but become dangerous later; (ii) gf latency is bimodal (median ~3 s while driving; 21-40 s when the outage coincides with a red-light stop — an intended delay of the silence-decay speed condition, and the two modes are reported separately); (iii) the deferral stop mode split by family: GNSS produced comfortable stops, IMU all hard stops — with corrupted rotational sense the execution layer demotes trajectory following to a hard stop.</w:t>
      </w:r>
    </w:p>
    <w:p>
      <w:pPr>
        <w:keepNext/>
        <w:spacing w:line="312" w:lineRule="auto" w:before="0" w:after="0"/>
      </w:pPr>
      <w:r>
        <w:rPr>
          <w:rFonts w:ascii="HY신명조" w:hAnsi="HY신명조" w:eastAsia="HY신명조"/>
          <w:b/>
          <w:sz w:val="22"/>
        </w:rPr>
        <w:t>Table 5.1. Detection rate and median latency per fault condition (main campaign and navigation extension†, proposed detectors)</w:t>
      </w:r>
    </w:p>
    <w:tbl>
      <w:tblPr>
        <w:tblStyle w:val="aa"/>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Fault</w:t>
            </w:r>
          </w:p>
        </w:tc>
        <w:tc>
          <w:tcPr>
            <w:tcW w:type="dxa" w:w="1701"/>
          </w:tcPr>
          <w:p>
            <w:pPr>
              <w:spacing w:line="288" w:lineRule="auto" w:before="20" w:after="20"/>
              <w:jc w:val="center"/>
            </w:pPr>
            <w:r/>
            <w:r>
              <w:rPr>
                <w:rFonts w:ascii="HY신명조" w:hAnsi="HY신명조" w:eastAsia="HY신명조"/>
                <w:b/>
                <w:sz w:val="18"/>
              </w:rPr>
              <w:t>Severity</w:t>
            </w:r>
          </w:p>
        </w:tc>
        <w:tc>
          <w:tcPr>
            <w:tcW w:type="dxa" w:w="1701"/>
          </w:tcPr>
          <w:p>
            <w:pPr>
              <w:spacing w:line="288" w:lineRule="auto" w:before="20" w:after="20"/>
              <w:jc w:val="center"/>
            </w:pPr>
            <w:r/>
            <w:r>
              <w:rPr>
                <w:rFonts w:ascii="HY신명조" w:hAnsi="HY신명조" w:eastAsia="HY신명조"/>
                <w:b/>
                <w:sz w:val="18"/>
              </w:rPr>
              <w:t>n</w:t>
            </w:r>
          </w:p>
        </w:tc>
        <w:tc>
          <w:tcPr>
            <w:tcW w:type="dxa" w:w="1701"/>
          </w:tcPr>
          <w:p>
            <w:pPr>
              <w:spacing w:line="288" w:lineRule="auto" w:before="20" w:after="20"/>
              <w:jc w:val="center"/>
            </w:pPr>
            <w:r/>
            <w:r>
              <w:rPr>
                <w:rFonts w:ascii="HY신명조" w:hAnsi="HY신명조" w:eastAsia="HY신명조"/>
                <w:b/>
                <w:sz w:val="18"/>
              </w:rPr>
              <w:t>Det. rate</w:t>
            </w:r>
          </w:p>
        </w:tc>
        <w:tc>
          <w:tcPr>
            <w:tcW w:type="dxa" w:w="1701"/>
          </w:tcPr>
          <w:p>
            <w:pPr>
              <w:spacing w:line="288" w:lineRule="auto" w:before="20" w:after="20"/>
              <w:jc w:val="center"/>
            </w:pPr>
            <w:r/>
            <w:r>
              <w:rPr>
                <w:rFonts w:ascii="HY신명조" w:hAnsi="HY신명조" w:eastAsia="HY신명조"/>
                <w:b/>
                <w:sz w:val="18"/>
              </w:rPr>
              <w:t>Median latency (s)</w:t>
            </w:r>
          </w:p>
        </w:tc>
      </w:tr>
      <w:tr>
        <w:trPr>
          <w:cantSplit/>
        </w:trPr>
        <w:tc>
          <w:tcPr>
            <w:tcW w:type="dxa" w:w="1701"/>
          </w:tcPr>
          <w:p>
            <w:pPr>
              <w:spacing w:line="288" w:lineRule="auto" w:before="20" w:after="20"/>
              <w:jc w:val="left"/>
            </w:pPr>
            <w:r/>
            <w:r>
              <w:rPr>
                <w:rFonts w:ascii="HY신명조" w:hAnsi="HY신명조" w:eastAsia="HY신명조"/>
                <w:b w:val="0"/>
                <w:sz w:val="18"/>
              </w:rPr>
              <w:t>cf camera death</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0.98*</w:t>
            </w:r>
          </w:p>
        </w:tc>
      </w:tr>
      <w:tr>
        <w:trPr>
          <w:cantSplit/>
        </w:trPr>
        <w:tc>
          <w:tcPr>
            <w:tcW w:type="dxa" w:w="1701"/>
          </w:tcPr>
          <w:p>
            <w:pPr>
              <w:spacing w:line="288" w:lineRule="auto" w:before="20" w:after="20"/>
              <w:jc w:val="left"/>
            </w:pPr>
            <w:r/>
            <w:r>
              <w:rPr>
                <w:rFonts w:ascii="HY신명조" w:hAnsi="HY신명조" w:eastAsia="HY신명조"/>
                <w:b w:val="0"/>
                <w:sz w:val="18"/>
              </w:rPr>
              <w:t>cn camera noise</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0.98/1.00</w:t>
            </w:r>
          </w:p>
        </w:tc>
        <w:tc>
          <w:tcPr>
            <w:tcW w:type="dxa" w:w="1701"/>
          </w:tcPr>
          <w:p>
            <w:pPr>
              <w:spacing w:line="288" w:lineRule="auto" w:before="20" w:after="20"/>
              <w:jc w:val="left"/>
            </w:pPr>
            <w:r/>
            <w:r>
              <w:rPr>
                <w:rFonts w:ascii="HY신명조" w:hAnsi="HY신명조" w:eastAsia="HY신명조"/>
                <w:b w:val="0"/>
                <w:sz w:val="18"/>
              </w:rPr>
              <w:t>3.3/3.2</w:t>
            </w:r>
          </w:p>
        </w:tc>
      </w:tr>
      <w:tr>
        <w:trPr>
          <w:cantSplit/>
        </w:trPr>
        <w:tc>
          <w:tcPr>
            <w:tcW w:type="dxa" w:w="1701"/>
          </w:tcPr>
          <w:p>
            <w:pPr>
              <w:spacing w:line="288" w:lineRule="auto" w:before="20" w:after="20"/>
              <w:jc w:val="left"/>
            </w:pPr>
            <w:r/>
            <w:r>
              <w:rPr>
                <w:rFonts w:ascii="HY신명조" w:hAnsi="HY신명조" w:eastAsia="HY신명조"/>
                <w:b w:val="0"/>
                <w:sz w:val="18"/>
              </w:rPr>
              <w:t>gn GNSS position noise</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2.1/4.4</w:t>
            </w:r>
          </w:p>
        </w:tc>
      </w:tr>
      <w:tr>
        <w:trPr>
          <w:cantSplit/>
        </w:trPr>
        <w:tc>
          <w:tcPr>
            <w:tcW w:type="dxa" w:w="1701"/>
          </w:tcPr>
          <w:p>
            <w:pPr>
              <w:spacing w:line="288" w:lineRule="auto" w:before="20" w:after="20"/>
              <w:jc w:val="left"/>
            </w:pPr>
            <w:r/>
            <w:r>
              <w:rPr>
                <w:rFonts w:ascii="HY신명조" w:hAnsi="HY신명조" w:eastAsia="HY신명조"/>
                <w:b w:val="0"/>
                <w:sz w:val="18"/>
              </w:rPr>
              <w:t>imn IMU gyro noise</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1.00/0.98</w:t>
            </w:r>
          </w:p>
        </w:tc>
        <w:tc>
          <w:tcPr>
            <w:tcW w:type="dxa" w:w="1701"/>
          </w:tcPr>
          <w:p>
            <w:pPr>
              <w:spacing w:line="288" w:lineRule="auto" w:before="20" w:after="20"/>
              <w:jc w:val="left"/>
            </w:pPr>
            <w:r/>
            <w:r>
              <w:rPr>
                <w:rFonts w:ascii="HY신명조" w:hAnsi="HY신명조" w:eastAsia="HY신명조"/>
                <w:b w:val="0"/>
                <w:sz w:val="18"/>
              </w:rPr>
              <w:t>4.8/3.7</w:t>
            </w:r>
          </w:p>
        </w:tc>
      </w:tr>
      <w:tr>
        <w:trPr>
          <w:cantSplit/>
        </w:trPr>
        <w:tc>
          <w:tcPr>
            <w:tcW w:type="dxa" w:w="1701"/>
          </w:tcPr>
          <w:p>
            <w:pPr>
              <w:spacing w:line="288" w:lineRule="auto" w:before="20" w:after="20"/>
              <w:jc w:val="left"/>
            </w:pPr>
            <w:r/>
            <w:r>
              <w:rPr>
                <w:rFonts w:ascii="HY신명조" w:hAnsi="HY신명조" w:eastAsia="HY신명조"/>
                <w:b w:val="0"/>
                <w:sz w:val="18"/>
              </w:rPr>
              <w:t>lcl LiDAR clutter</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45/26</w:t>
            </w:r>
          </w:p>
        </w:tc>
        <w:tc>
          <w:tcPr>
            <w:tcW w:type="dxa" w:w="1701"/>
          </w:tcPr>
          <w:p>
            <w:pPr>
              <w:spacing w:line="288" w:lineRule="auto" w:before="20" w:after="20"/>
              <w:jc w:val="left"/>
            </w:pPr>
            <w:r/>
            <w:r>
              <w:rPr>
                <w:rFonts w:ascii="HY신명조" w:hAnsi="HY신명조" w:eastAsia="HY신명조"/>
                <w:b w:val="0"/>
                <w:sz w:val="18"/>
              </w:rPr>
              <w:t>1.00/0.96</w:t>
            </w:r>
          </w:p>
        </w:tc>
        <w:tc>
          <w:tcPr>
            <w:tcW w:type="dxa" w:w="1701"/>
          </w:tcPr>
          <w:p>
            <w:pPr>
              <w:spacing w:line="288" w:lineRule="auto" w:before="20" w:after="20"/>
              <w:jc w:val="left"/>
            </w:pPr>
            <w:r/>
            <w:r>
              <w:rPr>
                <w:rFonts w:ascii="HY신명조" w:hAnsi="HY신명조" w:eastAsia="HY신명조"/>
                <w:b w:val="0"/>
                <w:sz w:val="18"/>
              </w:rPr>
              <w:t>4.8/4.5</w:t>
            </w:r>
          </w:p>
        </w:tc>
      </w:tr>
      <w:tr>
        <w:trPr>
          <w:cantSplit/>
        </w:trPr>
        <w:tc>
          <w:tcPr>
            <w:tcW w:type="dxa" w:w="1701"/>
          </w:tcPr>
          <w:p>
            <w:pPr>
              <w:spacing w:line="288" w:lineRule="auto" w:before="20" w:after="20"/>
              <w:jc w:val="left"/>
            </w:pPr>
            <w:r/>
            <w:r>
              <w:rPr>
                <w:rFonts w:ascii="HY신명조" w:hAnsi="HY신명조" w:eastAsia="HY신명조"/>
                <w:b w:val="0"/>
                <w:sz w:val="18"/>
              </w:rPr>
              <w:t>lf LiDAR death</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1.00*</w:t>
            </w:r>
          </w:p>
        </w:tc>
      </w:tr>
      <w:tr>
        <w:trPr>
          <w:cantSplit/>
        </w:trPr>
        <w:tc>
          <w:tcPr>
            <w:tcW w:type="dxa" w:w="1701"/>
          </w:tcPr>
          <w:p>
            <w:pPr>
              <w:spacing w:line="288" w:lineRule="auto" w:before="20" w:after="20"/>
              <w:jc w:val="left"/>
            </w:pPr>
            <w:r/>
            <w:r>
              <w:rPr>
                <w:rFonts w:ascii="HY신명조" w:hAnsi="HY신명조" w:eastAsia="HY신명조"/>
                <w:b w:val="0"/>
                <w:sz w:val="18"/>
              </w:rPr>
              <w:t>lso LiDAR sparsification</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0.02/0.98</w:t>
            </w:r>
          </w:p>
        </w:tc>
        <w:tc>
          <w:tcPr>
            <w:tcW w:type="dxa" w:w="1701"/>
          </w:tcPr>
          <w:p>
            <w:pPr>
              <w:spacing w:line="288" w:lineRule="auto" w:before="20" w:after="20"/>
              <w:jc w:val="left"/>
            </w:pPr>
            <w:r/>
            <w:r>
              <w:rPr>
                <w:rFonts w:ascii="HY신명조" w:hAnsi="HY신명조" w:eastAsia="HY신명조"/>
                <w:b w:val="0"/>
                <w:sz w:val="18"/>
              </w:rPr>
              <w:t>-(tolerated)/5.0</w:t>
            </w:r>
          </w:p>
        </w:tc>
      </w:tr>
      <w:tr>
        <w:trPr>
          <w:cantSplit/>
        </w:trPr>
        <w:tc>
          <w:tcPr>
            <w:tcW w:type="dxa" w:w="1701"/>
          </w:tcPr>
          <w:p>
            <w:pPr>
              <w:spacing w:line="288" w:lineRule="auto" w:before="20" w:after="20"/>
              <w:jc w:val="left"/>
            </w:pPr>
            <w:r/>
            <w:r>
              <w:rPr>
                <w:rFonts w:ascii="HY신명조" w:hAnsi="HY신명조" w:eastAsia="HY신명조"/>
                <w:b w:val="0"/>
                <w:sz w:val="18"/>
              </w:rPr>
              <w:t>gb† GNSS correlated bias</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3.0/2.3</w:t>
            </w:r>
          </w:p>
        </w:tc>
      </w:tr>
      <w:tr>
        <w:trPr>
          <w:cantSplit/>
        </w:trPr>
        <w:tc>
          <w:tcPr>
            <w:tcW w:type="dxa" w:w="1701"/>
          </w:tcPr>
          <w:p>
            <w:pPr>
              <w:spacing w:line="288" w:lineRule="auto" w:before="20" w:after="20"/>
              <w:jc w:val="left"/>
            </w:pPr>
            <w:r/>
            <w:r>
              <w:rPr>
                <w:rFonts w:ascii="HY신명조" w:hAnsi="HY신명조" w:eastAsia="HY신명조"/>
                <w:b w:val="0"/>
                <w:sz w:val="18"/>
              </w:rPr>
              <w:t>gf† GNSS outage</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 (driving; bimodal — text)</w:t>
            </w:r>
          </w:p>
        </w:tc>
      </w:tr>
      <w:tr>
        <w:trPr>
          <w:cantSplit/>
        </w:trPr>
        <w:tc>
          <w:tcPr>
            <w:tcW w:type="dxa" w:w="1701"/>
          </w:tcPr>
          <w:p>
            <w:pPr>
              <w:spacing w:line="288" w:lineRule="auto" w:before="20" w:after="20"/>
              <w:jc w:val="left"/>
            </w:pPr>
            <w:r/>
            <w:r>
              <w:rPr>
                <w:rFonts w:ascii="HY신명조" w:hAnsi="HY신명조" w:eastAsia="HY신명조"/>
                <w:b w:val="0"/>
                <w:sz w:val="18"/>
              </w:rPr>
              <w:t>imb† IMU gyro bias</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43/45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3.6/3.2</w:t>
            </w:r>
          </w:p>
        </w:tc>
      </w:tr>
      <w:tr>
        <w:trPr>
          <w:cantSplit/>
        </w:trPr>
        <w:tc>
          <w:tcPr>
            <w:tcW w:type="dxa" w:w="1701"/>
          </w:tcPr>
          <w:p>
            <w:pPr>
              <w:spacing w:line="288" w:lineRule="auto" w:before="20" w:after="20"/>
              <w:jc w:val="left"/>
            </w:pPr>
            <w:r/>
            <w:r>
              <w:rPr>
                <w:rFonts w:ascii="HY신명조" w:hAnsi="HY신명조" w:eastAsia="HY신명조"/>
                <w:b w:val="0"/>
                <w:sz w:val="18"/>
              </w:rPr>
              <w:t>imd† IMU bias ramp</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43/44</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8.6/5.4</w:t>
            </w:r>
          </w:p>
        </w:tc>
      </w:tr>
    </w:tbl>
    <w:p>
      <w:pPr>
        <w:spacing w:line="312" w:lineRule="auto" w:before="0" w:after="0"/>
      </w:pPr>
      <w:r>
        <w:rPr>
          <w:rFonts w:ascii="HY신명조" w:hAnsi="HY신명조" w:eastAsia="HY신명조"/>
          <w:b w:val="0"/>
          <w:sz w:val="18"/>
        </w:rPr>
        <w:t>Zero false activations in 45 fault-free (nf) controls. "-" for lso-mid: no median reported (1/45 detected). †Navigation extension (identical structure and seed pairing; baseline arm also 100%). *Hard-fail latencies are ledger-based simulation time (distributions in Table 5.5); others wall clock.</w:t>
      </w:r>
    </w:p>
    <w:p>
      <w:pPr>
        <w:spacing w:line="348" w:lineRule="auto" w:before="0" w:after="0"/>
      </w:pPr>
    </w:p>
    <w:p>
      <w:pPr>
        <w:keepNext/>
        <w:spacing w:line="240" w:lineRule="auto"/>
        <w:jc w:val="center"/>
      </w:pPr>
      <w:r>
        <w:drawing>
          <wp:inline xmlns:a="http://schemas.openxmlformats.org/drawingml/2006/main" xmlns:pic="http://schemas.openxmlformats.org/drawingml/2006/picture">
            <wp:extent cx="3240000" cy="3706981"/>
            <wp:docPr id="8" name="Picture 8"/>
            <wp:cNvGraphicFramePr>
              <a:graphicFrameLocks noChangeAspect="1"/>
            </wp:cNvGraphicFramePr>
            <a:graphic>
              <a:graphicData uri="http://schemas.openxmlformats.org/drawingml/2006/picture">
                <pic:pic>
                  <pic:nvPicPr>
                    <pic:cNvPr id="0" name="fig7_latency.png"/>
                    <pic:cNvPicPr/>
                  </pic:nvPicPr>
                  <pic:blipFill>
                    <a:blip r:embed="rId22"/>
                    <a:stretch>
                      <a:fillRect/>
                    </a:stretch>
                  </pic:blipFill>
                  <pic:spPr>
                    <a:xfrm>
                      <a:off x="0" y="0"/>
                      <a:ext cx="3240000" cy="3706981"/>
                    </a:xfrm>
                    <a:prstGeom prst="rect"/>
                  </pic:spPr>
                </pic:pic>
              </a:graphicData>
            </a:graphic>
          </wp:inline>
        </w:drawing>
      </w:r>
    </w:p>
    <w:p>
      <w:pPr>
        <w:keepLines/>
        <w:spacing w:line="312" w:lineRule="auto" w:before="0" w:after="0"/>
      </w:pPr>
      <w:r>
        <w:rPr>
          <w:rFonts w:ascii="HY신명조" w:hAnsi="HY신명조" w:eastAsia="HY신명조"/>
          <w:b/>
          <w:sz w:val="22"/>
        </w:rPr>
        <w:t>Figure 5.1. Detection-latency distributions per condition (proposed arm, from injection). Top: main campaign; bottom: navigation extension; death rows (*) are ledger-based simulation-time re-measurements (Section 5.7). Bars mark medians; the gf right tail is red-light-stop injections detected after restart. Hard-fail rows (simulation time) and the rest (wall clock) live in different clock domains.</w:t>
      </w:r>
    </w:p>
    <w:p>
      <w:pPr>
        <w:spacing w:line="348" w:lineRule="auto" w:before="0" w:after="0"/>
      </w:pPr>
    </w:p>
    <w:p>
      <w:pPr>
        <w:spacing w:line="348" w:lineRule="auto" w:before="0" w:after="0"/>
        <w:ind w:firstLine="330"/>
        <w:jc w:val="both"/>
      </w:pPr>
      <w:r>
        <w:rPr>
          <w:rFonts w:ascii="HY신명조" w:hAnsi="HY신명조" w:eastAsia="HY신명조"/>
          <w:b w:val="0"/>
          <w:sz w:val="22"/>
        </w:rPr>
        <w:t>Behind the binary rates lies the continuous signal (Figure 5.2). The decision variable of the state transitions (0.7/0.3) is the perception channel (localization stays intact under LiDAR degradation, so the min takes perception), and it separates into distinct bands by severity: fault-free never falls below 0.7 after warm-up (measured minimum 0.71 — consistent with zero false activations), mid severity stays in the tolerated band (the basis of lso-mid non-intervention), and high severity departs below threshold immediately on injection — the basis of the graded three-regime transition. The obstacle channel is dedicated to the MRM movement gate, so its sub-0.7 fluctuations do not contradict the zero false activations; the navigation family (gn, imn) is decided by the localization channels, so this observation applies to the LiDAR-degradation channels of /monitor/scores. Score-structure robustness was checked by offline re-adjudication of five representative traces: varying the upper threshold over 0.65-0.75 and the obstacle:signal weight over 0.5:0.5-0.7:0.3 left all verdicts unchanged (fault-free minimum 0.71 and tolerated minimum 0.75 vs intervention maximum 0.54 — a wide separation); a trace-level check, not a campaign re-run.</w:t>
      </w:r>
    </w:p>
    <w:p>
      <w:pPr>
        <w:keepNext/>
        <w:spacing w:line="240" w:lineRule="auto"/>
        <w:jc w:val="center"/>
      </w:pPr>
      <w:r>
        <w:drawing>
          <wp:inline xmlns:a="http://schemas.openxmlformats.org/drawingml/2006/main" xmlns:pic="http://schemas.openxmlformats.org/drawingml/2006/picture">
            <wp:extent cx="3780000" cy="2268491"/>
            <wp:docPr id="9" name="Picture 9"/>
            <wp:cNvGraphicFramePr>
              <a:graphicFrameLocks noChangeAspect="1"/>
            </wp:cNvGraphicFramePr>
            <a:graphic>
              <a:graphicData uri="http://schemas.openxmlformats.org/drawingml/2006/picture">
                <pic:pic>
                  <pic:nvPicPr>
                    <pic:cNvPr id="0" name="fig12_health.png"/>
                    <pic:cNvPicPr/>
                  </pic:nvPicPr>
                  <pic:blipFill>
                    <a:blip r:embed="rId23"/>
                    <a:stretch>
                      <a:fillRect/>
                    </a:stretch>
                  </pic:blipFill>
                  <pic:spPr>
                    <a:xfrm>
                      <a:off x="0" y="0"/>
                      <a:ext cx="3780000" cy="2268491"/>
                    </a:xfrm>
                    <a:prstGeom prst="rect"/>
                  </pic:spPr>
                </pic:pic>
              </a:graphicData>
            </a:graphic>
          </wp:inline>
        </w:drawing>
      </w:r>
    </w:p>
    <w:p>
      <w:pPr>
        <w:keepLines/>
        <w:spacing w:line="312" w:lineRule="auto" w:before="0" w:after="0"/>
      </w:pPr>
      <w:r>
        <w:rPr>
          <w:rFonts w:ascii="HY신명조" w:hAnsi="HY신명조" w:eastAsia="HY신명조"/>
          <w:b/>
          <w:sz w:val="22"/>
        </w:rPr>
        <w:t>Figure 5.2. Injection-aligned continuous health traces — (top) the perception capability score feeding the transitions (dual thresholds 0.7/0.3); (bottom) the affected sensor's raw score: (a) LiDAR sparsification, (b) camera pixel noise. Time zero is the injection instant; shading is the fault-free settled P5-P95; one representative run per condition. lso-mid is tolerated and completes the route; lso-high and both cn severities trigger intervention. The navigation family is decided by the localization channels (outside /monitor/scores) and is out of scope here.</w:t>
      </w:r>
    </w:p>
    <w:p>
      <w:pPr>
        <w:spacing w:line="348" w:lineRule="auto" w:before="0" w:after="0"/>
      </w:pPr>
    </w:p>
    <w:p>
      <w:pPr>
        <w:spacing w:line="348" w:lineRule="auto" w:before="0" w:after="0"/>
        <w:ind w:firstLine="330"/>
        <w:jc w:val="both"/>
      </w:pPr>
      <w:r>
        <w:rPr>
          <w:rFonts w:ascii="HY신명조" w:hAnsi="HY신명조" w:eastAsia="HY신명조"/>
          <w:b w:val="0"/>
          <w:sz w:val="22"/>
        </w:rPr>
        <w:t>Next, evacuation behavior (Table 5.2; 1,131 valid cases, proposed arm). For faults preserving the capability to move, the proposal evacuated while baseline stopped in lane in every case — baseline's zero evacuations are the definitional consequence of its policy, not failures. Under camera death (cf) the proposal completed shoulder evacuation in 16 of 45; the rest split into 27 intended stop deferrals (MRM_DEFER) and 2 maneuver incompletions — deferral is the supervisor's intended policy choice that moving in this state is dangerous. One factor limiting the completion rate is the intended conservatism of the traffic-light observability gate. Camera noise (cn) reached the shoulder in 25 of 90.</w:t>
      </w:r>
    </w:p>
    <w:p>
      <w:pPr>
        <w:keepNext/>
        <w:spacing w:line="312" w:lineRule="auto" w:before="0" w:after="0"/>
      </w:pPr>
      <w:r>
        <w:rPr>
          <w:rFonts w:ascii="HY신명조" w:hAnsi="HY신명조" w:eastAsia="HY신명조"/>
          <w:b/>
          <w:sz w:val="22"/>
        </w:rPr>
        <w:t>Table 5.2. Evacuation behavior in the main campaign (proposed arm)</w:t>
      </w:r>
    </w:p>
    <w:tbl>
      <w:tblPr>
        <w:tblStyle w:val="aa"/>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Fault</w:t>
            </w:r>
          </w:p>
        </w:tc>
        <w:tc>
          <w:tcPr>
            <w:tcW w:type="dxa" w:w="2126"/>
          </w:tcPr>
          <w:p>
            <w:pPr>
              <w:spacing w:line="288" w:lineRule="auto" w:before="20" w:after="20"/>
              <w:jc w:val="center"/>
            </w:pPr>
            <w:r/>
            <w:r>
              <w:rPr>
                <w:rFonts w:ascii="HY신명조" w:hAnsi="HY신명조" w:eastAsia="HY신명조"/>
                <w:b/>
                <w:sz w:val="18"/>
              </w:rPr>
              <w:t>Cases</w:t>
            </w:r>
          </w:p>
        </w:tc>
        <w:tc>
          <w:tcPr>
            <w:tcW w:type="dxa" w:w="2126"/>
          </w:tcPr>
          <w:p>
            <w:pPr>
              <w:spacing w:line="288" w:lineRule="auto" w:before="20" w:after="20"/>
              <w:jc w:val="center"/>
            </w:pPr>
            <w:r/>
            <w:r>
              <w:rPr>
                <w:rFonts w:ascii="HY신명조" w:hAnsi="HY신명조" w:eastAsia="HY신명조"/>
                <w:b/>
                <w:sz w:val="18"/>
              </w:rPr>
              <w:t>Shoulder/parking reached</w:t>
            </w:r>
          </w:p>
        </w:tc>
        <w:tc>
          <w:tcPr>
            <w:tcW w:type="dxa" w:w="2126"/>
          </w:tcPr>
          <w:p>
            <w:pPr>
              <w:spacing w:line="288" w:lineRule="auto" w:before="20" w:after="20"/>
              <w:jc w:val="center"/>
            </w:pPr>
            <w:r/>
            <w:r>
              <w:rPr>
                <w:rFonts w:ascii="HY신명조" w:hAnsi="HY신명조" w:eastAsia="HY신명조"/>
                <w:b/>
                <w:sz w:val="18"/>
              </w:rPr>
              <w:t>Notes</w:t>
            </w:r>
          </w:p>
        </w:tc>
      </w:tr>
      <w:tr>
        <w:trPr>
          <w:cantSplit/>
        </w:trPr>
        <w:tc>
          <w:tcPr>
            <w:tcW w:type="dxa" w:w="2126"/>
          </w:tcPr>
          <w:p>
            <w:pPr>
              <w:spacing w:line="288" w:lineRule="auto" w:before="20" w:after="20"/>
              <w:jc w:val="left"/>
            </w:pPr>
            <w:r/>
            <w:r>
              <w:rPr>
                <w:rFonts w:ascii="HY신명조" w:hAnsi="HY신명조" w:eastAsia="HY신명조"/>
                <w:b w:val="0"/>
                <w:sz w:val="18"/>
              </w:rPr>
              <w:t>cf camera death</w:t>
            </w:r>
          </w:p>
        </w:tc>
        <w:tc>
          <w:tcPr>
            <w:tcW w:type="dxa" w:w="2126"/>
          </w:tcPr>
          <w:p>
            <w:pPr>
              <w:spacing w:line="288" w:lineRule="auto" w:before="20" w:after="20"/>
              <w:jc w:val="left"/>
            </w:pPr>
            <w:r/>
            <w:r>
              <w:rPr>
                <w:rFonts w:ascii="HY신명조" w:hAnsi="HY신명조" w:eastAsia="HY신명조"/>
                <w:b w:val="0"/>
                <w:sz w:val="18"/>
              </w:rPr>
              <w:t>45</w:t>
            </w:r>
          </w:p>
        </w:tc>
        <w:tc>
          <w:tcPr>
            <w:tcW w:type="dxa" w:w="2126"/>
          </w:tcPr>
          <w:p>
            <w:pPr>
              <w:spacing w:line="288" w:lineRule="auto" w:before="20" w:after="20"/>
              <w:jc w:val="left"/>
            </w:pPr>
            <w:r/>
            <w:r>
              <w:rPr>
                <w:rFonts w:ascii="HY신명조" w:hAnsi="HY신명조" w:eastAsia="HY신명조"/>
                <w:b w:val="0"/>
                <w:sz w:val="18"/>
              </w:rPr>
              <w:t>shoulder 16</w:t>
            </w:r>
          </w:p>
        </w:tc>
        <w:tc>
          <w:tcPr>
            <w:tcW w:type="dxa" w:w="2126"/>
          </w:tcPr>
          <w:p>
            <w:pPr>
              <w:spacing w:line="288" w:lineRule="auto" w:before="20" w:after="20"/>
              <w:jc w:val="left"/>
            </w:pPr>
            <w:r/>
            <w:r>
              <w:rPr>
                <w:rFonts w:ascii="HY신명조" w:hAnsi="HY신명조" w:eastAsia="HY신명조"/>
                <w:b w:val="0"/>
                <w:sz w:val="18"/>
              </w:rPr>
              <w:t>baseline: in-lane stop in all cases</w:t>
            </w:r>
          </w:p>
        </w:tc>
      </w:tr>
      <w:tr>
        <w:trPr>
          <w:cantSplit/>
        </w:trPr>
        <w:tc>
          <w:tcPr>
            <w:tcW w:type="dxa" w:w="2126"/>
          </w:tcPr>
          <w:p>
            <w:pPr>
              <w:spacing w:line="288" w:lineRule="auto" w:before="20" w:after="20"/>
              <w:jc w:val="left"/>
            </w:pPr>
            <w:r/>
            <w:r>
              <w:rPr>
                <w:rFonts w:ascii="HY신명조" w:hAnsi="HY신명조" w:eastAsia="HY신명조"/>
                <w:b w:val="0"/>
                <w:sz w:val="18"/>
              </w:rPr>
              <w:t>cn camera noise</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shoulder 25</w:t>
            </w:r>
          </w:p>
        </w:tc>
        <w:tc>
          <w:tcPr>
            <w:tcW w:type="dxa" w:w="2126"/>
          </w:tcPr>
          <w:p>
            <w:pPr>
              <w:spacing w:line="288" w:lineRule="auto" w:before="20" w:after="20"/>
              <w:jc w:val="left"/>
            </w:pPr>
            <w:r/>
            <w:r>
              <w:rPr>
                <w:rFonts w:ascii="HY신명조" w:hAnsi="HY신명조" w:eastAsia="HY신명조"/>
                <w:b w:val="0"/>
                <w:sz w:val="18"/>
              </w:rPr>
            </w:r>
          </w:p>
        </w:tc>
      </w:tr>
      <w:tr>
        <w:trPr>
          <w:cantSplit/>
        </w:trPr>
        <w:tc>
          <w:tcPr>
            <w:tcW w:type="dxa" w:w="2126"/>
          </w:tcPr>
          <w:p>
            <w:pPr>
              <w:spacing w:line="288" w:lineRule="auto" w:before="20" w:after="20"/>
              <w:jc w:val="left"/>
            </w:pPr>
            <w:r/>
            <w:r>
              <w:rPr>
                <w:rFonts w:ascii="HY신명조" w:hAnsi="HY신명조" w:eastAsia="HY신명조"/>
                <w:b w:val="0"/>
                <w:sz w:val="18"/>
              </w:rPr>
              <w:t>gn GNSS position noise</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shoulder 41 + parking 1</w:t>
            </w:r>
          </w:p>
        </w:tc>
        <w:tc>
          <w:tcPr>
            <w:tcW w:type="dxa" w:w="2126"/>
          </w:tcPr>
          <w:p>
            <w:pPr>
              <w:spacing w:line="288" w:lineRule="auto" w:before="20" w:after="20"/>
              <w:jc w:val="left"/>
            </w:pPr>
            <w:r/>
            <w:r>
              <w:rPr>
                <w:rFonts w:ascii="HY신명조" w:hAnsi="HY신명조" w:eastAsia="HY신명조"/>
                <w:b w:val="0"/>
                <w:sz w:val="18"/>
              </w:rPr>
              <w:t>severity determines behavior (text)</w:t>
            </w:r>
          </w:p>
        </w:tc>
      </w:tr>
      <w:tr>
        <w:trPr>
          <w:cantSplit/>
        </w:trPr>
        <w:tc>
          <w:tcPr>
            <w:tcW w:type="dxa" w:w="2126"/>
          </w:tcPr>
          <w:p>
            <w:pPr>
              <w:spacing w:line="288" w:lineRule="auto" w:before="20" w:after="20"/>
              <w:jc w:val="left"/>
            </w:pPr>
            <w:r/>
            <w:r>
              <w:rPr>
                <w:rFonts w:ascii="HY신명조" w:hAnsi="HY신명조" w:eastAsia="HY신명조"/>
                <w:b w:val="0"/>
                <w:sz w:val="18"/>
              </w:rPr>
              <w:t>lso-mid LiDAR sparsification</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deliberate continued driving</w:t>
            </w:r>
          </w:p>
        </w:tc>
        <w:tc>
          <w:tcPr>
            <w:tcW w:type="dxa" w:w="2126"/>
          </w:tcPr>
          <w:p>
            <w:pPr>
              <w:spacing w:line="288" w:lineRule="auto" w:before="20" w:after="20"/>
              <w:jc w:val="left"/>
            </w:pPr>
            <w:r/>
            <w:r>
              <w:rPr>
                <w:rFonts w:ascii="HY신명조" w:hAnsi="HY신명조" w:eastAsia="HY신명조"/>
                <w:b w:val="0"/>
                <w:sz w:val="18"/>
              </w:rPr>
              <w:t>judged not hazardous; deg_dist 255 m</w:t>
            </w:r>
          </w:p>
        </w:tc>
      </w:tr>
    </w:tbl>
    <w:p>
      <w:pPr>
        <w:spacing w:line="348" w:lineRule="auto" w:before="0" w:after="0"/>
      </w:pPr>
    </w:p>
    <w:p>
      <w:pPr>
        <w:spacing w:line="348" w:lineRule="auto" w:before="0" w:after="0"/>
        <w:ind w:firstLine="330"/>
        <w:jc w:val="both"/>
      </w:pPr>
      <w:r>
        <w:rPr>
          <w:rFonts w:ascii="HY신명조" w:hAnsi="HY신명조" w:eastAsia="HY신명조"/>
          <w:b w:val="0"/>
          <w:sz w:val="22"/>
        </w:rPr>
        <w:t>Severity-determined branching was most pronounced in the navigation family: gn-mid led to shoulder evacuation in 40 of 45 while gn-high converged to comfortable-stop deferral in 42 of 45 — movement is abandoned when localization confidence falls below the movement minimum. Conversely under lso-mid the supervisor chose non-intervention (deg_dist 255 m) — response proportional to degree, not stop-at-every-anomaly. Caveat: the matrix cases contain no pedestrian injections, and case-level "zero collisions" rests on pre-ledger data, so it is not used as safety evidence (Section 6.6).</w:t>
      </w:r>
    </w:p>
    <w:p>
      <w:pPr>
        <w:spacing w:line="348" w:lineRule="auto" w:before="0" w:after="0"/>
      </w:pPr>
    </w:p>
    <w:p>
      <w:pPr>
        <w:keepNext/>
        <w:spacing w:line="348" w:lineRule="auto" w:before="0" w:after="0"/>
      </w:pPr>
      <w:r>
        <w:rPr>
          <w:rFonts w:ascii="HY신명조" w:hAnsi="HY신명조" w:eastAsia="HY신명조"/>
          <w:b/>
          <w:sz w:val="28"/>
        </w:rPr>
        <w:t>5.2 Exposure Metric: Degraded-State Driving Distance</w:t>
      </w:r>
    </w:p>
    <w:p>
      <w:pPr>
        <w:spacing w:line="348" w:lineRule="auto" w:before="0" w:after="0"/>
      </w:pPr>
    </w:p>
    <w:p>
      <w:pPr>
        <w:spacing w:line="348" w:lineRule="auto" w:before="0" w:after="0"/>
        <w:ind w:firstLine="330"/>
        <w:jc w:val="both"/>
      </w:pPr>
      <w:r>
        <w:rPr>
          <w:rFonts w:ascii="HY신명조" w:hAnsi="HY신명조" w:eastAsia="HY신명조"/>
          <w:b w:val="0"/>
          <w:sz w:val="22"/>
        </w:rPr>
        <w:t>The primary utility of monitoring is shortening degraded-state exposure. Unmonitored (mrm-off, one run per type), the stock stack effectively completed the route: camera death 238, camera noise 240, GNSS noise 251, LiDAR sparsification 264, LiDAR clutter 275 m (only IMU noise self-stopped at 71 m). Excluding the deliberate lso-mid, detect+evacuate gave 32-58 m and detect+stop 9-18 m in the camera/navigation families (LiDAR clutter and IMU noise 11-12 and 8-9 m). Without monitoring the exposure is the whole route; with it, exposure becomes a policy variable — the stop minimizes exposure at the cost of lane occupancy, evacuation accepts tens of meters of controlled exposure for lane clearance and an off-lane position. The safety-side cost is quantified by the encounter experiments of Sections 5.4-5.6.</w:t>
      </w:r>
    </w:p>
    <w:p>
      <w:pPr>
        <w:spacing w:line="348" w:lineRule="auto" w:before="0" w:after="0"/>
      </w:pPr>
    </w:p>
    <w:p>
      <w:pPr>
        <w:keepNext/>
        <w:spacing w:line="348" w:lineRule="auto" w:before="0" w:after="0"/>
      </w:pPr>
      <w:r>
        <w:rPr>
          <w:rFonts w:ascii="HY신명조" w:hAnsi="HY신명조" w:eastAsia="HY신명조"/>
          <w:b/>
          <w:sz w:val="28"/>
        </w:rPr>
        <w:t>5.3 Distance Ladder: Measuring the Avoid/Collide Boundary</w:t>
      </w:r>
    </w:p>
    <w:p>
      <w:pPr>
        <w:spacing w:line="348" w:lineRule="auto" w:before="0" w:after="0"/>
      </w:pPr>
    </w:p>
    <w:p>
      <w:pPr>
        <w:spacing w:line="348" w:lineRule="auto" w:before="0" w:after="0"/>
        <w:ind w:firstLine="330"/>
        <w:jc w:val="both"/>
      </w:pPr>
      <w:r>
        <w:rPr>
          <w:rFonts w:ascii="HY신명조" w:hAnsi="HY신명조" w:eastAsia="HY신명조"/>
          <w:b w:val="0"/>
          <w:sz w:val="22"/>
        </w:rPr>
        <w:t>The fault-free stock ladder at 4.2 m/s shows a clean staircase: 14 and 11 m fully avoided (per distance, 2 of 4 runs are post-ledger with ledger/oracle verdicts and 2 pre-ledger with runner-label/video verdicts), 8/6/5 m fully collided (Table 5.3, Figure 5.3). The boundary thus lies in 8-11 m, agreeing with the model prediction d(4.2)=8.8 m, establishing that (i) the 8 m choice in later experiments sits just below the boundary where avoidance becomes physically impossible, and (ii) the design approximation is self-consistent in the near-boundary regime (same data as its calibration — not independent validation, Section 3.6).</w:t>
      </w:r>
    </w:p>
    <w:p>
      <w:pPr>
        <w:keepNext/>
        <w:spacing w:line="312" w:lineRule="auto" w:before="0" w:after="0"/>
      </w:pPr>
      <w:r>
        <w:rPr>
          <w:rFonts w:ascii="HY신명조" w:hAnsi="HY신명조" w:eastAsia="HY신명조"/>
          <w:b/>
          <w:sz w:val="22"/>
        </w:rPr>
        <w:t>Table 5.3. Distance ladder results — fault-free 4.2 m/s, blinded (lso-high), and low-speed 3.0 m/s (ledger adjudication)</w:t>
      </w:r>
    </w:p>
    <w:tbl>
      <w:tblPr>
        <w:tblStyle w:val="aa"/>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Spawn distance</w:t>
            </w:r>
          </w:p>
        </w:tc>
        <w:tc>
          <w:tcPr>
            <w:tcW w:type="dxa" w:w="2126"/>
          </w:tcPr>
          <w:p>
            <w:pPr>
              <w:spacing w:line="288" w:lineRule="auto" w:before="20" w:after="20"/>
              <w:jc w:val="center"/>
            </w:pPr>
            <w:r/>
            <w:r>
              <w:rPr>
                <w:rFonts w:ascii="HY신명조" w:hAnsi="HY신명조" w:eastAsia="HY신명조"/>
                <w:b/>
                <w:sz w:val="18"/>
              </w:rPr>
              <w:t>Fault-free stock 4.2 m/s (n=4)</w:t>
            </w:r>
          </w:p>
        </w:tc>
        <w:tc>
          <w:tcPr>
            <w:tcW w:type="dxa" w:w="2126"/>
          </w:tcPr>
          <w:p>
            <w:pPr>
              <w:spacing w:line="288" w:lineRule="auto" w:before="20" w:after="20"/>
              <w:jc w:val="center"/>
            </w:pPr>
            <w:r/>
            <w:r>
              <w:rPr>
                <w:rFonts w:ascii="HY신명조" w:hAnsi="HY신명조" w:eastAsia="HY신명조"/>
                <w:b/>
                <w:sz w:val="18"/>
              </w:rPr>
              <w:t>Blinded (lso-high) stock</w:t>
            </w:r>
          </w:p>
        </w:tc>
        <w:tc>
          <w:tcPr>
            <w:tcW w:type="dxa" w:w="2126"/>
          </w:tcPr>
          <w:p>
            <w:pPr>
              <w:spacing w:line="288" w:lineRule="auto" w:before="20" w:after="20"/>
              <w:jc w:val="center"/>
            </w:pPr>
            <w:r/>
            <w:r>
              <w:rPr>
                <w:rFonts w:ascii="HY신명조" w:hAnsi="HY신명조" w:eastAsia="HY신명조"/>
                <w:b/>
                <w:sz w:val="18"/>
              </w:rPr>
              <w:t>Low-speed 3.0 m/s (Sec. 5.5)</w:t>
            </w:r>
          </w:p>
        </w:tc>
      </w:tr>
      <w:tr>
        <w:trPr>
          <w:cantSplit/>
        </w:trPr>
        <w:tc>
          <w:tcPr>
            <w:tcW w:type="dxa" w:w="2126"/>
          </w:tcPr>
          <w:p>
            <w:pPr>
              <w:spacing w:line="288" w:lineRule="auto" w:before="20" w:after="20"/>
              <w:jc w:val="left"/>
            </w:pPr>
            <w:r/>
            <w:r>
              <w:rPr>
                <w:rFonts w:ascii="HY신명조" w:hAnsi="HY신명조" w:eastAsia="HY신명조"/>
                <w:b w:val="0"/>
                <w:sz w:val="18"/>
              </w:rPr>
              <w:t>14 m</w:t>
            </w:r>
          </w:p>
        </w:tc>
        <w:tc>
          <w:tcPr>
            <w:tcW w:type="dxa" w:w="2126"/>
          </w:tcPr>
          <w:p>
            <w:pPr>
              <w:spacing w:line="288" w:lineRule="auto" w:before="20" w:after="20"/>
              <w:jc w:val="left"/>
            </w:pPr>
            <w:r/>
            <w:r>
              <w:rPr>
                <w:rFonts w:ascii="HY신명조" w:hAnsi="HY신명조" w:eastAsia="HY신명조"/>
                <w:b w:val="0"/>
                <w:sz w:val="18"/>
              </w:rPr>
              <w:t>avoided 4/4</w:t>
            </w:r>
          </w:p>
        </w:tc>
        <w:tc>
          <w:tcPr>
            <w:tcW w:type="dxa" w:w="2126"/>
          </w:tcPr>
          <w:p>
            <w:pPr>
              <w:spacing w:line="288" w:lineRule="auto" w:before="20" w:after="20"/>
              <w:jc w:val="left"/>
            </w:pPr>
            <w:r/>
            <w:r>
              <w:rPr>
                <w:rFonts w:ascii="HY신명조" w:hAnsi="HY신명조" w:eastAsia="HY신명조"/>
                <w:b w:val="0"/>
                <w:sz w:val="18"/>
              </w:rPr>
              <w:t>frozen before encounter (blocking road)</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11 m</w:t>
            </w:r>
          </w:p>
        </w:tc>
        <w:tc>
          <w:tcPr>
            <w:tcW w:type="dxa" w:w="2126"/>
          </w:tcPr>
          <w:p>
            <w:pPr>
              <w:spacing w:line="288" w:lineRule="auto" w:before="20" w:after="20"/>
              <w:jc w:val="left"/>
            </w:pPr>
            <w:r/>
            <w:r>
              <w:rPr>
                <w:rFonts w:ascii="HY신명조" w:hAnsi="HY신명조" w:eastAsia="HY신명조"/>
                <w:b w:val="0"/>
                <w:sz w:val="18"/>
              </w:rPr>
              <w:t>avoided 4/4</w:t>
            </w:r>
          </w:p>
        </w:tc>
        <w:tc>
          <w:tcPr>
            <w:tcW w:type="dxa" w:w="2126"/>
          </w:tcPr>
          <w:p>
            <w:pPr>
              <w:spacing w:line="288" w:lineRule="auto" w:before="20" w:after="20"/>
              <w:jc w:val="left"/>
            </w:pPr>
            <w:r/>
            <w:r>
              <w:rPr>
                <w:rFonts w:ascii="HY신명조" w:hAnsi="HY신명조" w:eastAsia="HY신명조"/>
                <w:b w:val="0"/>
                <w:sz w:val="18"/>
              </w:rPr>
              <w:t>frozen before encounter (blocking road)</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8 m</w:t>
            </w:r>
          </w:p>
        </w:tc>
        <w:tc>
          <w:tcPr>
            <w:tcW w:type="dxa" w:w="2126"/>
          </w:tcPr>
          <w:p>
            <w:pPr>
              <w:spacing w:line="288" w:lineRule="auto" w:before="20" w:after="20"/>
              <w:jc w:val="left"/>
            </w:pPr>
            <w:r/>
            <w:r>
              <w:rPr>
                <w:rFonts w:ascii="HY신명조" w:hAnsi="HY신명조" w:eastAsia="HY신명조"/>
                <w:b w:val="0"/>
                <w:sz w:val="18"/>
              </w:rPr>
              <w:t>collided 4/4</w:t>
            </w:r>
          </w:p>
        </w:tc>
        <w:tc>
          <w:tcPr>
            <w:tcW w:type="dxa" w:w="2126"/>
          </w:tcPr>
          <w:p>
            <w:pPr>
              <w:spacing w:line="288" w:lineRule="auto" w:before="20" w:after="20"/>
              <w:jc w:val="left"/>
            </w:pPr>
            <w:r/>
            <w:r>
              <w:rPr>
                <w:rFonts w:ascii="HY신명조" w:hAnsi="HY신명조" w:eastAsia="HY신명조"/>
                <w:b w:val="0"/>
                <w:sz w:val="18"/>
              </w:rPr>
              <w:t>collided</w:t>
            </w:r>
          </w:p>
        </w:tc>
        <w:tc>
          <w:tcPr>
            <w:tcW w:type="dxa" w:w="2126"/>
          </w:tcPr>
          <w:p>
            <w:pPr>
              <w:spacing w:line="288" w:lineRule="auto" w:before="20" w:after="20"/>
              <w:jc w:val="left"/>
            </w:pPr>
            <w:r/>
            <w:r>
              <w:rPr>
                <w:rFonts w:ascii="HY신명조" w:hAnsi="HY신명조" w:eastAsia="HY신명조"/>
                <w:b w:val="0"/>
                <w:sz w:val="18"/>
              </w:rPr>
              <w:t>avoided 8/8 (settled cruise, Sec. 5.6)</w:t>
            </w:r>
          </w:p>
        </w:tc>
      </w:tr>
      <w:tr>
        <w:trPr>
          <w:cantSplit/>
        </w:trPr>
        <w:tc>
          <w:tcPr>
            <w:tcW w:type="dxa" w:w="2126"/>
          </w:tcPr>
          <w:p>
            <w:pPr>
              <w:spacing w:line="288" w:lineRule="auto" w:before="20" w:after="20"/>
              <w:jc w:val="left"/>
            </w:pPr>
            <w:r/>
            <w:r>
              <w:rPr>
                <w:rFonts w:ascii="HY신명조" w:hAnsi="HY신명조" w:eastAsia="HY신명조"/>
                <w:b w:val="0"/>
                <w:sz w:val="18"/>
              </w:rPr>
              <w:t>7 m</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collided 2/2</w:t>
            </w:r>
          </w:p>
        </w:tc>
      </w:tr>
      <w:tr>
        <w:trPr>
          <w:cantSplit/>
        </w:trPr>
        <w:tc>
          <w:tcPr>
            <w:tcW w:type="dxa" w:w="2126"/>
          </w:tcPr>
          <w:p>
            <w:pPr>
              <w:spacing w:line="288" w:lineRule="auto" w:before="20" w:after="20"/>
              <w:jc w:val="left"/>
            </w:pPr>
            <w:r/>
            <w:r>
              <w:rPr>
                <w:rFonts w:ascii="HY신명조" w:hAnsi="HY신명조" w:eastAsia="HY신명조"/>
                <w:b w:val="0"/>
                <w:sz w:val="18"/>
              </w:rPr>
              <w:t>6 m</w:t>
            </w:r>
          </w:p>
        </w:tc>
        <w:tc>
          <w:tcPr>
            <w:tcW w:type="dxa" w:w="2126"/>
          </w:tcPr>
          <w:p>
            <w:pPr>
              <w:spacing w:line="288" w:lineRule="auto" w:before="20" w:after="20"/>
              <w:jc w:val="left"/>
            </w:pPr>
            <w:r/>
            <w:r>
              <w:rPr>
                <w:rFonts w:ascii="HY신명조" w:hAnsi="HY신명조" w:eastAsia="HY신명조"/>
                <w:b w:val="0"/>
                <w:sz w:val="18"/>
              </w:rPr>
              <w:t>collided 4/4</w:t>
            </w:r>
          </w:p>
        </w:tc>
        <w:tc>
          <w:tcPr>
            <w:tcW w:type="dxa" w:w="2126"/>
          </w:tcPr>
          <w:p>
            <w:pPr>
              <w:spacing w:line="288" w:lineRule="auto" w:before="20" w:after="20"/>
              <w:jc w:val="left"/>
            </w:pPr>
            <w:r/>
            <w:r>
              <w:rPr>
                <w:rFonts w:ascii="HY신명조" w:hAnsi="HY신명조" w:eastAsia="HY신명조"/>
                <w:b w:val="0"/>
                <w:sz w:val="18"/>
              </w:rPr>
              <w:t>collided</w:t>
            </w:r>
          </w:p>
        </w:tc>
        <w:tc>
          <w:tcPr>
            <w:tcW w:type="dxa" w:w="2126"/>
          </w:tcPr>
          <w:p>
            <w:pPr>
              <w:spacing w:line="288" w:lineRule="auto" w:before="20" w:after="20"/>
              <w:jc w:val="left"/>
            </w:pPr>
            <w:r/>
            <w:r>
              <w:rPr>
                <w:rFonts w:ascii="HY신명조" w:hAnsi="HY신명조" w:eastAsia="HY신명조"/>
                <w:b w:val="0"/>
                <w:sz w:val="18"/>
              </w:rPr>
              <w:t>collided 2/2</w:t>
            </w:r>
          </w:p>
        </w:tc>
      </w:tr>
      <w:tr>
        <w:trPr>
          <w:cantSplit/>
        </w:trPr>
        <w:tc>
          <w:tcPr>
            <w:tcW w:type="dxa" w:w="2126"/>
          </w:tcPr>
          <w:p>
            <w:pPr>
              <w:spacing w:line="288" w:lineRule="auto" w:before="20" w:after="20"/>
              <w:jc w:val="left"/>
            </w:pPr>
            <w:r/>
            <w:r>
              <w:rPr>
                <w:rFonts w:ascii="HY신명조" w:hAnsi="HY신명조" w:eastAsia="HY신명조"/>
                <w:b w:val="0"/>
                <w:sz w:val="18"/>
              </w:rPr>
              <w:t>5 m</w:t>
            </w:r>
          </w:p>
        </w:tc>
        <w:tc>
          <w:tcPr>
            <w:tcW w:type="dxa" w:w="2126"/>
          </w:tcPr>
          <w:p>
            <w:pPr>
              <w:spacing w:line="288" w:lineRule="auto" w:before="20" w:after="20"/>
              <w:jc w:val="left"/>
            </w:pPr>
            <w:r/>
            <w:r>
              <w:rPr>
                <w:rFonts w:ascii="HY신명조" w:hAnsi="HY신명조" w:eastAsia="HY신명조"/>
                <w:b w:val="0"/>
                <w:sz w:val="18"/>
              </w:rPr>
              <w:t>collided 4/4</w:t>
            </w:r>
          </w:p>
        </w:tc>
        <w:tc>
          <w:tcPr>
            <w:tcW w:type="dxa" w:w="2126"/>
          </w:tcPr>
          <w:p>
            <w:pPr>
              <w:spacing w:line="288" w:lineRule="auto" w:before="20" w:after="20"/>
              <w:jc w:val="left"/>
            </w:pPr>
            <w:r/>
            <w:r>
              <w:rPr>
                <w:rFonts w:ascii="HY신명조" w:hAnsi="HY신명조" w:eastAsia="HY신명조"/>
                <w:b w:val="0"/>
                <w:sz w:val="18"/>
              </w:rPr>
              <w:t>collided (6/6 at ≤8 m)</w:t>
            </w:r>
          </w:p>
        </w:tc>
        <w:tc>
          <w:tcPr>
            <w:tcW w:type="dxa" w:w="2126"/>
          </w:tcPr>
          <w:p>
            <w:pPr>
              <w:spacing w:line="288" w:lineRule="auto" w:before="20" w:after="20"/>
              <w:jc w:val="left"/>
            </w:pPr>
            <w:r/>
            <w:r>
              <w:rPr>
                <w:rFonts w:ascii="HY신명조" w:hAnsi="HY신명조" w:eastAsia="HY신명조"/>
                <w:b w:val="0"/>
                <w:sz w:val="18"/>
              </w:rPr>
              <w:t>collided 2/2</w:t>
            </w:r>
          </w:p>
        </w:tc>
      </w:tr>
    </w:tbl>
    <w:p>
      <w:pPr>
        <w:spacing w:line="348" w:lineRule="auto" w:before="0" w:after="0"/>
      </w:pPr>
    </w:p>
    <w:p>
      <w:pPr>
        <w:keepNext/>
        <w:spacing w:line="240" w:lineRule="auto"/>
        <w:jc w:val="center"/>
      </w:pPr>
      <w:r>
        <w:drawing>
          <wp:inline xmlns:a="http://schemas.openxmlformats.org/drawingml/2006/main" xmlns:pic="http://schemas.openxmlformats.org/drawingml/2006/picture">
            <wp:extent cx="3240000" cy="2561466"/>
            <wp:docPr id="10" name="Picture 10"/>
            <wp:cNvGraphicFramePr>
              <a:graphicFrameLocks noChangeAspect="1"/>
            </wp:cNvGraphicFramePr>
            <a:graphic>
              <a:graphicData uri="http://schemas.openxmlformats.org/drawingml/2006/picture">
                <pic:pic>
                  <pic:nvPicPr>
                    <pic:cNvPr id="0" name="fig8_stopdist.png"/>
                    <pic:cNvPicPr/>
                  </pic:nvPicPr>
                  <pic:blipFill>
                    <a:blip r:embed="rId24"/>
                    <a:stretch>
                      <a:fillRect/>
                    </a:stretch>
                  </pic:blipFill>
                  <pic:spPr>
                    <a:xfrm>
                      <a:off x="0" y="0"/>
                      <a:ext cx="3240000" cy="2561466"/>
                    </a:xfrm>
                    <a:prstGeom prst="rect"/>
                  </pic:spPr>
                </pic:pic>
              </a:graphicData>
            </a:graphic>
          </wp:inline>
        </w:drawing>
      </w:r>
    </w:p>
    <w:p>
      <w:pPr>
        <w:keepLines/>
        <w:spacing w:line="312" w:lineRule="auto" w:before="0" w:after="0"/>
      </w:pPr>
      <w:r>
        <w:rPr>
          <w:rFonts w:ascii="HY신명조" w:hAnsi="HY신명조" w:eastAsia="HY신명조"/>
          <w:b/>
          <w:sz w:val="22"/>
        </w:rPr>
        <w:t>Figure 5.3. Stopping-distance model vs measured boundaries (shaded bands). The 4.2 m/s measured boundary (8-11 m) matches the model's 8.8 m; at 3.0 m/s the prediction 5.79 m underestimates the measured 7-8 m (lower-bound approximation, planner reaction variance). The dashed line marks the 8 m spawn used later.</w:t>
      </w:r>
    </w:p>
    <w:p>
      <w:pPr>
        <w:spacing w:line="348" w:lineRule="auto" w:before="0" w:after="0"/>
      </w:pPr>
    </w:p>
    <w:p>
      <w:pPr>
        <w:spacing w:line="348" w:lineRule="auto" w:before="0" w:after="0"/>
        <w:ind w:firstLine="330"/>
        <w:jc w:val="both"/>
      </w:pPr>
      <w:r>
        <w:rPr>
          <w:rFonts w:ascii="HY신명조" w:hAnsi="HY신명조" w:eastAsia="HY신명조"/>
          <w:b w:val="0"/>
          <w:sz w:val="22"/>
        </w:rPr>
        <w:t>The same ladder blinded (lso-high) failed differently: at 14/11 m an empty-point-cloud freeze stopped the vehicle mid-road before the encounter (4/4), and at ≤8 m every run collided (6/6). In short, a blinded vehicle either stands still or strikes — unmonitored degraded driving resolves into collision or lane blocking, neither an MRC.</w:t>
      </w:r>
    </w:p>
    <w:p>
      <w:pPr>
        <w:spacing w:line="348" w:lineRule="auto" w:before="0" w:after="0"/>
      </w:pPr>
    </w:p>
    <w:p>
      <w:pPr>
        <w:keepNext/>
        <w:spacing w:line="348" w:lineRule="auto" w:before="0" w:after="0"/>
      </w:pPr>
      <w:r>
        <w:rPr>
          <w:rFonts w:ascii="HY신명조" w:hAnsi="HY신명조" w:eastAsia="HY신명조"/>
          <w:b/>
          <w:sz w:val="28"/>
        </w:rPr>
        <w:t>5.4 The 8 m Encounter: Low-Speed MRM versus Stock</w:t>
      </w:r>
    </w:p>
    <w:p>
      <w:pPr>
        <w:spacing w:line="348" w:lineRule="auto" w:before="0" w:after="0"/>
      </w:pPr>
    </w:p>
    <w:p>
      <w:pPr>
        <w:spacing w:line="348" w:lineRule="auto" w:before="0" w:after="0"/>
        <w:ind w:firstLine="330"/>
        <w:jc w:val="both"/>
      </w:pPr>
      <w:r>
        <w:rPr>
          <w:rFonts w:ascii="HY신명조" w:hAnsi="HY신명조" w:eastAsia="HY신명조"/>
          <w:b w:val="0"/>
          <w:sz w:val="22"/>
        </w:rPr>
        <w:t>Under gn-mid (EKF input contaminated only; perception intact, so all three conditions share detection capability and only speed/policy effects are compared), an 8 m dart-out gave: stock (holding 4.2 m/s) collided in all 10 runs (0/10 avoided); the proposed low-speed settled cruise (measured encounter speed ~3.0 m/s; Section 5.6) avoided all 8 and completed shoulder evacuation (8/8; auxiliary Fisher p=2.3×10⁻⁵). Since 8 m is shorter than the required stopping distance at 4.2 m/s (8.8 m) but longer than at 3.0 m/s (5.79 m), the outcome is exactly what the physics model predicts. The critical finding is the third condition: the same proposed system collided in both runs when the encounter fell in the deceleration transient (encounter speeds 3.5-3.8 m/s). Protection of the low-speed MRM is effective only after deceleration completes; residual risk concentrates in the post-detection transient (Section 6.2).</w:t>
      </w:r>
    </w:p>
    <w:p>
      <w:pPr>
        <w:spacing w:line="348" w:lineRule="auto" w:before="0" w:after="0"/>
      </w:pPr>
    </w:p>
    <w:p>
      <w:pPr>
        <w:keepNext/>
        <w:spacing w:line="348" w:lineRule="auto" w:before="0" w:after="0"/>
      </w:pPr>
      <w:r>
        <w:rPr>
          <w:rFonts w:ascii="HY신명조" w:hAnsi="HY신명조" w:eastAsia="HY신명조"/>
          <w:b/>
          <w:sz w:val="28"/>
        </w:rPr>
        <w:t>5.5 Low-Speed Ladder: Shift of the Boundary</w:t>
      </w:r>
    </w:p>
    <w:p>
      <w:pPr>
        <w:spacing w:line="348" w:lineRule="auto" w:before="0" w:after="0"/>
      </w:pPr>
    </w:p>
    <w:p>
      <w:pPr>
        <w:spacing w:line="348" w:lineRule="auto" w:before="0" w:after="0"/>
        <w:ind w:firstLine="330"/>
        <w:jc w:val="both"/>
      </w:pPr>
      <w:r>
        <w:rPr>
          <w:rFonts w:ascii="HY신명조" w:hAnsi="HY신명조" w:eastAsia="HY신명조"/>
          <w:b w:val="0"/>
          <w:sz w:val="22"/>
        </w:rPr>
        <w:t>In low-speed settled cruise (nominal 3.0 m/s cap configured), lowering the spawn distance gives (Table 5.3, right column): 8 m avoided 8/8 (Section 5.4), 7/6/5 m collided 2/2 each — the 3.0 m/s boundary lies in 7-8 m. Compared with 8-11 m at 4.2 m/s, reduced encounter speed moved the boundary inward. Three points: the low speed of this ladder stems from the restart profile rather than the explicit cap (Section 5.6), so the axis is measured encounter speed; launch protocols differ from the 4.2 ladder (the comparison axis is encounters during constant-speed cruise); and the measured boundary (7-8 m) lies outside the pure model prediction (5.79 m) — explained by moving-target margin and the post-restart acceleration profile, so the model is a lower-bound approximation. Together, the per-speed boundaries 4.2 → 8-11 m and ~3.0 → 7-8 m show that low-speed encounters physically narrow the range of unavoidable dart-outs, with effect and limit (the transient) consistently explained by stopping-distance physics.</w:t>
      </w:r>
    </w:p>
    <w:p>
      <w:pPr>
        <w:spacing w:line="348" w:lineRule="auto" w:before="0" w:after="0"/>
      </w:pPr>
    </w:p>
    <w:p>
      <w:pPr>
        <w:keepNext/>
        <w:spacing w:line="348" w:lineRule="auto" w:before="0" w:after="0"/>
      </w:pPr>
      <w:r>
        <w:rPr>
          <w:rFonts w:ascii="HY신명조" w:hAnsi="HY신명조" w:eastAsia="HY신명조"/>
          <w:b/>
          <w:sz w:val="28"/>
        </w:rPr>
        <w:t>5.6 Causal Verification of the Speed Cap: Settled-Encounter Dose-Response Experiment</w:t>
      </w:r>
    </w:p>
    <w:p>
      <w:pPr>
        <w:spacing w:line="348" w:lineRule="auto" w:before="0" w:after="0"/>
      </w:pPr>
    </w:p>
    <w:p>
      <w:pPr>
        <w:spacing w:line="348" w:lineRule="auto" w:before="0" w:after="0"/>
        <w:ind w:firstLine="330"/>
        <w:jc w:val="both"/>
      </w:pPr>
      <w:r>
        <w:rPr>
          <w:rFonts w:ascii="HY신명조" w:hAnsi="HY신명조" w:eastAsia="HY신명조"/>
          <w:b w:val="0"/>
          <w:sz w:val="22"/>
        </w:rPr>
        <w:t>The two ladders used different launch protocols, limiting direct cross-speed comparison; a controlled dose-response experiment was therefore run exclusively on settled encounters where the cap actually held.</w:t>
      </w:r>
    </w:p>
    <w:p>
      <w:pPr>
        <w:spacing w:line="348" w:lineRule="auto" w:before="0" w:after="0"/>
        <w:ind w:firstLine="330"/>
        <w:jc w:val="both"/>
      </w:pPr>
      <w:r>
        <w:rPr>
          <w:rFonts w:ascii="HY신명조" w:hAnsi="HY신명조" w:eastAsia="HY신명조"/>
          <w:b w:val="0"/>
          <w:sz w:val="22"/>
        </w:rPr>
        <w:t>The design is a paired matrix of caps {4.2, 3.6, 3.0} m/s × distances {6, 7, 8, 9} m × 10 seeds = 120 runs (Section 4.6 (v)). The 4.2 arm is a high-cap control practically equal to the road limit (15 km/h ≈ 4.17 m/s); the three arms use the identical external velocity-limit interface differing only in value. Launch uses the settlement trigger (band residence 1.0 s, spread ≤0.25 m/s), guaranteeing an encounter under a holding cap at trigger level. The primary endpoint (8 m, paired 4.2↔3.0 exact McNemar) and the manipulation-check adoption rule were pre-specified before data collection (Section 4.7). The 120 adopted runs are analyzed (5 failing runs were rejected before outcome inspection and replaced); adjudication is ego-ledger (RAW-HIT) based.</w:t>
      </w:r>
    </w:p>
    <w:p>
      <w:pPr>
        <w:keepNext/>
        <w:spacing w:line="312" w:lineRule="auto" w:before="0" w:after="0"/>
      </w:pPr>
      <w:r>
        <w:rPr>
          <w:rFonts w:ascii="HY신명조" w:hAnsi="HY신명조" w:eastAsia="HY신명조"/>
          <w:b/>
          <w:sz w:val="22"/>
        </w:rPr>
        <w:t>Table 5.4. Dose-response results — collisions in settled encounters (n=10 seeds per cell, ledger adjudication)</w:t>
      </w:r>
    </w:p>
    <w:tbl>
      <w:tblPr>
        <w:tblStyle w:val="aa"/>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spacing w:line="288" w:lineRule="auto" w:before="20" w:after="20"/>
              <w:jc w:val="center"/>
            </w:pPr>
            <w:r/>
            <w:r>
              <w:rPr>
                <w:rFonts w:ascii="HY신명조" w:hAnsi="HY신명조" w:eastAsia="HY신명조"/>
                <w:b/>
                <w:sz w:val="18"/>
              </w:rPr>
              <w:t>Speed cap</w:t>
            </w:r>
          </w:p>
        </w:tc>
        <w:tc>
          <w:tcPr>
            <w:tcW w:type="dxa" w:w="1417"/>
          </w:tcPr>
          <w:p>
            <w:pPr>
              <w:spacing w:line="288" w:lineRule="auto" w:before="20" w:after="20"/>
              <w:jc w:val="center"/>
            </w:pPr>
            <w:r/>
            <w:r>
              <w:rPr>
                <w:rFonts w:ascii="HY신명조" w:hAnsi="HY신명조" w:eastAsia="HY신명조"/>
                <w:b/>
                <w:sz w:val="18"/>
              </w:rPr>
              <w:t>6 m</w:t>
            </w:r>
          </w:p>
        </w:tc>
        <w:tc>
          <w:tcPr>
            <w:tcW w:type="dxa" w:w="1417"/>
          </w:tcPr>
          <w:p>
            <w:pPr>
              <w:spacing w:line="288" w:lineRule="auto" w:before="20" w:after="20"/>
              <w:jc w:val="center"/>
            </w:pPr>
            <w:r/>
            <w:r>
              <w:rPr>
                <w:rFonts w:ascii="HY신명조" w:hAnsi="HY신명조" w:eastAsia="HY신명조"/>
                <w:b/>
                <w:sz w:val="18"/>
              </w:rPr>
              <w:t>7 m</w:t>
            </w:r>
          </w:p>
        </w:tc>
        <w:tc>
          <w:tcPr>
            <w:tcW w:type="dxa" w:w="1417"/>
          </w:tcPr>
          <w:p>
            <w:pPr>
              <w:spacing w:line="288" w:lineRule="auto" w:before="20" w:after="20"/>
              <w:jc w:val="center"/>
            </w:pPr>
            <w:r/>
            <w:r>
              <w:rPr>
                <w:rFonts w:ascii="HY신명조" w:hAnsi="HY신명조" w:eastAsia="HY신명조"/>
                <w:b/>
                <w:sz w:val="18"/>
              </w:rPr>
              <w:t>8 m</w:t>
            </w:r>
          </w:p>
        </w:tc>
        <w:tc>
          <w:tcPr>
            <w:tcW w:type="dxa" w:w="1417"/>
          </w:tcPr>
          <w:p>
            <w:pPr>
              <w:spacing w:line="288" w:lineRule="auto" w:before="20" w:after="20"/>
              <w:jc w:val="center"/>
            </w:pPr>
            <w:r/>
            <w:r>
              <w:rPr>
                <w:rFonts w:ascii="HY신명조" w:hAnsi="HY신명조" w:eastAsia="HY신명조"/>
                <w:b/>
                <w:sz w:val="18"/>
              </w:rPr>
              <w:t>9 m</w:t>
            </w:r>
          </w:p>
        </w:tc>
        <w:tc>
          <w:tcPr>
            <w:tcW w:type="dxa" w:w="1417"/>
          </w:tcPr>
          <w:p>
            <w:pPr>
              <w:spacing w:line="288" w:lineRule="auto" w:before="20" w:after="20"/>
              <w:jc w:val="center"/>
            </w:pPr>
            <w:r/>
            <w:r>
              <w:rPr>
                <w:rFonts w:ascii="HY신명조" w:hAnsi="HY신명조" w:eastAsia="HY신명조"/>
                <w:b/>
                <w:sz w:val="18"/>
              </w:rPr>
              <w:t>Estimated boundary</w:t>
            </w:r>
          </w:p>
        </w:tc>
      </w:tr>
      <w:tr>
        <w:trPr>
          <w:cantSplit/>
        </w:trPr>
        <w:tc>
          <w:tcPr>
            <w:tcW w:type="dxa" w:w="1417"/>
          </w:tcPr>
          <w:p>
            <w:pPr>
              <w:spacing w:line="288" w:lineRule="auto" w:before="20" w:after="20"/>
              <w:jc w:val="left"/>
            </w:pPr>
            <w:r/>
            <w:r>
              <w:rPr>
                <w:rFonts w:ascii="HY신명조" w:hAnsi="HY신명조" w:eastAsia="HY신명조"/>
                <w:b w:val="0"/>
                <w:sz w:val="18"/>
              </w:rPr>
              <w:t>4.2 m/s (high-cap control)</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beyond 9 m</w:t>
            </w:r>
          </w:p>
        </w:tc>
      </w:tr>
      <w:tr>
        <w:trPr>
          <w:cantSplit/>
        </w:trPr>
        <w:tc>
          <w:tcPr>
            <w:tcW w:type="dxa" w:w="1417"/>
          </w:tcPr>
          <w:p>
            <w:pPr>
              <w:spacing w:line="288" w:lineRule="auto" w:before="20" w:after="20"/>
              <w:jc w:val="left"/>
            </w:pPr>
            <w:r/>
            <w:r>
              <w:rPr>
                <w:rFonts w:ascii="HY신명조" w:hAnsi="HY신명조" w:eastAsia="HY신명조"/>
                <w:b w:val="0"/>
                <w:sz w:val="18"/>
              </w:rPr>
              <w:t>3.6 m/s</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2/10</w:t>
            </w:r>
          </w:p>
        </w:tc>
        <w:tc>
          <w:tcPr>
            <w:tcW w:type="dxa" w:w="1417"/>
          </w:tcPr>
          <w:p>
            <w:pPr>
              <w:spacing w:line="288" w:lineRule="auto" w:before="20" w:after="20"/>
              <w:jc w:val="left"/>
            </w:pPr>
            <w:r/>
            <w:r>
              <w:rPr>
                <w:rFonts w:ascii="HY신명조" w:hAnsi="HY신명조" w:eastAsia="HY신명조"/>
                <w:b w:val="0"/>
                <w:sz w:val="18"/>
              </w:rPr>
              <w:t>about 9 m</w:t>
            </w:r>
          </w:p>
        </w:tc>
      </w:tr>
      <w:tr>
        <w:trPr>
          <w:cantSplit/>
        </w:trPr>
        <w:tc>
          <w:tcPr>
            <w:tcW w:type="dxa" w:w="1417"/>
          </w:tcPr>
          <w:p>
            <w:pPr>
              <w:spacing w:line="288" w:lineRule="auto" w:before="20" w:after="20"/>
              <w:jc w:val="left"/>
            </w:pPr>
            <w:r/>
            <w:r>
              <w:rPr>
                <w:rFonts w:ascii="HY신명조" w:hAnsi="HY신명조" w:eastAsia="HY신명조"/>
                <w:b w:val="0"/>
                <w:sz w:val="18"/>
              </w:rPr>
              <w:t>3.0 m/s (policy value)</w:t>
            </w:r>
          </w:p>
        </w:tc>
        <w:tc>
          <w:tcPr>
            <w:tcW w:type="dxa" w:w="1417"/>
          </w:tcPr>
          <w:p>
            <w:pPr>
              <w:spacing w:line="288" w:lineRule="auto" w:before="20" w:after="20"/>
              <w:jc w:val="left"/>
            </w:pPr>
            <w:r/>
            <w:r>
              <w:rPr>
                <w:rFonts w:ascii="HY신명조" w:hAnsi="HY신명조" w:eastAsia="HY신명조"/>
                <w:b w:val="0"/>
                <w:sz w:val="18"/>
              </w:rPr>
              <w:t>8/10</w:t>
            </w:r>
          </w:p>
        </w:tc>
        <w:tc>
          <w:tcPr>
            <w:tcW w:type="dxa" w:w="1417"/>
          </w:tcPr>
          <w:p>
            <w:pPr>
              <w:spacing w:line="288" w:lineRule="auto" w:before="20" w:after="20"/>
              <w:jc w:val="left"/>
            </w:pPr>
            <w:r/>
            <w:r>
              <w:rPr>
                <w:rFonts w:ascii="HY신명조" w:hAnsi="HY신명조" w:eastAsia="HY신명조"/>
                <w:b w:val="0"/>
                <w:sz w:val="18"/>
              </w:rPr>
              <w:t>5/10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about 7 m</w:t>
            </w:r>
          </w:p>
        </w:tc>
      </w:tr>
    </w:tbl>
    <w:p>
      <w:pPr>
        <w:spacing w:line="312" w:lineRule="auto" w:before="0" w:after="0"/>
      </w:pPr>
      <w:r>
        <w:rPr>
          <w:rFonts w:ascii="HY신명조" w:hAnsi="HY신명조" w:eastAsia="HY신명조"/>
          <w:b w:val="0"/>
          <w:sz w:val="18"/>
        </w:rPr>
        <w:t>Manipulation check (first-tick measured speeds): 4.2 arm 4.05-4.13 (median 4.08), 3.6 arm 3.37-3.58 (3.52), 3.0 arm 2.60-3.07 (2.81) m/s — all within the required band ±0.15 m/s. Minimum pedestrian gaps in avoidance runs are 1.8-5.4 m, i.e., genuine encounters.</w:t>
      </w:r>
    </w:p>
    <w:p>
      <w:pPr>
        <w:spacing w:line="348" w:lineRule="auto" w:before="0" w:after="0"/>
      </w:pPr>
    </w:p>
    <w:p>
      <w:pPr>
        <w:spacing w:line="348" w:lineRule="auto" w:before="0" w:after="0"/>
        <w:ind w:firstLine="330"/>
        <w:jc w:val="both"/>
      </w:pPr>
      <w:r>
        <w:rPr>
          <w:rFonts w:ascii="HY신명조" w:hAnsi="HY신명조" w:eastAsia="HY신명조"/>
          <w:b w:val="0"/>
          <w:sz w:val="22"/>
        </w:rPr>
        <w:t>Results are monotone along both axes (Table 5.4, Figure 5.4). At the pre-specified 8 m endpoint, cap 4.2 collided in all ten seeds and 3.0 avoided in all ten — discordant pairs 10:0, exact McNemar two-sided p=0.002: the explicit cap's collision-reduction effect is detected with unanimous seed-level directionality once the cap actually holds. In the boundary characterization the boundary is beyond 9 m at 4.2 (consistent with the 8-11 m ladder), about 9 m at 3.6 (2/10), and about 7 m at 3.0 (5/10 at 7 m, 0/10 at ≥8 m) — moving inward monotonically; the 3.0 arm's 7 m 5/10 corroborates the low-speed ladder's 7-8 m interval.</w:t>
      </w:r>
    </w:p>
    <w:p>
      <w:pPr>
        <w:keepNext/>
        <w:spacing w:line="240" w:lineRule="auto"/>
        <w:jc w:val="center"/>
      </w:pPr>
      <w:r>
        <w:drawing>
          <wp:inline xmlns:a="http://schemas.openxmlformats.org/drawingml/2006/main" xmlns:pic="http://schemas.openxmlformats.org/drawingml/2006/picture">
            <wp:extent cx="3780000" cy="1554020"/>
            <wp:docPr id="11" name="Picture 11"/>
            <wp:cNvGraphicFramePr>
              <a:graphicFrameLocks noChangeAspect="1"/>
            </wp:cNvGraphicFramePr>
            <a:graphic>
              <a:graphicData uri="http://schemas.openxmlformats.org/drawingml/2006/picture">
                <pic:pic>
                  <pic:nvPicPr>
                    <pic:cNvPr id="0" name="fig13_speeddose.png"/>
                    <pic:cNvPicPr/>
                  </pic:nvPicPr>
                  <pic:blipFill>
                    <a:blip r:embed="rId25"/>
                    <a:stretch>
                      <a:fillRect/>
                    </a:stretch>
                  </pic:blipFill>
                  <pic:spPr>
                    <a:xfrm>
                      <a:off x="0" y="0"/>
                      <a:ext cx="3780000" cy="1554020"/>
                    </a:xfrm>
                    <a:prstGeom prst="rect"/>
                  </pic:spPr>
                </pic:pic>
              </a:graphicData>
            </a:graphic>
          </wp:inline>
        </w:drawing>
      </w:r>
    </w:p>
    <w:p>
      <w:pPr>
        <w:keepLines/>
        <w:spacing w:line="312" w:lineRule="auto" w:before="0" w:after="0"/>
      </w:pPr>
      <w:r>
        <w:rPr>
          <w:rFonts w:ascii="HY신명조" w:hAnsi="HY신명조" w:eastAsia="HY신명조"/>
          <w:b/>
          <w:sz w:val="22"/>
        </w:rPr>
        <w:t>Figure 5.4. Dose-response experiment (120 runs, ledger adjudication). (a) Collision rate vs spawn distance per cap (Wilson 95% CI) — the boundary moves inward as the cap is lowered. (b) Pre-specified primary contrast at 8 m: 10/10 vs 0/10, discordant 10:0, exact McNemar p=0.002.</w:t>
      </w:r>
    </w:p>
    <w:p>
      <w:pPr>
        <w:spacing w:line="348" w:lineRule="auto" w:before="0" w:after="0"/>
      </w:pPr>
    </w:p>
    <w:p>
      <w:pPr>
        <w:spacing w:line="348" w:lineRule="auto" w:before="0" w:after="0"/>
        <w:ind w:firstLine="330"/>
        <w:jc w:val="both"/>
      </w:pPr>
      <w:r>
        <w:rPr>
          <w:rFonts w:ascii="HY신명조" w:hAnsi="HY신명조" w:eastAsia="HY신명조"/>
          <w:b w:val="0"/>
          <w:sz w:val="22"/>
        </w:rPr>
        <w:t>Interpretation limits: the causal conclusion is restricted to the settled regime where the cap holds; the transient risk before deceleration completes is outside this experiment — the cap does not remove the transient, it creates the post-settling physical margin. No optimality is claimed for 3.0 m/s (the 3.6 arm's 9 m onset only locates an intermediate dose), and the n=10 cells, single fault (gn-mid), and single corridor restrictions remain.</w:t>
      </w:r>
    </w:p>
    <w:p>
      <w:pPr>
        <w:spacing w:line="348" w:lineRule="auto" w:before="0" w:after="0"/>
      </w:pPr>
    </w:p>
    <w:p>
      <w:pPr>
        <w:keepNext/>
        <w:spacing w:line="348" w:lineRule="auto" w:before="0" w:after="0"/>
      </w:pPr>
      <w:r>
        <w:rPr>
          <w:rFonts w:ascii="HY신명조" w:hAnsi="HY신명조" w:eastAsia="HY신명조"/>
          <w:b/>
          <w:sz w:val="28"/>
        </w:rPr>
        <w:t>5.7 Hard-Fail Decision Latency: Verifying the 1.5 s Deadline</w:t>
      </w:r>
    </w:p>
    <w:p>
      <w:pPr>
        <w:spacing w:line="348" w:lineRule="auto" w:before="0" w:after="0"/>
      </w:pPr>
    </w:p>
    <w:p>
      <w:pPr>
        <w:spacing w:line="348" w:lineRule="auto" w:before="0" w:after="0"/>
        <w:ind w:firstLine="330"/>
        <w:jc w:val="both"/>
      </w:pPr>
      <w:r>
        <w:rPr>
          <w:rFonts w:ascii="HY신명조" w:hAnsi="HY신명조" w:eastAsia="HY신명조"/>
          <w:b w:val="0"/>
          <w:sz w:val="22"/>
        </w:rPr>
        <w:t>A 1.5 s deadline is set as a design specification (internal requirement) for hard-fail detection and decision — not an FTTI-compliance claim (Section 3.4). The budget comprises the 850 ms freshness deadline plus ~0.15 s for score propagation and transition (the fast path of Section 3.5), totalling ~1.0 s. Compliance was verified in ledger-based simulation time over the full cf/lf matrices (Table 5.5, Figure 5.1; latency n counts parsable-ledger runs, MRM denominators count post-ledger adjudicable runs, both below 90 after simulator-failure exclusion): across all subtypes the median was ~1.0 s and the maximum 1.20 s with no violations, and MRM attainment was maintained in full. The deadline is limited to hard fails; degradation-fault decisions follow the severity-proportional principle (Section 3.4).</w:t>
      </w:r>
    </w:p>
    <w:p>
      <w:pPr>
        <w:keepNext/>
        <w:spacing w:line="312" w:lineRule="auto" w:before="0" w:after="0"/>
      </w:pPr>
      <w:r>
        <w:rPr>
          <w:rFonts w:ascii="HY신명조" w:hAnsi="HY신명조" w:eastAsia="HY신명조"/>
          <w:b/>
          <w:sz w:val="22"/>
        </w:rPr>
        <w:t>Table 5.5. Hard-fail detection/decision latency (simulation time, ledger basis) and 1.5 s deadline compliance</w:t>
      </w:r>
    </w:p>
    <w:tbl>
      <w:tblPr>
        <w:tblStyle w:val="aa"/>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Subtype</w:t>
            </w:r>
          </w:p>
        </w:tc>
        <w:tc>
          <w:tcPr>
            <w:tcW w:type="dxa" w:w="1215"/>
          </w:tcPr>
          <w:p>
            <w:pPr>
              <w:spacing w:line="288" w:lineRule="auto" w:before="20" w:after="20"/>
              <w:jc w:val="center"/>
            </w:pPr>
            <w:r/>
            <w:r>
              <w:rPr>
                <w:rFonts w:ascii="HY신명조" w:hAnsi="HY신명조" w:eastAsia="HY신명조"/>
                <w:b/>
                <w:sz w:val="18"/>
              </w:rPr>
              <w:t>n</w:t>
            </w:r>
          </w:p>
        </w:tc>
        <w:tc>
          <w:tcPr>
            <w:tcW w:type="dxa" w:w="1215"/>
          </w:tcPr>
          <w:p>
            <w:pPr>
              <w:spacing w:line="288" w:lineRule="auto" w:before="20" w:after="20"/>
              <w:jc w:val="center"/>
            </w:pPr>
            <w:r/>
            <w:r>
              <w:rPr>
                <w:rFonts w:ascii="HY신명조" w:hAnsi="HY신명조" w:eastAsia="HY신명조"/>
                <w:b/>
                <w:sz w:val="18"/>
              </w:rPr>
              <w:t>Median [s]</w:t>
            </w:r>
          </w:p>
        </w:tc>
        <w:tc>
          <w:tcPr>
            <w:tcW w:type="dxa" w:w="1215"/>
          </w:tcPr>
          <w:p>
            <w:pPr>
              <w:spacing w:line="288" w:lineRule="auto" w:before="20" w:after="20"/>
              <w:jc w:val="center"/>
            </w:pPr>
            <w:r/>
            <w:r>
              <w:rPr>
                <w:rFonts w:ascii="HY신명조" w:hAnsi="HY신명조" w:eastAsia="HY신명조"/>
                <w:b/>
                <w:sz w:val="18"/>
              </w:rPr>
              <w:t>P95 [s]</w:t>
            </w:r>
          </w:p>
        </w:tc>
        <w:tc>
          <w:tcPr>
            <w:tcW w:type="dxa" w:w="1215"/>
          </w:tcPr>
          <w:p>
            <w:pPr>
              <w:spacing w:line="288" w:lineRule="auto" w:before="20" w:after="20"/>
              <w:jc w:val="center"/>
            </w:pPr>
            <w:r/>
            <w:r>
              <w:rPr>
                <w:rFonts w:ascii="HY신명조" w:hAnsi="HY신명조" w:eastAsia="HY신명조"/>
                <w:b/>
                <w:sz w:val="18"/>
              </w:rPr>
              <w:t>Max [s]</w:t>
            </w:r>
          </w:p>
        </w:tc>
        <w:tc>
          <w:tcPr>
            <w:tcW w:type="dxa" w:w="1215"/>
          </w:tcPr>
          <w:p>
            <w:pPr>
              <w:spacing w:line="288" w:lineRule="auto" w:before="20" w:after="20"/>
              <w:jc w:val="center"/>
            </w:pPr>
            <w:r/>
            <w:r>
              <w:rPr>
                <w:rFonts w:ascii="HY신명조" w:hAnsi="HY신명조" w:eastAsia="HY신명조"/>
                <w:b/>
                <w:sz w:val="18"/>
              </w:rPr>
              <w:t>&gt;1.5 s</w:t>
            </w:r>
          </w:p>
        </w:tc>
        <w:tc>
          <w:tcPr>
            <w:tcW w:type="dxa" w:w="1215"/>
          </w:tcPr>
          <w:p>
            <w:pPr>
              <w:spacing w:line="288" w:lineRule="auto" w:before="20" w:after="20"/>
              <w:jc w:val="center"/>
            </w:pPr>
            <w:r/>
            <w:r>
              <w:rPr>
                <w:rFonts w:ascii="HY신명조" w:hAnsi="HY신명조" w:eastAsia="HY신명조"/>
                <w:b/>
                <w:sz w:val="18"/>
              </w:rPr>
              <w:t>MRM reached</w:t>
            </w:r>
          </w:p>
        </w:tc>
      </w:tr>
      <w:tr>
        <w:trPr>
          <w:cantSplit/>
        </w:trPr>
        <w:tc>
          <w:tcPr>
            <w:tcW w:type="dxa" w:w="1215"/>
          </w:tcPr>
          <w:p>
            <w:pPr>
              <w:spacing w:line="288" w:lineRule="auto" w:before="20" w:after="20"/>
              <w:jc w:val="left"/>
            </w:pPr>
            <w:r/>
            <w:r>
              <w:rPr>
                <w:rFonts w:ascii="HY신명조" w:hAnsi="HY신명조" w:eastAsia="HY신명조"/>
                <w:b w:val="0"/>
                <w:sz w:val="18"/>
              </w:rPr>
              <w:t>cf-proposed</w:t>
            </w:r>
          </w:p>
        </w:tc>
        <w:tc>
          <w:tcPr>
            <w:tcW w:type="dxa" w:w="1215"/>
          </w:tcPr>
          <w:p>
            <w:pPr>
              <w:spacing w:line="288" w:lineRule="auto" w:before="20" w:after="20"/>
              <w:jc w:val="left"/>
            </w:pPr>
            <w:r/>
            <w:r>
              <w:rPr>
                <w:rFonts w:ascii="HY신명조" w:hAnsi="HY신명조" w:eastAsia="HY신명조"/>
                <w:b w:val="0"/>
                <w:sz w:val="18"/>
              </w:rPr>
              <w:t>38</w:t>
            </w:r>
          </w:p>
        </w:tc>
        <w:tc>
          <w:tcPr>
            <w:tcW w:type="dxa" w:w="1215"/>
          </w:tcPr>
          <w:p>
            <w:pPr>
              <w:spacing w:line="288" w:lineRule="auto" w:before="20" w:after="20"/>
              <w:jc w:val="left"/>
            </w:pPr>
            <w:r/>
            <w:r>
              <w:rPr>
                <w:rFonts w:ascii="HY신명조" w:hAnsi="HY신명조" w:eastAsia="HY신명조"/>
                <w:b w:val="0"/>
                <w:sz w:val="18"/>
              </w:rPr>
              <w:t>0.98</w:t>
            </w:r>
          </w:p>
        </w:tc>
        <w:tc>
          <w:tcPr>
            <w:tcW w:type="dxa" w:w="1215"/>
          </w:tcPr>
          <w:p>
            <w:pPr>
              <w:spacing w:line="288" w:lineRule="auto" w:before="20" w:after="20"/>
              <w:jc w:val="left"/>
            </w:pPr>
            <w:r/>
            <w:r>
              <w:rPr>
                <w:rFonts w:ascii="HY신명조" w:hAnsi="HY신명조" w:eastAsia="HY신명조"/>
                <w:b w:val="0"/>
                <w:sz w:val="18"/>
              </w:rPr>
              <w:t>1.05</w:t>
            </w:r>
          </w:p>
        </w:tc>
        <w:tc>
          <w:tcPr>
            <w:tcW w:type="dxa" w:w="1215"/>
          </w:tcPr>
          <w:p>
            <w:pPr>
              <w:spacing w:line="288" w:lineRule="auto" w:before="20" w:after="20"/>
              <w:jc w:val="left"/>
            </w:pPr>
            <w:r/>
            <w:r>
              <w:rPr>
                <w:rFonts w:ascii="HY신명조" w:hAnsi="HY신명조" w:eastAsia="HY신명조"/>
                <w:b w:val="0"/>
                <w:sz w:val="18"/>
              </w:rPr>
              <w:t>1.10</w:t>
            </w:r>
          </w:p>
        </w:tc>
        <w:tc>
          <w:tcPr>
            <w:tcW w:type="dxa" w:w="1215"/>
          </w:tcPr>
          <w:p>
            <w:pPr>
              <w:spacing w:line="288" w:lineRule="auto" w:before="20" w:after="20"/>
              <w:jc w:val="left"/>
            </w:pPr>
            <w:r/>
            <w:r>
              <w:rPr>
                <w:rFonts w:ascii="HY신명조" w:hAnsi="HY신명조" w:eastAsia="HY신명조"/>
                <w:b w:val="0"/>
                <w:sz w:val="18"/>
              </w:rPr>
              <w:t>0</w:t>
            </w:r>
          </w:p>
        </w:tc>
        <w:tc>
          <w:tcPr>
            <w:tcW w:type="dxa" w:w="1215"/>
          </w:tcPr>
          <w:p>
            <w:pPr>
              <w:spacing w:line="288" w:lineRule="auto" w:before="20" w:after="20"/>
              <w:jc w:val="left"/>
            </w:pPr>
            <w:r/>
            <w:r>
              <w:rPr>
                <w:rFonts w:ascii="HY신명조" w:hAnsi="HY신명조" w:eastAsia="HY신명조"/>
                <w:b w:val="0"/>
                <w:sz w:val="18"/>
              </w:rPr>
              <w:t>44/44</w:t>
            </w:r>
          </w:p>
        </w:tc>
      </w:tr>
      <w:tr>
        <w:trPr>
          <w:cantSplit/>
        </w:trPr>
        <w:tc>
          <w:tcPr>
            <w:tcW w:type="dxa" w:w="1215"/>
          </w:tcPr>
          <w:p>
            <w:pPr>
              <w:spacing w:line="288" w:lineRule="auto" w:before="20" w:after="20"/>
              <w:jc w:val="left"/>
            </w:pPr>
            <w:r/>
            <w:r>
              <w:rPr>
                <w:rFonts w:ascii="HY신명조" w:hAnsi="HY신명조" w:eastAsia="HY신명조"/>
                <w:b w:val="0"/>
                <w:sz w:val="18"/>
              </w:rPr>
              <w:t>cf-baseline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1.05</w:t>
            </w:r>
          </w:p>
        </w:tc>
        <w:tc>
          <w:tcPr>
            <w:tcW w:type="dxa" w:w="1215"/>
          </w:tcPr>
          <w:p>
            <w:pPr>
              <w:spacing w:line="288" w:lineRule="auto" w:before="20" w:after="20"/>
              <w:jc w:val="left"/>
            </w:pPr>
            <w:r/>
            <w:r>
              <w:rPr>
                <w:rFonts w:ascii="HY신명조" w:hAnsi="HY신명조" w:eastAsia="HY신명조"/>
                <w:b w:val="0"/>
                <w:sz w:val="18"/>
              </w:rPr>
              <w:t>1.10</w:t>
            </w:r>
          </w:p>
        </w:tc>
        <w:tc>
          <w:tcPr>
            <w:tcW w:type="dxa" w:w="1215"/>
          </w:tcPr>
          <w:p>
            <w:pPr>
              <w:spacing w:line="288" w:lineRule="auto" w:before="20" w:after="20"/>
              <w:jc w:val="left"/>
            </w:pPr>
            <w:r/>
            <w:r>
              <w:rPr>
                <w:rFonts w:ascii="HY신명조" w:hAnsi="HY신명조" w:eastAsia="HY신명조"/>
                <w:b w:val="0"/>
                <w:sz w:val="18"/>
              </w:rPr>
              <w:t>0</w:t>
            </w:r>
          </w:p>
        </w:tc>
        <w:tc>
          <w:tcPr>
            <w:tcW w:type="dxa" w:w="1215"/>
          </w:tcPr>
          <w:p>
            <w:pPr>
              <w:spacing w:line="288" w:lineRule="auto" w:before="20" w:after="20"/>
              <w:jc w:val="left"/>
            </w:pPr>
            <w:r/>
            <w:r>
              <w:rPr>
                <w:rFonts w:ascii="HY신명조" w:hAnsi="HY신명조" w:eastAsia="HY신명조"/>
                <w:b w:val="0"/>
                <w:sz w:val="18"/>
              </w:rPr>
              <w:t>44/44</w:t>
            </w:r>
          </w:p>
        </w:tc>
      </w:tr>
      <w:tr>
        <w:trPr>
          <w:cantSplit/>
        </w:trPr>
        <w:tc>
          <w:tcPr>
            <w:tcW w:type="dxa" w:w="1215"/>
          </w:tcPr>
          <w:p>
            <w:pPr>
              <w:spacing w:line="288" w:lineRule="auto" w:before="20" w:after="20"/>
              <w:jc w:val="left"/>
            </w:pPr>
            <w:r/>
            <w:r>
              <w:rPr>
                <w:rFonts w:ascii="HY신명조" w:hAnsi="HY신명조" w:eastAsia="HY신명조"/>
                <w:b w:val="0"/>
                <w:sz w:val="18"/>
              </w:rPr>
              <w:t>lf-proposed</w:t>
            </w:r>
          </w:p>
        </w:tc>
        <w:tc>
          <w:tcPr>
            <w:tcW w:type="dxa" w:w="1215"/>
          </w:tcPr>
          <w:p>
            <w:pPr>
              <w:spacing w:line="288" w:lineRule="auto" w:before="20" w:after="20"/>
              <w:jc w:val="left"/>
            </w:pPr>
            <w:r/>
            <w:r>
              <w:rPr>
                <w:rFonts w:ascii="HY신명조" w:hAnsi="HY신명조" w:eastAsia="HY신명조"/>
                <w:b w:val="0"/>
                <w:sz w:val="18"/>
              </w:rPr>
              <w:t>41</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w:t>
            </w:r>
          </w:p>
        </w:tc>
        <w:tc>
          <w:tcPr>
            <w:tcW w:type="dxa" w:w="1215"/>
          </w:tcPr>
          <w:p>
            <w:pPr>
              <w:spacing w:line="288" w:lineRule="auto" w:before="20" w:after="20"/>
              <w:jc w:val="left"/>
            </w:pPr>
            <w:r/>
            <w:r>
              <w:rPr>
                <w:rFonts w:ascii="HY신명조" w:hAnsi="HY신명조" w:eastAsia="HY신명조"/>
                <w:b w:val="0"/>
                <w:sz w:val="18"/>
              </w:rPr>
              <w:t>33/33</w:t>
            </w:r>
          </w:p>
        </w:tc>
      </w:tr>
      <w:tr>
        <w:trPr>
          <w:cantSplit/>
        </w:trPr>
        <w:tc>
          <w:tcPr>
            <w:tcW w:type="dxa" w:w="1215"/>
          </w:tcPr>
          <w:p>
            <w:pPr>
              <w:spacing w:line="288" w:lineRule="auto" w:before="20" w:after="20"/>
              <w:jc w:val="left"/>
            </w:pPr>
            <w:r/>
            <w:r>
              <w:rPr>
                <w:rFonts w:ascii="HY신명조" w:hAnsi="HY신명조" w:eastAsia="HY신명조"/>
                <w:b w:val="0"/>
                <w:sz w:val="18"/>
              </w:rPr>
              <w:t>lf-baseline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w:t>
            </w:r>
          </w:p>
        </w:tc>
        <w:tc>
          <w:tcPr>
            <w:tcW w:type="dxa" w:w="1215"/>
          </w:tcPr>
          <w:p>
            <w:pPr>
              <w:spacing w:line="288" w:lineRule="auto" w:before="20" w:after="20"/>
              <w:jc w:val="left"/>
            </w:pPr>
            <w:r/>
            <w:r>
              <w:rPr>
                <w:rFonts w:ascii="HY신명조" w:hAnsi="HY신명조" w:eastAsia="HY신명조"/>
                <w:b w:val="0"/>
                <w:sz w:val="18"/>
              </w:rPr>
              <w:t>35/35</w:t>
            </w:r>
          </w:p>
        </w:tc>
      </w:tr>
    </w:tbl>
    <w:p>
      <w:pPr>
        <w:spacing w:line="312" w:lineRule="auto" w:before="0" w:after="0"/>
      </w:pPr>
      <w:r>
        <w:rPr>
          <w:rFonts w:ascii="HY신명조" w:hAnsi="HY신명조" w:eastAsia="HY신명조"/>
          <w:b w:val="0"/>
          <w:sz w:val="18"/>
        </w:rPr>
        <w:t>Decision latency = fault activation (injector ledger) to first MRM state transition (supervisor ledger), simulation time.</w:t>
      </w:r>
    </w:p>
    <w:p>
      <w:pPr>
        <w:spacing w:line="348" w:lineRule="auto" w:before="0" w:after="0"/>
      </w:pPr>
    </w:p>
    <w:p>
      <w:pPr>
        <w:spacing w:line="348" w:lineRule="auto" w:before="0" w:after="0"/>
        <w:jc w:val="center"/>
      </w:pPr>
      <w:r>
        <w:rPr>
          <w:rFonts w:ascii="HY신명조" w:hAnsi="HY신명조" w:eastAsia="HY신명조"/>
          <w:b/>
          <w:sz w:val="32"/>
        </w:rPr>
        <w:br w:type="page"/>
      </w:r>
      <w:r>
        <w:rPr>
          <w:rFonts w:ascii="HY신명조" w:hAnsi="HY신명조" w:eastAsia="HY신명조"/>
          <w:b/>
          <w:sz w:val="32"/>
        </w:rPr>
        <w:t>Chapter 6. Limitations and Discussion</w:t>
      </w:r>
    </w:p>
    <w:p>
      <w:pPr>
        <w:spacing w:line="348" w:lineRule="auto" w:before="0" w:after="0"/>
      </w:pPr>
    </w:p>
    <w:p>
      <w:pPr>
        <w:spacing w:line="348" w:lineRule="auto" w:before="0" w:after="0"/>
      </w:pPr>
    </w:p>
    <w:p>
      <w:pPr>
        <w:keepNext/>
        <w:spacing w:line="348" w:lineRule="auto" w:before="0" w:after="0"/>
      </w:pPr>
      <w:r>
        <w:rPr>
          <w:rFonts w:ascii="HY신명조" w:hAnsi="HY신명조" w:eastAsia="HY신명조"/>
          <w:b/>
          <w:sz w:val="28"/>
        </w:rPr>
        <w:t>6.1 The Temporal Trade-off Between Stopping and Evacuation</w:t>
      </w:r>
    </w:p>
    <w:p>
      <w:pPr>
        <w:spacing w:line="348" w:lineRule="auto" w:before="0" w:after="0"/>
      </w:pPr>
    </w:p>
    <w:p>
      <w:pPr>
        <w:spacing w:line="348" w:lineRule="auto" w:before="0" w:after="0"/>
        <w:ind w:firstLine="330"/>
        <w:jc w:val="both"/>
      </w:pPr>
      <w:r>
        <w:rPr>
          <w:rFonts w:ascii="HY신명조" w:hAnsi="HY신명조" w:eastAsia="HY신명조"/>
          <w:b w:val="0"/>
          <w:sz w:val="22"/>
        </w:rPr>
        <w:t>The structure running through the experiments is the temporal trade-off between stop-type and evacuation-type MRMs. The in-lane stop minimizes immediate collision risk at the price of sustained lane occupancy (Section 5.2); evacuation accepts controlled moving exposure and transient residual risk but on success returns the lane and moves off-lane (lane clearance is an indicator of relinquished occupancy, not proof of final-position safety; secondary shoulder risks were not directly compared). Neither is unconditionally superior; the choice should follow the fault's temporal structure — concrete selection variables for the ISO 23793-1 framework.</w:t>
      </w:r>
    </w:p>
    <w:p>
      <w:pPr>
        <w:spacing w:line="348" w:lineRule="auto" w:before="0" w:after="0"/>
      </w:pPr>
    </w:p>
    <w:p>
      <w:pPr>
        <w:keepNext/>
        <w:spacing w:line="348" w:lineRule="auto" w:before="0" w:after="0"/>
      </w:pPr>
      <w:r>
        <w:rPr>
          <w:rFonts w:ascii="HY신명조" w:hAnsi="HY신명조" w:eastAsia="HY신명조"/>
          <w:b/>
          <w:sz w:val="28"/>
        </w:rPr>
        <w:t>6.2 The Post-Detection Transient, the Fault-Response Risk Window, and FTTI</w:t>
      </w:r>
    </w:p>
    <w:p>
      <w:pPr>
        <w:spacing w:line="348" w:lineRule="auto" w:before="0" w:after="0"/>
      </w:pPr>
    </w:p>
    <w:p>
      <w:pPr>
        <w:spacing w:line="348" w:lineRule="auto" w:before="0" w:after="0"/>
        <w:ind w:firstLine="330"/>
        <w:jc w:val="both"/>
      </w:pPr>
      <w:r>
        <w:rPr>
          <w:rFonts w:ascii="HY신명조" w:hAnsi="HY신명조" w:eastAsia="HY신명조"/>
          <w:b w:val="0"/>
          <w:sz w:val="22"/>
        </w:rPr>
        <w:t>That the same policy collided in transient encounters and avoided in settled ones (transient 2/2 vs settled 0/8) signifies temporal localization of residual risk — when the encounter occurs dominates the outcome. The post-detection transient runs from detection to settled speed; the overall fault-response risk window runs from fault onset to settled speed (T_detect + T_deceleration). The results support, as a measurable proposition, that earlier detection and faster deceleration (in tension with comfort and rear-end risk) shrink this window — an observational comparison, not a causal manipulation of detection timing, so it must not be read as an effect-size estimate.</w:t>
      </w:r>
    </w:p>
    <w:p>
      <w:pPr>
        <w:spacing w:line="348" w:lineRule="auto" w:before="0" w:after="0"/>
      </w:pPr>
    </w:p>
    <w:p>
      <w:pPr>
        <w:keepNext/>
        <w:spacing w:line="348" w:lineRule="auto" w:before="0" w:after="0"/>
      </w:pPr>
      <w:r>
        <w:rPr>
          <w:rFonts w:ascii="HY신명조" w:hAnsi="HY신명조" w:eastAsia="HY신명조"/>
          <w:b/>
          <w:sz w:val="28"/>
        </w:rPr>
        <w:t>6.3 The Role of the Speed Cap: Causal Effect and Limits</w:t>
      </w:r>
    </w:p>
    <w:p>
      <w:pPr>
        <w:spacing w:line="348" w:lineRule="auto" w:before="0" w:after="0"/>
      </w:pPr>
    </w:p>
    <w:p>
      <w:pPr>
        <w:spacing w:line="348" w:lineRule="auto" w:before="0" w:after="0"/>
        <w:ind w:firstLine="330"/>
        <w:jc w:val="both"/>
      </w:pPr>
      <w:r>
        <w:rPr>
          <w:rFonts w:ascii="HY신명조" w:hAnsi="HY신명조" w:eastAsia="HY신명조"/>
          <w:b w:val="0"/>
          <w:sz w:val="22"/>
        </w:rPr>
        <w:t>The settled-encounter dose-response experiment (Section 5.6) detected the cap's causal effect: 8 m paired discordance 10:0 (p=0.002) and the monotone inward boundary shift (beyond 9 m → about 7 m). The cap's role is twofold — a verified inward shift of the avoidance boundary in the settled regime, and no protection in the transient where the cap speed does not yet hold (measured 3.5-3.8 m/s). The cap is thus an explicit re-acceleration-suppressing upper bound independent of natural deceleration, effective only after deceleration completes. The 3.0 m/s value is grounded but not claimed optimal or a formal closed-loop guarantee; verification is limited to gn-mid on a single corridor.</w:t>
      </w:r>
    </w:p>
    <w:p>
      <w:pPr>
        <w:spacing w:line="348" w:lineRule="auto" w:before="0" w:after="0"/>
      </w:pPr>
    </w:p>
    <w:p>
      <w:pPr>
        <w:keepNext/>
        <w:spacing w:line="348" w:lineRule="auto" w:before="0" w:after="0"/>
      </w:pPr>
      <w:r>
        <w:rPr>
          <w:rFonts w:ascii="HY신명조" w:hAnsi="HY신명조" w:eastAsia="HY신명조"/>
          <w:b/>
          <w:sz w:val="28"/>
        </w:rPr>
        <w:t>6.4 Lessons for Adjudication Methodology</w:t>
      </w:r>
    </w:p>
    <w:p>
      <w:pPr>
        <w:spacing w:line="348" w:lineRule="auto" w:before="0" w:after="0"/>
      </w:pPr>
    </w:p>
    <w:p>
      <w:pPr>
        <w:spacing w:line="348" w:lineRule="auto" w:before="0" w:after="0"/>
        <w:ind w:firstLine="330"/>
        <w:jc w:val="both"/>
      </w:pPr>
      <w:r>
        <w:rPr>
          <w:rFonts w:ascii="HY신명조" w:hAnsi="HY신명조" w:eastAsia="HY신명조"/>
          <w:b w:val="0"/>
          <w:sz w:val="22"/>
        </w:rPr>
        <w:t>The lesson of the collision-sensor silence incident (Section 4.5) is general: in simulation-based safety evaluation, "zero collisions" is meaningful only after the verdict channel is proven alive — addressed here by positive-control verification, physics-oracle cross-checks, and explicit statement of label/infraction pitfalls. The undelivered speed cap (Section 3.6) carries the same lesson: a publish record is not evidence of delivery; actuation must be verified by downstream effect (measured speed). The error of reading absence of a record as absence of an event arises structurally in automated large-scale experiments, and the real-time ledger was the effective remedy (a watchdog guarded the recording channel, and data from unconfirmed-liveness intervals were not used — watch the watchers).</w:t>
      </w:r>
    </w:p>
    <w:p>
      <w:pPr>
        <w:spacing w:line="348" w:lineRule="auto" w:before="0" w:after="0"/>
      </w:pPr>
    </w:p>
    <w:p>
      <w:pPr>
        <w:keepNext/>
        <w:spacing w:line="348" w:lineRule="auto" w:before="0" w:after="0"/>
      </w:pPr>
      <w:r>
        <w:rPr>
          <w:rFonts w:ascii="HY신명조" w:hAnsi="HY신명조" w:eastAsia="HY신명조"/>
          <w:b/>
          <w:sz w:val="28"/>
        </w:rPr>
        <w:t>6.5 The Cost of Design Conservatism and the Execution and Map Layers</w:t>
      </w:r>
    </w:p>
    <w:p>
      <w:pPr>
        <w:spacing w:line="348" w:lineRule="auto" w:before="0" w:after="0"/>
      </w:pPr>
    </w:p>
    <w:p>
      <w:pPr>
        <w:spacing w:line="348" w:lineRule="auto" w:before="0" w:after="0"/>
        <w:ind w:firstLine="330"/>
        <w:jc w:val="both"/>
      </w:pPr>
      <w:r>
        <w:rPr>
          <w:rFonts w:ascii="HY신명조" w:hAnsi="HY신명조" w:eastAsia="HY신명조"/>
          <w:b w:val="0"/>
          <w:sz w:val="22"/>
        </w:rPr>
        <w:t>One factor limiting the evacuation completion rate is the cost of intended conservatism: the traffic-light observability gate shrinks the candidate set under camera-family faults (cf 16/45), and mitigations (detour search, relaxed V2X trust) would introduce new trust assumptions, so the conservative default was retained. Execution-layer dependence is explicit: the shoulder-entry maneuver is delegated to the stock goal_planner, so incompletions mix the decision layer's deferral choice with execution-layer maneuver failures (cf: 27 vs 2), distinguished at the log level (Section 3.8). At the map layer, manual annotation limits verification scope, and the signal miscount (Section 4.3) showed annotation quality to be a hidden confounder — the fundamental remedy is automated HD-map attribute extraction and verification.</w:t>
      </w:r>
    </w:p>
    <w:p>
      <w:pPr>
        <w:spacing w:line="348" w:lineRule="auto" w:before="0" w:after="0"/>
      </w:pPr>
    </w:p>
    <w:p>
      <w:pPr>
        <w:keepNext/>
        <w:spacing w:line="348" w:lineRule="auto" w:before="0" w:after="0"/>
      </w:pPr>
      <w:r>
        <w:rPr>
          <w:rFonts w:ascii="HY신명조" w:hAnsi="HY신명조" w:eastAsia="HY신명조"/>
          <w:b/>
          <w:sz w:val="28"/>
        </w:rPr>
        <w:t>6.6 Limitations</w:t>
      </w:r>
    </w:p>
    <w:p>
      <w:pPr>
        <w:spacing w:line="348" w:lineRule="auto" w:before="0" w:after="0"/>
      </w:pPr>
    </w:p>
    <w:p>
      <w:pPr>
        <w:spacing w:line="348" w:lineRule="auto" w:before="0" w:after="0"/>
        <w:ind w:firstLine="330"/>
        <w:jc w:val="both"/>
      </w:pPr>
      <w:r>
        <w:rPr>
          <w:rFonts w:ascii="HY신명조" w:hAnsi="HY신명조" w:eastAsia="HY신명조"/>
          <w:b w:val="0"/>
          <w:sz w:val="22"/>
        </w:rPr>
        <w:t>The numerical results are limited as follows. (i) A case study with a single map (Town07), single speed limit (15 km/h), and two launch corridors; the per-speed boundaries and dose-response values are low-speed-ODD numbers, and in high-speed environments the boundary, transient, and risk window all grow — generalizable claims are structural, not numerical. (ii) Autoware observations are limited to the evaluated 0.39.0 version and configuration. (iii) Dose-response cells are n=10 with wide CIs; small-sample point estimates can shift with larger samples — hence up-front rates/CIs and a single pre-specified test. (iv) Campaign-level collision-free status (Table 4.2) predates the ledger and was not re-verified (low risk without pedestrian injections, but stated as a consistency gap). (v) The min-gap threshold (1.25 m) is a lateral-approach criterion and may overestimate for longitudinal approaches. (vi) The commanded-vs-measured walking-speed gap stems from the post-spawn acceleration transient (tick-instrumented n=90: median 2.46-2.50 m/s, reaching ~95% of command thereafter); physical interpretation of the boundary should rest on the measured distribution. (vii) The actor-list-empty phenomenon remains of unknown root cause, worked around. (viii) The dynamic detection budget (τ_detect) was not directly ablated against a fixed deadline. (ix) Quantifying detection-deadline compliance (T_hazard − T_detect) was not possible without hazard-time instrumentation (left as future work with explicit FRTI/margin reservation). (x) No real-vehicle validation.</w:t>
      </w:r>
    </w:p>
    <w:p>
      <w:pPr>
        <w:spacing w:line="348" w:lineRule="auto" w:before="0" w:after="0"/>
        <w:jc w:val="center"/>
      </w:pPr>
      <w:r>
        <w:rPr>
          <w:rFonts w:ascii="HY신명조" w:hAnsi="HY신명조" w:eastAsia="HY신명조"/>
          <w:b/>
          <w:sz w:val="32"/>
        </w:rPr>
        <w:br w:type="page"/>
      </w:r>
      <w:r>
        <w:rPr>
          <w:rFonts w:ascii="HY신명조" w:hAnsi="HY신명조" w:eastAsia="HY신명조"/>
          <w:b/>
          <w:sz w:val="32"/>
        </w:rPr>
        <w:t>Chapter 7. Conclusion</w:t>
      </w:r>
    </w:p>
    <w:p>
      <w:pPr>
        <w:spacing w:line="348" w:lineRule="auto" w:before="0" w:after="0"/>
      </w:pPr>
    </w:p>
    <w:p>
      <w:pPr>
        <w:spacing w:line="348" w:lineRule="auto" w:before="0" w:after="0"/>
        <w:ind w:firstLine="330"/>
        <w:jc w:val="both"/>
      </w:pPr>
      <w:r>
        <w:rPr>
          <w:rFonts w:ascii="HY신명조" w:hAnsi="HY신명조" w:eastAsia="HY신명조"/>
          <w:b w:val="0"/>
          <w:sz w:val="22"/>
        </w:rPr>
        <w:t>This study proposed behavior-tree-based monitoring that estimates sensor faults as continuous health scores, together with an MRM supervision layer that selects between evacuation and stop deferral by fault kind, severity, and remaining capability, imposing a conservative fixed cap (3.0 m/s) back-computed from stopping distance on evacuation movement, validated in an Autoware-CARLA closed loop. Across 1,862 valid cases the detectors achieved 96-100% in every condition except by-design-tolerated lso-mid (median latency ~1.0 s simulation-time for hard fails, 2.1-5.0 s wall-clock for degradation faults — different clock domains) with zero false activations in 45 fault-free cases; monitoring cut exposure from the unmonitored representative 238-251 m to 32-58 m (LiDAR clutter 275→11-12 m); and severity-based evacuate/defer branching with low-risk continued driving emerged as designed. Safety was quantified through verdict-secured pedestrian encounters: boundaries 8-11 m at 4.2 m/s (model 8.8 m, consistent) and 7-8 m at 3.0 m/s (5.79 m a lower bound); in 8 m fault-state reproductions stock collided in every run while the proposed settled cruise avoided in every run (0/10 vs 8/8), the same policy colliding in the transient (2/2). The settled-encounter dose-response experiment (120 runs, pre-specified) detected the cap effect with 8 m discordance 10:0 (exact McNemar p=0.002; gn-mid condition), the boundary moving inward monotonically (beyond 9 m → about 7 m). Hard fails are decided within the 1.5 s design deadline via the fast path (measured max 1.20 s, Section 5.7).</w:t>
      </w:r>
    </w:p>
    <w:p>
      <w:pPr>
        <w:spacing w:line="348" w:lineRule="auto" w:before="0" w:after="0"/>
        <w:ind w:firstLine="330"/>
        <w:jc w:val="both"/>
      </w:pPr>
      <w:r>
        <w:rPr>
          <w:rFonts w:ascii="HY신명조" w:hAnsi="HY신명조" w:eastAsia="HY신명조"/>
          <w:b w:val="0"/>
          <w:sz w:val="22"/>
        </w:rPr>
        <w:t>The conclusions in three sentences. First, shoulder evacuation is not a panacea — stopping and evacuation form a temporal trade-off between immediate collision risk and lane clearance / off-lane position, and the choice must follow the fault's temporal structure. Second, evacuation's residual risk concentrates in the post-detection transient while settled low speed verifiably moves the avoidance boundary inward (transient 2/2 vs settled 0/8; dose-response 10:0, p=0.002) — supporting earlier detection and faster deceleration to shrink the overall fault-response risk window (not a causal manipulation experiment), an encounter-level quantitative basis for widening the FTTI margin. Third, simulation-based safety claims hold only on a validated adjudication framework — the dual ledger/physics-oracle verdict and the explicit identification of recording pitfalls are the methodological contribution underpinning the figures.</w:t>
      </w:r>
    </w:p>
    <w:p>
      <w:pPr>
        <w:spacing w:line="348" w:lineRule="auto" w:before="0" w:after="0"/>
        <w:ind w:firstLine="330"/>
        <w:jc w:val="both"/>
      </w:pPr>
      <w:r>
        <w:rPr>
          <w:rFonts w:ascii="HY신명조" w:hAnsi="HY신명조" w:eastAsia="HY신명조"/>
          <w:b w:val="0"/>
          <w:sz w:val="22"/>
        </w:rPr>
        <w:t>Future work includes extension to high-speed ODDs and multiple maps, survival analysis of lane-clearance time, formalizing the detection budget (explicit FRTI/margin reservation and T_hazard-based compliance quantification), validating the health-proportional variable cap (implemented, unevaluated), extending the dose-response experiment to multiple faults and corridors, early-detection and deceleration-profile design, automated HD-map candidate extraction, signal-free detour search, and real-vehicle validation.</w:t>
      </w:r>
    </w:p>
    <w:p>
      <w:pPr>
        <w:spacing w:line="348" w:lineRule="auto" w:before="0" w:after="0"/>
        <w:ind w:firstLine="330"/>
        <w:jc w:val="both"/>
      </w:pPr>
      <w:r>
        <w:rPr>
          <w:rFonts w:ascii="HY신명조" w:hAnsi="HY신명조" w:eastAsia="HY신명조"/>
          <w:b w:val="0"/>
          <w:sz w:val="22"/>
        </w:rPr>
        <w:t>Finally, a methodological implication: the adjudication framework (real-time ledger, physics oracle) and the encounter protocol (same-seed pairing, settlement triggers, pre-specified endpoints, manipulation-check adoption rules) are not tied to a particular system. Follow-up studies comparing MRM/fallback policies in simulation can reuse this protocol regardless of policy implementation; the principle of never reading the absence of a record as the absence of an event, and launch designs that prevent the policy from determining whether an encounter occurs, remain valid in any comparative experiment.</w:t>
      </w:r>
    </w:p>
    <w:p w14:paraId="14A08828" w14:textId="576C511E" w:rsidR="00404B78" w:rsidRPr="004C7E98" w:rsidRDefault="00404B78" w:rsidP="004D4707">
      <w:pPr>
        <w:shd w:val="clear" w:color="auto" w:fill="FFFFFF"/>
        <w:wordWrap/>
        <w:snapToGrid w:val="0"/>
        <w:spacing w:line="348" w:lineRule="auto"/>
        <w:jc w:val="center"/>
        <w:textAlignment w:val="baseline"/>
        <w:rPr>
          <w:rFonts w:ascii="HY신명조" w:eastAsia="HY신명조" w:hAnsi="굴림" w:cs="굴림"/>
          <w:b/>
          <w:color w:val="000000"/>
          <w:kern w:val="0"/>
          <w:sz w:val="32"/>
          <w:szCs w:val="32"/>
          <w:shd w:val="clear" w:color="auto" w:fill="FFFFFF"/>
        </w:rPr>
      </w:pPr>
      <w:r/>
      <w:r>
        <w:rPr>
          <w:rFonts w:ascii="HY신명조" w:hAnsi="HY신명조" w:eastAsia="HY신명조"/>
          <w:b/>
          <w:sz w:val="32"/>
        </w:rPr>
        <w:br w:type="page"/>
      </w:r>
      <w:r>
        <w:rPr>
          <w:rFonts w:ascii="HY신명조" w:hAnsi="HY신명조" w:eastAsia="HY신명조"/>
          <w:b/>
          <w:sz w:val="32"/>
        </w:rPr>
        <w:t>References</w:t>
      </w:r>
    </w:p>
    <w:p>
      <w:pPr>
        <w:spacing w:line="312" w:lineRule="auto" w:before="0" w:after="60"/>
        <w:ind w:left="510" w:hanging="510"/>
      </w:pPr>
      <w:r>
        <w:rPr>
          <w:rFonts w:ascii="HY신명조" w:hAnsi="HY신명조" w:eastAsia="HY신명조"/>
          <w:b w:val="0"/>
          <w:sz w:val="22"/>
        </w:rPr>
        <w:t>1. ISO 26262:2018, Road vehicles — Functional safety.</w:t>
      </w:r>
    </w:p>
    <w:p>
      <w:pPr>
        <w:spacing w:line="312" w:lineRule="auto" w:before="0" w:after="60"/>
        <w:ind w:left="510" w:hanging="510"/>
      </w:pPr>
      <w:r>
        <w:rPr>
          <w:rFonts w:ascii="HY신명조" w:hAnsi="HY신명조" w:eastAsia="HY신명조"/>
          <w:b w:val="0"/>
          <w:sz w:val="22"/>
        </w:rPr>
        <w:t>2. ISO 21448:2022, Road vehicles — Safety of the intended functionality.</w:t>
      </w:r>
    </w:p>
    <w:p>
      <w:pPr>
        <w:spacing w:line="312" w:lineRule="auto" w:before="0" w:after="6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12" w:lineRule="auto" w:before="0" w:after="6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12" w:lineRule="auto" w:before="0" w:after="60"/>
        <w:ind w:left="510" w:hanging="510"/>
      </w:pPr>
      <w:r>
        <w:rPr>
          <w:rFonts w:ascii="HY신명조" w:hAnsi="HY신명조" w:eastAsia="HY신명조"/>
          <w:b w:val="0"/>
          <w:sz w:val="22"/>
        </w:rPr>
        <w:t>5. UL 4600, Standard for Safety for the Evaluation of Autonomous Products, 3rd ed., 2023.</w:t>
      </w:r>
    </w:p>
    <w:p>
      <w:pPr>
        <w:spacing w:line="312" w:lineRule="auto" w:before="0" w:after="6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12" w:lineRule="auto" w:before="0" w:after="60"/>
        <w:ind w:left="510" w:hanging="510"/>
      </w:pPr>
      <w:r>
        <w:rPr>
          <w:rFonts w:ascii="HY신명조" w:hAnsi="HY신명조" w:eastAsia="HY신명조"/>
          <w:b w:val="0"/>
          <w:sz w:val="22"/>
        </w:rPr>
        <w:t>7. AUTOSAR, Specification of Watchdog Manager, R23-11.</w:t>
      </w:r>
    </w:p>
    <w:p>
      <w:pPr>
        <w:spacing w:line="312" w:lineRule="auto" w:before="0" w:after="6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12" w:lineRule="auto" w:before="0" w:after="60"/>
        <w:ind w:left="510" w:hanging="510"/>
      </w:pPr>
      <w:r>
        <w:rPr>
          <w:rFonts w:ascii="HY신명조" w:hAnsi="HY신명조" w:eastAsia="HY신명조"/>
          <w:b w:val="0"/>
          <w:sz w:val="22"/>
        </w:rPr>
        <w:t>9. J. C. Hayward, "Near-miss determination through use of a scale of danger," Highway Research Record, no. 384, 1972.</w:t>
      </w:r>
    </w:p>
    <w:p>
      <w:pPr>
        <w:spacing w:line="312" w:lineRule="auto" w:before="0" w:after="6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12" w:lineRule="auto" w:before="0" w:after="6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12" w:lineRule="auto" w:before="0" w:after="60"/>
        <w:ind w:left="510" w:hanging="510"/>
      </w:pPr>
      <w:r>
        <w:rPr>
          <w:rFonts w:ascii="HY신명조" w:hAnsi="HY신명조" w:eastAsia="HY신명조"/>
          <w:b w:val="0"/>
          <w:sz w:val="22"/>
        </w:rPr>
        <w:t>12. A. S. Willsky, "A survey of design methods for failure detection in dynamic systems," Automatica, vol. 12, no. 6, 1976.</w:t>
      </w:r>
    </w:p>
    <w:p>
      <w:pPr>
        <w:spacing w:line="312" w:lineRule="auto" w:before="0" w:after="6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12" w:lineRule="auto" w:before="0" w:after="60"/>
        <w:ind w:left="510" w:hanging="510"/>
      </w:pPr>
      <w:r>
        <w:rPr>
          <w:rFonts w:ascii="HY신명조" w:hAnsi="HY신명조" w:eastAsia="HY신명조"/>
          <w:b w:val="0"/>
          <w:sz w:val="22"/>
        </w:rPr>
        <w:t>14. R. Isermann, Fault-Diagnosis Systems: An Introduction from Fault Detection to Fault Tolerance, Springer, 2006.</w:t>
      </w:r>
    </w:p>
    <w:p>
      <w:pPr>
        <w:spacing w:line="312" w:lineRule="auto" w:before="0" w:after="60"/>
        <w:ind w:left="510" w:hanging="510"/>
      </w:pPr>
      <w:r>
        <w:rPr>
          <w:rFonts w:ascii="HY신명조" w:hAnsi="HY신명조" w:eastAsia="HY신명조"/>
          <w:b w:val="0"/>
          <w:sz w:val="22"/>
        </w:rPr>
        <w:t>15. Z. Gao, C. Cecati, and S. X. Ding, "A survey of fault diagnosis and fault-tolerant techniques — Part I (pp. 3757-3767); Part II (pp. 3768-3774)," IEEE Transactions on Industrial Electronics, vol. 62, no. 6, 2015.</w:t>
      </w:r>
    </w:p>
    <w:p>
      <w:pPr>
        <w:spacing w:line="312" w:lineRule="auto" w:before="0" w:after="60"/>
        <w:ind w:left="510" w:hanging="510"/>
      </w:pPr>
      <w:r>
        <w:rPr>
          <w:rFonts w:ascii="HY신명조" w:hAnsi="HY신명조" w:eastAsia="HY신명조"/>
          <w:b w:val="0"/>
          <w:sz w:val="22"/>
        </w:rPr>
        <w:t>16. E. S. Page, "Continuous inspection schemes," Biometrika, vol. 41, no. 1/2, 1954.</w:t>
      </w:r>
    </w:p>
    <w:p>
      <w:pPr>
        <w:spacing w:line="312" w:lineRule="auto" w:before="0" w:after="60"/>
        <w:ind w:left="510" w:hanging="510"/>
      </w:pPr>
      <w:r>
        <w:rPr>
          <w:rFonts w:ascii="HY신명조" w:hAnsi="HY신명조" w:eastAsia="HY신명조"/>
          <w:b w:val="0"/>
          <w:sz w:val="22"/>
        </w:rPr>
        <w:t>17. M. Basseville and I. V. Nikiforov, Detection of Abrupt Changes: Theory and Application, Prentice Hall, 1993.</w:t>
      </w:r>
    </w:p>
    <w:p>
      <w:pPr>
        <w:spacing w:line="312" w:lineRule="auto" w:before="0" w:after="60"/>
        <w:ind w:left="510" w:hanging="510"/>
      </w:pPr>
      <w:r>
        <w:rPr>
          <w:rFonts w:ascii="HY신명조" w:hAnsi="HY신명조" w:eastAsia="HY신명조"/>
          <w:b w:val="0"/>
          <w:sz w:val="22"/>
        </w:rPr>
        <w:t>18. Autoware Foundation, "autoware.universe documentation: ring_outlier_filter, blockage_diag, mrm_handler, goal_planner" (evaluated version 0.39.0). https://autowarefoundation.github.io/autoware.universe/</w:t>
      </w:r>
    </w:p>
    <w:p>
      <w:pPr>
        <w:spacing w:line="312" w:lineRule="auto" w:before="0" w:after="60"/>
        <w:ind w:left="510" w:hanging="510"/>
      </w:pPr>
      <w:r>
        <w:rPr>
          <w:rFonts w:ascii="HY신명조" w:hAnsi="HY신명조" w:eastAsia="HY신명조"/>
          <w:b w:val="0"/>
          <w:sz w:val="22"/>
        </w:rPr>
        <w:t>19. R. B. Rusu and S. Cousins, "3D is here: Point Cloud Library (PCL)," Proc. IEEE ICRA, 2011.</w:t>
      </w:r>
    </w:p>
    <w:p>
      <w:pPr>
        <w:spacing w:line="312" w:lineRule="auto" w:before="0" w:after="6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12" w:lineRule="auto" w:before="0" w:after="6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12" w:lineRule="auto" w:before="0" w:after="60"/>
        <w:ind w:left="510" w:hanging="510"/>
      </w:pPr>
      <w:r>
        <w:rPr>
          <w:rFonts w:ascii="HY신명조" w:hAnsi="HY신명조" w:eastAsia="HY신명조"/>
          <w:b w:val="0"/>
          <w:sz w:val="22"/>
        </w:rPr>
        <w:t>22. C. Zhang et al., "LiDAR degradation quantification for autonomous driving in rain," Proc. IEEE/RSJ IROS, 2021.</w:t>
      </w:r>
    </w:p>
    <w:p>
      <w:pPr>
        <w:spacing w:line="312" w:lineRule="auto" w:before="0" w:after="6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12" w:lineRule="auto" w:before="0" w:after="6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12" w:lineRule="auto" w:before="0" w:after="6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12" w:lineRule="auto" w:before="0" w:after="6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12" w:lineRule="auto" w:before="0" w:after="60"/>
        <w:ind w:left="510" w:hanging="510"/>
      </w:pPr>
      <w:r>
        <w:rPr>
          <w:rFonts w:ascii="HY신명조" w:hAnsi="HY신명조" w:eastAsia="HY신명조"/>
          <w:b w:val="0"/>
          <w:sz w:val="22"/>
        </w:rPr>
        <w:t>27. S. Khanafseh et al., "GNSS multipath error modeling for automotive applications," Proc. ION GNSS+, 2018.</w:t>
      </w:r>
    </w:p>
    <w:p>
      <w:pPr>
        <w:spacing w:line="312" w:lineRule="auto" w:before="0" w:after="6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12" w:lineRule="auto" w:before="0" w:after="6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12" w:lineRule="auto" w:before="0" w:after="60"/>
        <w:ind w:left="510" w:hanging="510"/>
      </w:pPr>
      <w:r>
        <w:rPr>
          <w:rFonts w:ascii="HY신명조" w:hAnsi="HY신명조" w:eastAsia="HY신명조"/>
          <w:b w:val="0"/>
          <w:sz w:val="22"/>
        </w:rPr>
        <w:t>30. S. Magdici and M. Althoff, "Fail-safe motion planning of autonomous vehicles," Proc. IEEE ITSC, 2016.</w:t>
      </w:r>
    </w:p>
    <w:p>
      <w:pPr>
        <w:spacing w:line="312" w:lineRule="auto" w:before="0" w:after="6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12" w:lineRule="auto" w:before="0" w:after="6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12" w:lineRule="auto" w:before="0" w:after="6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12" w:lineRule="auto" w:before="0" w:after="6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12" w:lineRule="auto" w:before="0" w:after="6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12" w:lineRule="auto" w:before="0" w:after="6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12" w:lineRule="auto" w:before="0" w:after="6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12" w:lineRule="auto" w:before="0" w:after="6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12" w:lineRule="auto" w:before="0" w:after="6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12" w:lineRule="auto" w:before="0" w:after="60"/>
        <w:ind w:left="510" w:hanging="510"/>
      </w:pPr>
      <w:r>
        <w:rPr>
          <w:rFonts w:ascii="HY신명조" w:hAnsi="HY신명조" w:eastAsia="HY신명조"/>
          <w:b w:val="0"/>
          <w:sz w:val="22"/>
        </w:rPr>
        <w:t>40. M. Colledanchise and P. Ögren, Behavior Trees in Robotics and AI: An Introduction, CRC Press, 2018.</w:t>
      </w:r>
    </w:p>
    <w:p>
      <w:pPr>
        <w:spacing w:line="312" w:lineRule="auto" w:before="0" w:after="6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12" w:lineRule="auto" w:before="0" w:after="60"/>
        <w:ind w:left="510" w:hanging="510"/>
      </w:pPr>
      <w:r>
        <w:rPr>
          <w:rFonts w:ascii="HY신명조" w:hAnsi="HY신명조" w:eastAsia="HY신명조"/>
          <w:b w:val="0"/>
          <w:sz w:val="22"/>
        </w:rPr>
        <w:t>42. D. Faconti, BehaviorTree.CPP (v4) / behaviortree_ros2, github.com/BehaviorTree/BehaviorTree.CPP.</w:t>
      </w:r>
    </w:p>
    <w:p>
      <w:pPr>
        <w:spacing w:line="312" w:lineRule="auto" w:before="0" w:after="6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12" w:lineRule="auto" w:before="0" w:after="6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12" w:lineRule="auto" w:before="0" w:after="6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12" w:lineRule="auto" w:before="0" w:after="60"/>
        <w:ind w:left="510" w:hanging="510"/>
      </w:pPr>
      <w:r>
        <w:rPr>
          <w:rFonts w:ascii="HY신명조" w:hAnsi="HY신명조" w:eastAsia="HY신명조"/>
          <w:b w:val="0"/>
          <w:sz w:val="22"/>
        </w:rPr>
        <w:t>46. G. Li et al., "AV-FUZZER: Finding safety violations in autonomous driving systems," Proc. IEEE ISSRE, 2020.</w:t>
      </w:r>
    </w:p>
    <w:p>
      <w:pPr>
        <w:spacing w:line="312" w:lineRule="auto" w:before="0" w:after="60"/>
        <w:ind w:left="510" w:hanging="510"/>
      </w:pPr>
      <w:r>
        <w:rPr>
          <w:rFonts w:ascii="HY신명조" w:hAnsi="HY신명조" w:eastAsia="HY신명조"/>
          <w:b w:val="0"/>
          <w:sz w:val="22"/>
        </w:rPr>
        <w:t>47. D. J. Fremont et al., "Scenic: A language for scenario specification and scene generation," Proc. ACM PLDI, 2019.</w:t>
      </w:r>
    </w:p>
    <w:p>
      <w:pPr>
        <w:spacing w:line="312" w:lineRule="auto" w:before="0" w:after="6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12" w:lineRule="auto" w:before="0" w:after="6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12" w:lineRule="auto" w:before="0" w:after="6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12" w:lineRule="auto" w:before="0" w:after="60"/>
        <w:ind w:left="510" w:hanging="510"/>
      </w:pPr>
      <w:r>
        <w:rPr>
          <w:rFonts w:ascii="HY신명조" w:hAnsi="HY신명조" w:eastAsia="HY신명조"/>
          <w:b w:val="0"/>
          <w:sz w:val="22"/>
        </w:rPr>
        <w:t>51. ISO 23793-1:2024, Intelligent transport systems — Minimal risk manoeuvre (MRM) for automated driving — Part 1: Framework, straight-stop and in-lane stop.</w:t>
      </w:r>
    </w:p>
    <w:p>
      <w:pPr>
        <w:spacing w:line="312" w:lineRule="auto" w:before="0" w:after="6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12" w:lineRule="auto" w:before="0" w:after="6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12" w:lineRule="auto" w:before="0" w:after="6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12" w:lineRule="auto" w:before="0" w:after="6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12" w:lineRule="auto" w:before="0" w:after="6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12" w:lineRule="auto" w:before="0" w:after="6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12" w:lineRule="auto" w:before="0" w:after="6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12" w:lineRule="auto" w:before="0" w:after="60"/>
        <w:ind w:left="510" w:hanging="510"/>
      </w:pPr>
      <w:r>
        <w:rPr>
          <w:rFonts w:ascii="HY신명조" w:hAnsi="HY신명조" w:eastAsia="HY신명조"/>
          <w:b w:val="0"/>
          <w:sz w:val="22"/>
        </w:rPr>
        <w:t>59. M. Hahner et al., "LiDAR snowfall simulation for robust 3D object detection," Proc. IEEE/CVF CVPR, 2022.</w:t>
      </w:r>
    </w:p>
    <w:p>
      <w:pPr>
        <w:spacing w:line="312" w:lineRule="auto" w:before="0" w:after="6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12" w:lineRule="auto" w:before="0" w:after="6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12" w:lineRule="auto" w:before="0" w:after="6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14:paraId="4AD3D937" w14:textId="77777777" w:rsidR="00404B78" w:rsidRPr="005F32DB" w:rsidRDefault="00404B78" w:rsidP="00404B78">
      <w:pPr>
        <w:widowControl/>
        <w:shd w:val="clear" w:color="auto" w:fill="FFFFFF"/>
        <w:wordWrap/>
        <w:autoSpaceDE/>
        <w:spacing w:line="348" w:lineRule="auto"/>
        <w:textAlignment w:val="baseline"/>
        <w:rPr>
          <w:rFonts w:ascii="HY신명조" w:eastAsia="HY신명조" w:hAnsi="굴림" w:cs="굴림"/>
          <w:color w:val="000000"/>
          <w:kern w:val="0"/>
          <w:szCs w:val="20"/>
        </w:rPr>
      </w:pPr>
      <w:r w:rsidRPr="005F32DB">
        <w:rPr>
          <w:rFonts w:ascii="HY신명조" w:eastAsia="HY신명조" w:hAnsi="굴림" w:cs="굴림" w:hint="eastAsia"/>
          <w:b/>
          <w:bCs/>
          <w:color w:val="000000"/>
          <w:kern w:val="0"/>
          <w:sz w:val="28"/>
          <w:szCs w:val="28"/>
          <w:shd w:val="clear" w:color="auto" w:fill="FFFFFF"/>
        </w:rPr>
        <w:lastRenderedPageBreak/>
        <w:t>논문요약</w:t>
      </w:r>
    </w:p>
    <w:p w14:paraId="3C40E028"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1FE43BD2" w14:textId="77777777" w:rsidR="00404B78" w:rsidRPr="005F32DB" w:rsidRDefault="00404B78" w:rsidP="00404B78">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
        <w:rPr>
          <w:rFonts w:ascii="HY신명조" w:hAnsi="HY신명조" w:eastAsia="HY신명조"/>
          <w:b/>
          <w:sz w:val="32"/>
        </w:rPr>
        <w:t>자율주행 차량의 페일세이프 운행을 위한</w:t>
        <w:br/>
      </w:r>
      <w:r>
        <w:rPr>
          <w:rFonts w:ascii="HY신명조" w:hAnsi="HY신명조" w:eastAsia="HY신명조"/>
          <w:b/>
          <w:sz w:val="32"/>
        </w:rPr>
        <w:t>연속 센서 건강도 감시와</w:t>
        <w:br/>
      </w:r>
      <w:r>
        <w:rPr>
          <w:rFonts w:ascii="HY신명조" w:hAnsi="HY신명조" w:eastAsia="HY신명조"/>
          <w:b/>
          <w:sz w:val="32"/>
        </w:rPr>
        <w:t>위험·잔여능력 기반 단계적 최소위험기동 감독</w:t>
      </w:r>
    </w:p>
    <w:p w14:paraId="11D7A03D"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182AF970" w14:textId="77777777" w:rsidR="00404B78" w:rsidRPr="005F32DB" w:rsidRDefault="00404B78" w:rsidP="00404B78">
      <w:pPr>
        <w:shd w:val="clear" w:color="auto" w:fill="FFFFFF"/>
        <w:wordWrap/>
        <w:snapToGrid w:val="0"/>
        <w:spacing w:line="348" w:lineRule="auto"/>
        <w:jc w:val="right"/>
        <w:textAlignment w:val="baseline"/>
        <w:rPr>
          <w:rFonts w:ascii="HY신명조" w:eastAsia="HY신명조" w:hAnsi="굴림" w:cs="굴림"/>
          <w:color w:val="000000"/>
          <w:kern w:val="0"/>
          <w:szCs w:val="20"/>
        </w:rPr>
      </w:pPr>
      <w:r/>
      <w:r>
        <w:rPr>
          <w:rFonts w:ascii="HY신명조" w:hAnsi="HY신명조" w:eastAsia="HY신명조"/>
          <w:b w:val="0"/>
          <w:sz w:val="22"/>
        </w:rPr>
        <w:t>엄태욱</w:t>
      </w:r>
    </w:p>
    <w:p w14:paraId="43AFF6C8" w14:textId="77777777" w:rsidR="00404B78" w:rsidRDefault="00404B78" w:rsidP="00404B78">
      <w:pPr>
        <w:shd w:val="clear" w:color="auto" w:fill="FFFFFF"/>
        <w:wordWrap/>
        <w:snapToGrid w:val="0"/>
        <w:spacing w:line="348" w:lineRule="auto"/>
        <w:jc w:val="right"/>
        <w:textAlignment w:val="baseline"/>
        <w:rPr>
          <w:rFonts w:ascii="HY신명조" w:eastAsia="HY신명조" w:hAnsi="굴림" w:cs="굴림"/>
          <w:color w:val="000000"/>
          <w:kern w:val="0"/>
          <w:sz w:val="22"/>
          <w:shd w:val="clear" w:color="auto" w:fill="FFFFFF"/>
        </w:rPr>
      </w:pPr>
      <w:r/>
      <w:r>
        <w:rPr>
          <w:rFonts w:ascii="HY신명조" w:hAnsi="HY신명조" w:eastAsia="HY신명조"/>
          <w:b w:val="0"/>
          <w:sz w:val="22"/>
        </w:rPr>
        <w:t>전자전기컴퓨터공학과</w:t>
      </w:r>
    </w:p>
    <w:p w14:paraId="509B403B" w14:textId="77777777" w:rsidR="00404B78" w:rsidRPr="005F32DB" w:rsidRDefault="00404B78" w:rsidP="00404B78">
      <w:pPr>
        <w:shd w:val="clear" w:color="auto" w:fill="FFFFFF"/>
        <w:wordWrap/>
        <w:snapToGrid w:val="0"/>
        <w:spacing w:line="348" w:lineRule="auto"/>
        <w:jc w:val="right"/>
        <w:textAlignment w:val="baseline"/>
        <w:rPr>
          <w:rFonts w:ascii="HY신명조" w:eastAsia="HY신명조" w:hAnsi="굴림" w:cs="굴림"/>
          <w:color w:val="000000"/>
          <w:kern w:val="0"/>
          <w:szCs w:val="20"/>
        </w:rPr>
      </w:pPr>
      <w:r/>
      <w:r>
        <w:rPr>
          <w:rFonts w:ascii="HY신명조" w:hAnsi="HY신명조" w:eastAsia="HY신명조"/>
          <w:b w:val="0"/>
          <w:sz w:val="22"/>
        </w:rPr>
        <w:t>성균관대학교</w:t>
      </w:r>
    </w:p>
    <w:p w14:paraId="6EFBEEA6"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14:paraId="51FF40A1"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pPr>
        <w:spacing w:line="348" w:lineRule="auto" w:before="0" w:after="0"/>
        <w:ind w:firstLine="330"/>
        <w:jc w:val="both"/>
      </w:pPr>
      <w:r>
        <w:rPr>
          <w:rFonts w:ascii="HY신명조" w:hAnsi="HY신명조" w:eastAsia="HY신명조"/>
          <w:b w:val="0"/>
          <w:sz w:val="22"/>
        </w:rPr>
        <w:t>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pPr>
        <w:spacing w:line="348" w:lineRule="auto" w:before="0" w:after="0"/>
        <w:ind w:firstLine="330"/>
        <w:jc w:val="both"/>
      </w:pPr>
      <w:r>
        <w:rPr>
          <w:rFonts w:ascii="HY신명조" w:hAnsi="HY신명조" w:eastAsia="HY신명조"/>
          <w:b w:val="0"/>
          <w:sz w:val="22"/>
        </w:rPr>
        <w:t>검증은 Autoware 0.39.0과 CARLA 0.9.16의 폐루프 환경(Town07, 제한속도 15 km/h)에서 수행하였다. 총 1,862 유효 케이스의 단일 폐루프 실험으로 감시·대피 거동을 검증하였고, 고장 상태 주행거리(노출)를 무감시 순정의 대표 관찰 238~251 m 대비 감시+대피의 32~58 m로 단축함을 보였다(라이다 클러터는 275→11~12 m). 하드 페일은 고속 판정 경로로 1.5 s 설계 마감 안에 판정되며(실측 최대 1.20 s), 항법 고장 4종을 포함한 전 조건에서 100% 검출을 확인하였다. 안전성은 에고 충돌 센서 실시간 원장(RAW-HIT)과 보행자 물리 오라클의 이중 판정 체계 위에서 보행자 돌발 조우 수준으로 정량화하였다: 회피/충돌 경계는 4.2 m/s에서 8~11 m(모델 8.8 m와 일치), 3.0 m/s에서 7~8 m였다.</w:t>
      </w:r>
    </w:p>
    <w:p>
      <w:pPr>
        <w:spacing w:line="348" w:lineRule="auto" w:before="0" w:after="0"/>
        <w:ind w:firstLine="330"/>
        <w:jc w:val="both"/>
      </w:pPr>
      <w:r>
        <w:rPr>
          <w:rFonts w:ascii="HY신명조" w:hAnsi="HY신명조" w:eastAsia="HY신명조"/>
          <w:b w:val="0"/>
          <w:sz w:val="22"/>
        </w:rPr>
        <w:t>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종결점)에서 상한 4.2 대 3.0 m/s는 8 m 쌍대 불일치 10:0(exact McNemar p=0.002)으로 충돌 감소 효과가 검출되었고, 회피/충돌 경계는 상한을 낮출수록 단조로 안쪽 이동했다(9 m 초과→약 7 m). 즉 최소위험기동의 선택은 즉시 충돌 위험과 차선 반환·차선 밖 대피 위치 확보 가능성 사이의 시간적 트레이드오프이며, 대피의 잔존 위험은 감지 후 과도구간에 집중된다 — 더 이른 감지와 더 빠른 감속이 전체 고장 대응 위험 창을 축소할 것임을 실험적으로 뒷받침하는, FTTI 이내 여유 확보 필요성에 대한 조우 수준의 정량적 근거를 제공한다.</w:t>
      </w:r>
    </w:p>
    <w:p w14:paraId="599C87E9" w14:textId="77777777" w:rsidR="00404B78" w:rsidRPr="005F32DB" w:rsidRDefault="00404B78" w:rsidP="00404B78">
      <w:pPr>
        <w:widowControl/>
        <w:shd w:val="clear" w:color="auto" w:fill="FFFFFF"/>
        <w:wordWrap/>
        <w:autoSpaceDE/>
        <w:spacing w:line="348" w:lineRule="auto"/>
        <w:textAlignment w:val="baseline"/>
        <w:rPr>
          <w:rFonts w:ascii="HY신명조" w:eastAsia="HY신명조" w:hAnsi="굴림" w:cs="굴림"/>
          <w:color w:val="000000"/>
          <w:kern w:val="0"/>
          <w:szCs w:val="20"/>
        </w:rPr>
      </w:pPr>
      <w:r/>
      <w:r>
        <w:rPr>
          <w:rFonts w:ascii="HY신명조" w:hAnsi="HY신명조" w:eastAsia="HY신명조"/>
          <w:b/>
          <w:sz w:val="22"/>
        </w:rPr>
        <w:t>주제어: 자율주행, 페일세이프, 최소위험기동(MRM), 센서 고장 감지, FTTI</w:t>
      </w:r>
    </w:p>
    <w:p w14:paraId="6516E0F1" w14:textId="77777777" w:rsidR="00120965" w:rsidRPr="00F350BD" w:rsidRDefault="00120965" w:rsidP="00F350BD">
      <w:pPr>
        <w:wordWrap/>
        <w:snapToGrid w:val="0"/>
        <w:spacing w:line="348" w:lineRule="auto"/>
        <w:ind w:left="100" w:right="100"/>
        <w:jc w:val="center"/>
        <w:textAlignment w:val="baseline"/>
        <w:rPr>
          <w:rFonts w:ascii="휴먼명조" w:eastAsia="휴먼명조" w:hAnsi="굴림" w:cs="굴림"/>
          <w:b/>
          <w:bCs/>
          <w:color w:val="000000"/>
          <w:kern w:val="0"/>
          <w:sz w:val="24"/>
          <w:szCs w:val="24"/>
          <w:shd w:val="clear" w:color="auto" w:fill="FFFFFF"/>
        </w:rPr>
        <w:sectPr w:rsidR="00120965" w:rsidRPr="00F350BD" w:rsidSect="00120965">
          <w:headerReference w:type="default" r:id="rId10"/>
          <w:footerReference w:type="default" r:id="rId11"/>
          <w:pgSz w:w="11906" w:h="16838" w:code="9"/>
          <w:pgMar w:top="3005" w:right="1701" w:bottom="3005" w:left="1701" w:header="851" w:footer="851" w:gutter="0"/>
          <w:pgNumType w:start="1"/>
          <w:cols w:space="425"/>
          <w:docGrid w:linePitch="501" w:charSpace="4872"/>
        </w:sectPr>
      </w:pPr>
    </w:p>
    <w:p w14:paraId="39C05B96" w14:textId="7EFCDE25" w:rsidR="00DE0ACB" w:rsidRPr="002F03A6" w:rsidRDefault="00F7298C" w:rsidP="00C77A21">
      <w:pPr>
        <w:pStyle w:val="MS"/>
        <w:widowControl/>
        <w:wordWrap/>
        <w:autoSpaceDE/>
        <w:rPr>
          <w:rFonts w:ascii="HY신명조" w:eastAsia="HY신명조" w:hAnsi="Times New Roman" w:cs="Times New Roman"/>
          <w:b/>
          <w:color w:val="FF0000"/>
          <w:sz w:val="18"/>
        </w:rPr>
      </w:pPr>
      <w:r w:rsidRPr="002F03A6">
        <w:rPr>
          <w:rFonts w:ascii="HY신명조" w:eastAsia="HY신명조" w:hAnsi="Times New Roman" w:cs="Times New Roman" w:hint="eastAsia"/>
          <w:b/>
          <w:color w:val="FF0000"/>
          <w:sz w:val="24"/>
          <w:szCs w:val="28"/>
          <w:shd w:val="clear" w:color="auto" w:fill="FFFFFF"/>
        </w:rPr>
        <w:lastRenderedPageBreak/>
        <w:t>(</w:t>
      </w:r>
      <w:r w:rsidR="00793F9D" w:rsidRPr="002F03A6">
        <w:rPr>
          <w:rFonts w:ascii="HY신명조" w:eastAsia="HY신명조" w:hAnsi="Times New Roman" w:cs="Times New Roman"/>
          <w:b/>
          <w:color w:val="FF0000"/>
          <w:sz w:val="24"/>
          <w:szCs w:val="28"/>
          <w:shd w:val="clear" w:color="auto" w:fill="FFFFFF"/>
        </w:rPr>
        <w:t>Side Cover</w:t>
      </w:r>
      <w:r w:rsidR="002F03A6" w:rsidRPr="002F03A6">
        <w:rPr>
          <w:rFonts w:ascii="HY신명조" w:eastAsia="HY신명조" w:hAnsi="Times New Roman" w:cs="Times New Roman"/>
          <w:b/>
          <w:color w:val="FF0000"/>
          <w:sz w:val="24"/>
          <w:szCs w:val="28"/>
          <w:shd w:val="clear" w:color="auto" w:fill="FFFFFF"/>
        </w:rPr>
        <w:t xml:space="preserve"> form</w:t>
      </w:r>
      <w:r w:rsidRPr="002F03A6">
        <w:rPr>
          <w:rFonts w:ascii="HY신명조" w:eastAsia="HY신명조" w:hAnsi="Times New Roman" w:cs="Times New Roman" w:hint="eastAsia"/>
          <w:b/>
          <w:color w:val="FF0000"/>
          <w:sz w:val="24"/>
          <w:szCs w:val="28"/>
          <w:shd w:val="clear" w:color="auto" w:fill="FFFFFF"/>
        </w:rPr>
        <w:t>표지측면</w:t>
      </w:r>
      <w:r w:rsidR="002F03A6" w:rsidRPr="002F03A6">
        <w:rPr>
          <w:rFonts w:ascii="HY신명조" w:eastAsia="HY신명조" w:hAnsi="Times New Roman" w:cs="Times New Roman" w:hint="eastAsia"/>
          <w:b/>
          <w:color w:val="FF0000"/>
          <w:sz w:val="24"/>
          <w:szCs w:val="28"/>
          <w:shd w:val="clear" w:color="auto" w:fill="FFFFFF"/>
        </w:rPr>
        <w:t xml:space="preserve"> 서식</w:t>
      </w:r>
      <w:r w:rsidRPr="002F03A6">
        <w:rPr>
          <w:rFonts w:ascii="HY신명조" w:eastAsia="HY신명조" w:hAnsi="Times New Roman" w:cs="Times New Roman" w:hint="eastAsia"/>
          <w:b/>
          <w:color w:val="FF0000"/>
          <w:sz w:val="24"/>
          <w:szCs w:val="28"/>
          <w:shd w:val="clear" w:color="auto" w:fill="FFFFFF"/>
        </w:rPr>
        <w:t>)</w:t>
      </w:r>
    </w:p>
    <w:tbl>
      <w:tblPr>
        <w:tblpPr w:leftFromText="142" w:rightFromText="142" w:vertAnchor="page" w:horzAnchor="margin" w:tblpXSpec="center" w:tblpY="478"/>
        <w:tblOverlap w:val="never"/>
        <w:tblW w:w="0" w:type="auto"/>
        <w:tblCellMar>
          <w:top w:w="15" w:type="dxa"/>
          <w:left w:w="15" w:type="dxa"/>
          <w:bottom w:w="15" w:type="dxa"/>
          <w:right w:w="15" w:type="dxa"/>
        </w:tblCellMar>
        <w:tblLook w:val="04A0" w:firstRow="1" w:lastRow="0" w:firstColumn="1" w:lastColumn="0" w:noHBand="0" w:noVBand="1"/>
      </w:tblPr>
      <w:tblGrid>
        <w:gridCol w:w="588"/>
      </w:tblGrid>
      <w:tr w:rsidR="00DE0ACB" w:rsidRPr="001532F3" w14:paraId="75612843" w14:textId="77777777" w:rsidTr="00E659C9">
        <w:trPr>
          <w:cantSplit/>
          <w:trHeight w:val="2232"/>
        </w:trPr>
        <w:tc>
          <w:tcPr>
            <w:tcW w:w="588" w:type="dxa"/>
            <w:textDirection w:val="tbRlV"/>
            <w:vAlign w:val="center"/>
          </w:tcPr>
          <w:p w14:paraId="238661C3" w14:textId="77777777" w:rsidR="00DE0ACB" w:rsidRPr="001532F3" w:rsidRDefault="00DE0ACB" w:rsidP="00EF5F38">
            <w:pPr>
              <w:pStyle w:val="a5"/>
              <w:wordWrap/>
              <w:spacing w:line="240" w:lineRule="auto"/>
              <w:ind w:left="100" w:right="100"/>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Master</w:t>
            </w:r>
            <w:r w:rsidRPr="001532F3">
              <w:rPr>
                <w:rFonts w:ascii="HY신명조" w:eastAsia="HY신명조" w:hAnsi="Times New Roman" w:cs="Times New Roman"/>
                <w:b/>
                <w:bCs/>
                <w:sz w:val="24"/>
                <w:szCs w:val="24"/>
                <w:shd w:val="clear" w:color="auto" w:fill="FFFFFF"/>
              </w:rPr>
              <w:t>’</w:t>
            </w:r>
            <w:r w:rsidRPr="001532F3">
              <w:rPr>
                <w:rFonts w:ascii="HY신명조" w:eastAsia="HY신명조" w:hAnsi="Times New Roman" w:cs="Times New Roman"/>
                <w:b/>
                <w:bCs/>
                <w:sz w:val="24"/>
                <w:szCs w:val="24"/>
                <w:shd w:val="clear" w:color="auto" w:fill="FFFFFF"/>
              </w:rPr>
              <w:t xml:space="preserve">s </w:t>
            </w:r>
            <w:r w:rsidRPr="001532F3">
              <w:rPr>
                <w:rFonts w:ascii="HY신명조" w:eastAsia="HY신명조" w:hAnsi="Times New Roman" w:cs="Times New Roman" w:hint="eastAsia"/>
                <w:b/>
                <w:bCs/>
                <w:sz w:val="24"/>
                <w:szCs w:val="24"/>
                <w:shd w:val="clear" w:color="auto" w:fill="FFFFFF"/>
              </w:rPr>
              <w:t>Thesis</w:t>
            </w:r>
          </w:p>
        </w:tc>
      </w:tr>
      <w:tr w:rsidR="00DE0ACB" w:rsidRPr="001532F3" w14:paraId="1B340001" w14:textId="77777777" w:rsidTr="00E659C9">
        <w:trPr>
          <w:cantSplit/>
          <w:trHeight w:val="162"/>
        </w:trPr>
        <w:tc>
          <w:tcPr>
            <w:tcW w:w="588" w:type="dxa"/>
            <w:textDirection w:val="tbRlV"/>
            <w:vAlign w:val="center"/>
          </w:tcPr>
          <w:p w14:paraId="2B529BE9" w14:textId="77777777" w:rsidR="00DE0ACB" w:rsidRPr="001532F3" w:rsidRDefault="00DE0ACB" w:rsidP="00EF5F38">
            <w:pPr>
              <w:pStyle w:val="a5"/>
              <w:wordWrap/>
              <w:spacing w:line="240" w:lineRule="auto"/>
              <w:ind w:left="100" w:right="100"/>
              <w:jc w:val="center"/>
              <w:rPr>
                <w:rFonts w:ascii="HY신명조" w:eastAsia="HY신명조" w:hAnsi="Times New Roman" w:cs="Times New Roman"/>
                <w:b/>
                <w:sz w:val="24"/>
                <w:szCs w:val="24"/>
              </w:rPr>
            </w:pPr>
          </w:p>
        </w:tc>
      </w:tr>
      <w:tr w:rsidR="00DE0ACB" w:rsidRPr="001532F3" w14:paraId="1A1AD9AA" w14:textId="77777777" w:rsidTr="001532F3">
        <w:trPr>
          <w:cantSplit/>
          <w:trHeight w:val="7882"/>
        </w:trPr>
        <w:tc>
          <w:tcPr>
            <w:tcW w:w="588" w:type="dxa"/>
            <w:textDirection w:val="tbRlV"/>
            <w:vAlign w:val="center"/>
          </w:tcPr>
          <w:p w14:paraId="34F0EF58" w14:textId="77777777" w:rsidR="00DE0ACB" w:rsidRPr="001532F3" w:rsidRDefault="00DE0ACB" w:rsidP="00EF5F38">
            <w:pPr>
              <w:pStyle w:val="a5"/>
              <w:spacing w:line="240" w:lineRule="auto"/>
              <w:ind w:left="100" w:right="100"/>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Thesis title</w:t>
            </w:r>
          </w:p>
        </w:tc>
      </w:tr>
      <w:tr w:rsidR="0042046F" w:rsidRPr="001532F3" w14:paraId="5BD45EFE" w14:textId="77777777" w:rsidTr="00E659C9">
        <w:trPr>
          <w:cantSplit/>
          <w:trHeight w:val="83"/>
        </w:trPr>
        <w:tc>
          <w:tcPr>
            <w:tcW w:w="588" w:type="dxa"/>
            <w:textDirection w:val="tbRlV"/>
            <w:vAlign w:val="center"/>
          </w:tcPr>
          <w:p w14:paraId="131D084E" w14:textId="77777777" w:rsidR="0042046F" w:rsidRPr="001532F3" w:rsidRDefault="0042046F" w:rsidP="00EF5F38">
            <w:pPr>
              <w:pStyle w:val="a5"/>
              <w:shd w:val="clear" w:color="auto" w:fill="FFFFFF"/>
              <w:wordWrap/>
              <w:spacing w:line="240" w:lineRule="auto"/>
              <w:ind w:left="113" w:right="113"/>
              <w:jc w:val="center"/>
              <w:rPr>
                <w:rFonts w:ascii="HY신명조" w:eastAsia="HY신명조" w:hAnsi="Times New Roman" w:cs="Times New Roman"/>
                <w:b/>
                <w:bCs/>
                <w:sz w:val="24"/>
                <w:szCs w:val="24"/>
                <w:shd w:val="clear" w:color="auto" w:fill="FFFFFF"/>
              </w:rPr>
            </w:pPr>
          </w:p>
        </w:tc>
      </w:tr>
      <w:tr w:rsidR="00DE0ACB" w:rsidRPr="001532F3" w14:paraId="747C3681" w14:textId="77777777" w:rsidTr="00E659C9">
        <w:trPr>
          <w:cantSplit/>
          <w:trHeight w:val="915"/>
        </w:trPr>
        <w:tc>
          <w:tcPr>
            <w:tcW w:w="588" w:type="dxa"/>
            <w:vAlign w:val="center"/>
          </w:tcPr>
          <w:p w14:paraId="7D4D1B20" w14:textId="77777777" w:rsidR="00E659C9" w:rsidRPr="001532F3" w:rsidRDefault="00DE0ACB" w:rsidP="00E659C9">
            <w:pPr>
              <w:pStyle w:val="a5"/>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hint="eastAsia"/>
                <w:b/>
                <w:bCs/>
                <w:sz w:val="24"/>
                <w:szCs w:val="24"/>
                <w:shd w:val="clear" w:color="auto" w:fill="FFFFFF"/>
              </w:rPr>
              <w:t>2</w:t>
            </w:r>
          </w:p>
          <w:p w14:paraId="12168733" w14:textId="77777777" w:rsidR="00E659C9" w:rsidRPr="001532F3" w:rsidRDefault="00DE0ACB" w:rsidP="00E659C9">
            <w:pPr>
              <w:pStyle w:val="a5"/>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hint="eastAsia"/>
                <w:b/>
                <w:bCs/>
                <w:sz w:val="24"/>
                <w:szCs w:val="24"/>
                <w:shd w:val="clear" w:color="auto" w:fill="FFFFFF"/>
              </w:rPr>
              <w:t>0</w:t>
            </w:r>
          </w:p>
          <w:p w14:paraId="054D6AA6" w14:textId="77777777" w:rsidR="00E659C9" w:rsidRPr="001532F3" w:rsidRDefault="00247E64" w:rsidP="00E659C9">
            <w:pPr>
              <w:pStyle w:val="a5"/>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b/>
                <w:bCs/>
                <w:sz w:val="24"/>
                <w:szCs w:val="24"/>
                <w:shd w:val="clear" w:color="auto" w:fill="FFFFFF"/>
              </w:rPr>
              <w:t>2</w:t>
            </w:r>
          </w:p>
          <w:p w14:paraId="060121D9" w14:textId="09D7E1B4" w:rsidR="00DE0ACB" w:rsidRPr="001532F3" w:rsidRDefault="000100B3" w:rsidP="00E659C9">
            <w:pPr>
              <w:pStyle w:val="a5"/>
              <w:shd w:val="clear" w:color="auto" w:fill="FFFFFF"/>
              <w:wordWrap/>
              <w:spacing w:line="240" w:lineRule="auto"/>
              <w:jc w:val="center"/>
              <w:rPr>
                <w:rFonts w:ascii="HY신명조" w:eastAsia="HY신명조" w:hAnsi="Times New Roman" w:cs="Times New Roman"/>
                <w:b/>
                <w:sz w:val="24"/>
                <w:szCs w:val="24"/>
              </w:rPr>
            </w:pPr>
            <w:r>
              <w:rPr>
                <w:rFonts w:ascii="HY신명조" w:eastAsia="HY신명조" w:hAnsi="Times New Roman" w:cs="Times New Roman" w:hint="eastAsia"/>
                <w:b/>
                <w:sz w:val="24"/>
                <w:szCs w:val="24"/>
              </w:rPr>
              <w:t>6</w:t>
            </w:r>
          </w:p>
        </w:tc>
      </w:tr>
      <w:tr w:rsidR="0042046F" w:rsidRPr="001532F3" w14:paraId="340D594D" w14:textId="77777777" w:rsidTr="00E659C9">
        <w:trPr>
          <w:cantSplit/>
          <w:trHeight w:val="141"/>
        </w:trPr>
        <w:tc>
          <w:tcPr>
            <w:tcW w:w="588" w:type="dxa"/>
            <w:textDirection w:val="tbRlV"/>
            <w:vAlign w:val="center"/>
          </w:tcPr>
          <w:p w14:paraId="5C43E74D" w14:textId="77777777" w:rsidR="0042046F" w:rsidRPr="001532F3" w:rsidRDefault="0042046F" w:rsidP="00EF5F38">
            <w:pPr>
              <w:pStyle w:val="a5"/>
              <w:shd w:val="clear" w:color="auto" w:fill="FFFFFF"/>
              <w:wordWrap/>
              <w:spacing w:line="240" w:lineRule="auto"/>
              <w:ind w:left="113" w:right="113"/>
              <w:jc w:val="center"/>
              <w:rPr>
                <w:rFonts w:ascii="HY신명조" w:eastAsia="HY신명조" w:hAnsi="Times New Roman" w:cs="Times New Roman"/>
                <w:b/>
                <w:bCs/>
                <w:sz w:val="24"/>
                <w:szCs w:val="24"/>
                <w:shd w:val="clear" w:color="auto" w:fill="FFFFFF"/>
              </w:rPr>
            </w:pPr>
          </w:p>
        </w:tc>
      </w:tr>
      <w:tr w:rsidR="00DE0ACB" w:rsidRPr="001532F3" w14:paraId="3328E6E1" w14:textId="77777777" w:rsidTr="00E659C9">
        <w:trPr>
          <w:cantSplit/>
          <w:trHeight w:val="3209"/>
        </w:trPr>
        <w:tc>
          <w:tcPr>
            <w:tcW w:w="588" w:type="dxa"/>
            <w:textDirection w:val="tbRlV"/>
            <w:vAlign w:val="center"/>
          </w:tcPr>
          <w:p w14:paraId="7F27C120" w14:textId="77777777" w:rsidR="00DE0ACB" w:rsidRPr="001532F3" w:rsidRDefault="00DE0ACB" w:rsidP="00EF5F38">
            <w:pPr>
              <w:pStyle w:val="a5"/>
              <w:wordWrap/>
              <w:spacing w:line="240" w:lineRule="auto"/>
              <w:ind w:left="113" w:right="113"/>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 xml:space="preserve">영문성명(ex: </w:t>
            </w:r>
            <w:proofErr w:type="spellStart"/>
            <w:r w:rsidRPr="001532F3">
              <w:rPr>
                <w:rFonts w:ascii="HY신명조" w:eastAsia="HY신명조" w:hAnsi="Times New Roman" w:cs="Times New Roman" w:hint="eastAsia"/>
                <w:b/>
                <w:sz w:val="24"/>
                <w:szCs w:val="24"/>
                <w:shd w:val="clear" w:color="auto" w:fill="FFFFFF"/>
              </w:rPr>
              <w:t>Gilsan</w:t>
            </w:r>
            <w:proofErr w:type="spellEnd"/>
            <w:r w:rsidRPr="001532F3">
              <w:rPr>
                <w:rFonts w:ascii="HY신명조" w:eastAsia="HY신명조" w:hAnsi="Times New Roman" w:cs="Times New Roman" w:hint="eastAsia"/>
                <w:b/>
                <w:sz w:val="24"/>
                <w:szCs w:val="24"/>
                <w:shd w:val="clear" w:color="auto" w:fill="FFFFFF"/>
              </w:rPr>
              <w:t xml:space="preserve"> Jang)</w:t>
            </w:r>
          </w:p>
        </w:tc>
      </w:tr>
    </w:tbl>
    <w:p w14:paraId="6E26BFC7" w14:textId="77777777" w:rsidR="000D4A2C"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 xml:space="preserve">(제본시에만 사용하세요. </w:t>
      </w:r>
    </w:p>
    <w:p w14:paraId="01CD2446" w14:textId="5F9831BF" w:rsidR="002F03A6" w:rsidRPr="002F03A6" w:rsidRDefault="002F03A6" w:rsidP="000D4A2C">
      <w:pPr>
        <w:pStyle w:val="MS"/>
        <w:widowControl/>
        <w:wordWrap/>
        <w:autoSpaceDE/>
        <w:ind w:firstLineChars="50" w:firstLine="100"/>
        <w:rPr>
          <w:rFonts w:ascii="HY신명조" w:eastAsia="HY신명조" w:hAnsi="Times New Roman" w:cs="Times New Roman"/>
        </w:rPr>
      </w:pPr>
      <w:r w:rsidRPr="002F03A6">
        <w:rPr>
          <w:rFonts w:ascii="HY신명조" w:eastAsia="HY신명조" w:hAnsi="Times New Roman" w:cs="Times New Roman"/>
        </w:rPr>
        <w:t>온라인 제출 시 삭제 바랍니다.)</w:t>
      </w:r>
    </w:p>
    <w:p w14:paraId="01FB85F1" w14:textId="77777777" w:rsidR="00AB130C"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(Use only for binding. Please remove</w:t>
      </w:r>
    </w:p>
    <w:p w14:paraId="432E2220" w14:textId="294E1A76" w:rsidR="008F32C9" w:rsidRPr="005F32DB"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 xml:space="preserve"> this page when</w:t>
      </w:r>
      <w:r>
        <w:rPr>
          <w:rFonts w:ascii="HY신명조" w:eastAsia="HY신명조" w:hAnsi="Times New Roman" w:cs="Times New Roman"/>
        </w:rPr>
        <w:t xml:space="preserve"> </w:t>
      </w:r>
      <w:r w:rsidRPr="002F03A6">
        <w:rPr>
          <w:rFonts w:ascii="HY신명조" w:eastAsia="HY신명조" w:hAnsi="Times New Roman" w:cs="Times New Roman"/>
        </w:rPr>
        <w:t>submitting online.)</w:t>
      </w:r>
    </w:p>
    <w:sectPr w:rsidR="008F32C9" w:rsidRPr="005F32DB" w:rsidSect="00DE0ACB">
      <w:footerReference w:type="default" r:id="rId12"/>
      <w:pgSz w:w="11906" w:h="16838" w:code="9"/>
      <w:pgMar w:top="567" w:right="1701" w:bottom="567" w:left="1701" w:header="284" w:footer="284" w:gutter="0"/>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53602" w14:textId="77777777" w:rsidR="00183B6A" w:rsidRDefault="00183B6A" w:rsidP="00024FDE">
      <w:r>
        <w:separator/>
      </w:r>
    </w:p>
  </w:endnote>
  <w:endnote w:type="continuationSeparator" w:id="0">
    <w:p w14:paraId="6A4D9C57" w14:textId="77777777" w:rsidR="00183B6A" w:rsidRDefault="00183B6A"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휴먼명조">
    <w:altName w:val="바탕"/>
    <w:panose1 w:val="02010504000101010101"/>
    <w:charset w:val="81"/>
    <w:family w:val="auto"/>
    <w:pitch w:val="variable"/>
    <w:sig w:usb0="800002A7" w:usb1="1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3028"/>
      <w:docPartObj>
        <w:docPartGallery w:val="Page Numbers (Bottom of Page)"/>
        <w:docPartUnique/>
      </w:docPartObj>
    </w:sdtPr>
    <w:sdtContent>
      <w:p w14:paraId="01D96C88" w14:textId="77777777" w:rsidR="00404B78" w:rsidRDefault="00404B78">
        <w:pPr>
          <w:pStyle w:val="a4"/>
          <w:jc w:val="center"/>
        </w:pPr>
        <w:r>
          <w:fldChar w:fldCharType="begin"/>
        </w:r>
        <w:r>
          <w:instrText>PAGE   \* MERGEFORMAT</w:instrText>
        </w:r>
        <w:r>
          <w:fldChar w:fldCharType="separate"/>
        </w:r>
        <w:r w:rsidR="009D1461" w:rsidRPr="009D1461">
          <w:rPr>
            <w:noProof/>
            <w:lang w:val="ko-KR"/>
          </w:rPr>
          <w:t>ii</w:t>
        </w:r>
        <w:r>
          <w:fldChar w:fldCharType="end"/>
        </w:r>
      </w:p>
    </w:sdtContent>
  </w:sdt>
  <w:p w14:paraId="0D255BAD" w14:textId="77777777" w:rsidR="00404B78" w:rsidRDefault="00404B7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96819"/>
      <w:docPartObj>
        <w:docPartGallery w:val="Page Numbers (Bottom of Page)"/>
        <w:docPartUnique/>
      </w:docPartObj>
    </w:sdtPr>
    <w:sdtContent>
      <w:p w14:paraId="07BC4568" w14:textId="77777777" w:rsidR="00120965" w:rsidRDefault="00120965">
        <w:pPr>
          <w:pStyle w:val="a4"/>
          <w:jc w:val="center"/>
        </w:pPr>
        <w:r>
          <w:fldChar w:fldCharType="begin"/>
        </w:r>
        <w:r>
          <w:instrText>PAGE   \* MERGEFORMAT</w:instrText>
        </w:r>
        <w:r>
          <w:fldChar w:fldCharType="separate"/>
        </w:r>
        <w:r w:rsidR="009D1461" w:rsidRPr="009D1461">
          <w:rPr>
            <w:noProof/>
            <w:lang w:val="ko-KR"/>
          </w:rPr>
          <w:t>4</w:t>
        </w:r>
        <w:r>
          <w:fldChar w:fldCharType="end"/>
        </w:r>
      </w:p>
    </w:sdtContent>
  </w:sdt>
  <w:p w14:paraId="5CBF60ED" w14:textId="77777777" w:rsidR="00120965" w:rsidRDefault="0012096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F4F6" w14:textId="77777777" w:rsidR="00120965" w:rsidRDefault="0012096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7F117" w14:textId="77777777" w:rsidR="00183B6A" w:rsidRDefault="00183B6A" w:rsidP="00024FDE">
      <w:r>
        <w:separator/>
      </w:r>
    </w:p>
  </w:footnote>
  <w:footnote w:type="continuationSeparator" w:id="0">
    <w:p w14:paraId="2676260F" w14:textId="77777777" w:rsidR="00183B6A" w:rsidRDefault="00183B6A" w:rsidP="00024FDE">
      <w:r>
        <w:continuationSeparator/>
      </w:r>
    </w:p>
  </w:footnote>
  <w:footnote w:id="1">
    <w:p w14:paraId="07343EC9" w14:textId="77777777" w:rsidR="00404B78" w:rsidRPr="00DA6117" w:rsidRDefault="00404B78" w:rsidP="00404B78">
      <w:pPr>
        <w:pStyle w:val="a6"/>
        <w:rPr>
          <w:rFonts w:ascii="HY신명조" w:eastAsia="HY신명조"/>
        </w:rPr>
      </w:pPr>
      <w:r w:rsidRPr="00DA6117">
        <w:rPr>
          <w:rStyle w:val="a7"/>
          <w:rFonts w:ascii="HY신명조" w:eastAsia="HY신명조" w:hint="eastAsia"/>
        </w:rPr>
        <w:footnoteRef/>
      </w:r>
      <w:r w:rsidRPr="00DA6117">
        <w:rPr>
          <w:rFonts w:ascii="HY신명조" w:eastAsia="HY신명조" w:hint="eastAsia"/>
        </w:rPr>
        <w:t xml:space="preserve"> </w:t>
      </w:r>
      <w:r w:rsidRPr="00DA6117">
        <w:rPr>
          <w:rFonts w:ascii="HY신명조" w:eastAsia="HY신명조" w:hint="eastAsia"/>
          <w:sz w:val="18"/>
          <w:szCs w:val="18"/>
        </w:rPr>
        <w:t xml:space="preserve">각주는 </w:t>
      </w:r>
      <w:proofErr w:type="spellStart"/>
      <w:r w:rsidRPr="00DA6117">
        <w:rPr>
          <w:rFonts w:ascii="HY신명조" w:eastAsia="HY신명조" w:hint="eastAsia"/>
          <w:sz w:val="18"/>
          <w:szCs w:val="18"/>
        </w:rPr>
        <w:t>신명조</w:t>
      </w:r>
      <w:proofErr w:type="spellEnd"/>
      <w:r w:rsidRPr="00DA6117">
        <w:rPr>
          <w:rFonts w:ascii="HY신명조" w:eastAsia="HY신명조" w:hint="eastAsia"/>
          <w:sz w:val="18"/>
          <w:szCs w:val="18"/>
        </w:rPr>
        <w:t>(</w:t>
      </w:r>
      <w:proofErr w:type="spellStart"/>
      <w:r w:rsidRPr="00DA6117">
        <w:rPr>
          <w:rFonts w:ascii="HY신명조" w:eastAsia="HY신명조" w:hint="eastAsia"/>
          <w:sz w:val="18"/>
          <w:szCs w:val="18"/>
        </w:rPr>
        <w:t>휴먼명조</w:t>
      </w:r>
      <w:proofErr w:type="spellEnd"/>
      <w:r w:rsidRPr="00DA6117">
        <w:rPr>
          <w:rFonts w:ascii="HY신명조" w:eastAsia="HY신명조" w:hint="eastAsia"/>
          <w:sz w:val="18"/>
          <w:szCs w:val="18"/>
        </w:rPr>
        <w:t>) 9point로 작성됩니다.</w:t>
      </w:r>
    </w:p>
  </w:footnote>
  <w:footnote w:id="2">
    <w:p w14:paraId="7A59466F" w14:textId="77777777" w:rsidR="00DA6117" w:rsidRDefault="00DA6117">
      <w:pPr>
        <w:pStyle w:val="a6"/>
      </w:pPr>
      <w:r w:rsidRPr="00DA6117">
        <w:rPr>
          <w:rStyle w:val="a7"/>
          <w:rFonts w:ascii="HY신명조" w:eastAsia="HY신명조" w:hint="eastAsia"/>
        </w:rPr>
        <w:footnoteRef/>
      </w:r>
      <w:r w:rsidRPr="00DA6117">
        <w:rPr>
          <w:rFonts w:ascii="HY신명조" w:eastAsia="HY신명조" w:hint="eastAsia"/>
        </w:rPr>
        <w:t xml:space="preserve"> Footnotes are written in </w:t>
      </w:r>
      <w:proofErr w:type="spellStart"/>
      <w:r w:rsidRPr="00DA6117">
        <w:rPr>
          <w:rFonts w:ascii="HY신명조" w:eastAsia="HY신명조" w:hint="eastAsia"/>
        </w:rPr>
        <w:t>신명조</w:t>
      </w:r>
      <w:proofErr w:type="spellEnd"/>
      <w:r w:rsidRPr="00DA6117">
        <w:rPr>
          <w:rFonts w:ascii="HY신명조" w:eastAsia="HY신명조" w:hint="eastAsia"/>
        </w:rPr>
        <w:t xml:space="preserve"> 9point.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0C81C" w14:textId="77777777" w:rsidR="00404B78" w:rsidRDefault="00404B7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8F91" w14:textId="77777777" w:rsidR="00120965" w:rsidRDefault="0012096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424258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12"/>
  <w:drawingGridVerticalSpacing w:val="501"/>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00B3"/>
    <w:rsid w:val="00011C0A"/>
    <w:rsid w:val="00011DA4"/>
    <w:rsid w:val="00013472"/>
    <w:rsid w:val="00024FDE"/>
    <w:rsid w:val="0005098A"/>
    <w:rsid w:val="00052D68"/>
    <w:rsid w:val="0005485D"/>
    <w:rsid w:val="00057F1C"/>
    <w:rsid w:val="000629E1"/>
    <w:rsid w:val="00077386"/>
    <w:rsid w:val="000B163F"/>
    <w:rsid w:val="000C55E6"/>
    <w:rsid w:val="000D4A2C"/>
    <w:rsid w:val="000D5D50"/>
    <w:rsid w:val="000E317F"/>
    <w:rsid w:val="000E5FBD"/>
    <w:rsid w:val="00114CC2"/>
    <w:rsid w:val="00120965"/>
    <w:rsid w:val="001231C1"/>
    <w:rsid w:val="0013725F"/>
    <w:rsid w:val="00151401"/>
    <w:rsid w:val="001532F3"/>
    <w:rsid w:val="00183B6A"/>
    <w:rsid w:val="00183DFB"/>
    <w:rsid w:val="00187A8F"/>
    <w:rsid w:val="001D5BA6"/>
    <w:rsid w:val="001E66FF"/>
    <w:rsid w:val="001F530A"/>
    <w:rsid w:val="001F628C"/>
    <w:rsid w:val="0020490B"/>
    <w:rsid w:val="00205322"/>
    <w:rsid w:val="00207255"/>
    <w:rsid w:val="002133C6"/>
    <w:rsid w:val="00213EAF"/>
    <w:rsid w:val="00240DE6"/>
    <w:rsid w:val="00247E64"/>
    <w:rsid w:val="002539CC"/>
    <w:rsid w:val="00256271"/>
    <w:rsid w:val="002563CE"/>
    <w:rsid w:val="00266417"/>
    <w:rsid w:val="00267CFA"/>
    <w:rsid w:val="00272EC2"/>
    <w:rsid w:val="00292243"/>
    <w:rsid w:val="0029224A"/>
    <w:rsid w:val="002B02B4"/>
    <w:rsid w:val="002B08E2"/>
    <w:rsid w:val="002B54A7"/>
    <w:rsid w:val="002D4645"/>
    <w:rsid w:val="002E3888"/>
    <w:rsid w:val="002F03A6"/>
    <w:rsid w:val="00300BE0"/>
    <w:rsid w:val="00301C98"/>
    <w:rsid w:val="003202D9"/>
    <w:rsid w:val="00341D99"/>
    <w:rsid w:val="00343DC2"/>
    <w:rsid w:val="00375779"/>
    <w:rsid w:val="00392B37"/>
    <w:rsid w:val="00393F00"/>
    <w:rsid w:val="0039793F"/>
    <w:rsid w:val="003A162B"/>
    <w:rsid w:val="003B4C58"/>
    <w:rsid w:val="003D3673"/>
    <w:rsid w:val="003E6DA7"/>
    <w:rsid w:val="003E7A92"/>
    <w:rsid w:val="00404B78"/>
    <w:rsid w:val="00413F1E"/>
    <w:rsid w:val="0042046F"/>
    <w:rsid w:val="004456A3"/>
    <w:rsid w:val="00447098"/>
    <w:rsid w:val="0046663A"/>
    <w:rsid w:val="0047050C"/>
    <w:rsid w:val="0048106F"/>
    <w:rsid w:val="00482D7E"/>
    <w:rsid w:val="00484AEA"/>
    <w:rsid w:val="004859BE"/>
    <w:rsid w:val="004A49FF"/>
    <w:rsid w:val="004C0CE6"/>
    <w:rsid w:val="004C2691"/>
    <w:rsid w:val="004D0E54"/>
    <w:rsid w:val="004D4707"/>
    <w:rsid w:val="004D58CB"/>
    <w:rsid w:val="004D7B28"/>
    <w:rsid w:val="004E12EB"/>
    <w:rsid w:val="004E2423"/>
    <w:rsid w:val="004F7BB6"/>
    <w:rsid w:val="005073EF"/>
    <w:rsid w:val="00507E66"/>
    <w:rsid w:val="00507E7C"/>
    <w:rsid w:val="00511D29"/>
    <w:rsid w:val="00523FE2"/>
    <w:rsid w:val="005277DF"/>
    <w:rsid w:val="00541D88"/>
    <w:rsid w:val="00542C18"/>
    <w:rsid w:val="005719BE"/>
    <w:rsid w:val="00574051"/>
    <w:rsid w:val="005C099C"/>
    <w:rsid w:val="005C2C48"/>
    <w:rsid w:val="005C5090"/>
    <w:rsid w:val="005C708D"/>
    <w:rsid w:val="005D3F42"/>
    <w:rsid w:val="005D5A29"/>
    <w:rsid w:val="005E25BA"/>
    <w:rsid w:val="005F32DB"/>
    <w:rsid w:val="00601CD8"/>
    <w:rsid w:val="00611044"/>
    <w:rsid w:val="00613F71"/>
    <w:rsid w:val="00627A14"/>
    <w:rsid w:val="006571E1"/>
    <w:rsid w:val="00663E72"/>
    <w:rsid w:val="00666714"/>
    <w:rsid w:val="00675118"/>
    <w:rsid w:val="00687A8A"/>
    <w:rsid w:val="006A0048"/>
    <w:rsid w:val="006A0E0C"/>
    <w:rsid w:val="006A1855"/>
    <w:rsid w:val="006C4A68"/>
    <w:rsid w:val="006E1D6E"/>
    <w:rsid w:val="006E64E0"/>
    <w:rsid w:val="00717367"/>
    <w:rsid w:val="0074378C"/>
    <w:rsid w:val="0074548D"/>
    <w:rsid w:val="00756579"/>
    <w:rsid w:val="0075767E"/>
    <w:rsid w:val="007636B9"/>
    <w:rsid w:val="00766163"/>
    <w:rsid w:val="007750F5"/>
    <w:rsid w:val="0077675E"/>
    <w:rsid w:val="00776AF8"/>
    <w:rsid w:val="00790F32"/>
    <w:rsid w:val="00793F9D"/>
    <w:rsid w:val="007A0176"/>
    <w:rsid w:val="007A3994"/>
    <w:rsid w:val="007A53C1"/>
    <w:rsid w:val="007A6C33"/>
    <w:rsid w:val="007B577E"/>
    <w:rsid w:val="007C242F"/>
    <w:rsid w:val="007E047E"/>
    <w:rsid w:val="0080568C"/>
    <w:rsid w:val="00825B49"/>
    <w:rsid w:val="008348DB"/>
    <w:rsid w:val="008417D6"/>
    <w:rsid w:val="008565AB"/>
    <w:rsid w:val="00881E9B"/>
    <w:rsid w:val="00885C0B"/>
    <w:rsid w:val="00886A80"/>
    <w:rsid w:val="00890AC0"/>
    <w:rsid w:val="00892E14"/>
    <w:rsid w:val="00895EC5"/>
    <w:rsid w:val="00896863"/>
    <w:rsid w:val="008A45EF"/>
    <w:rsid w:val="008C3135"/>
    <w:rsid w:val="008C71FE"/>
    <w:rsid w:val="008D3EA0"/>
    <w:rsid w:val="008D3EF4"/>
    <w:rsid w:val="008E2889"/>
    <w:rsid w:val="008F2AC9"/>
    <w:rsid w:val="008F32C9"/>
    <w:rsid w:val="00926344"/>
    <w:rsid w:val="00933F1A"/>
    <w:rsid w:val="00943C25"/>
    <w:rsid w:val="00960972"/>
    <w:rsid w:val="00965CB7"/>
    <w:rsid w:val="0096709F"/>
    <w:rsid w:val="00971422"/>
    <w:rsid w:val="009B0D9F"/>
    <w:rsid w:val="009C3E29"/>
    <w:rsid w:val="009D1461"/>
    <w:rsid w:val="009E39D6"/>
    <w:rsid w:val="009F016B"/>
    <w:rsid w:val="009F4428"/>
    <w:rsid w:val="00A10B1A"/>
    <w:rsid w:val="00A528D5"/>
    <w:rsid w:val="00A86172"/>
    <w:rsid w:val="00A97548"/>
    <w:rsid w:val="00AB130C"/>
    <w:rsid w:val="00AB44A6"/>
    <w:rsid w:val="00AD4FCD"/>
    <w:rsid w:val="00AE21F2"/>
    <w:rsid w:val="00AE449D"/>
    <w:rsid w:val="00AF4401"/>
    <w:rsid w:val="00B0445B"/>
    <w:rsid w:val="00B10077"/>
    <w:rsid w:val="00B11979"/>
    <w:rsid w:val="00B21204"/>
    <w:rsid w:val="00B24843"/>
    <w:rsid w:val="00B346A5"/>
    <w:rsid w:val="00B4432F"/>
    <w:rsid w:val="00B622FA"/>
    <w:rsid w:val="00B66616"/>
    <w:rsid w:val="00B754DF"/>
    <w:rsid w:val="00B97CE4"/>
    <w:rsid w:val="00BA0B22"/>
    <w:rsid w:val="00BA4638"/>
    <w:rsid w:val="00BA5272"/>
    <w:rsid w:val="00BB028F"/>
    <w:rsid w:val="00BD017D"/>
    <w:rsid w:val="00BE1356"/>
    <w:rsid w:val="00BE75B3"/>
    <w:rsid w:val="00BF2A9A"/>
    <w:rsid w:val="00BF5483"/>
    <w:rsid w:val="00C008FB"/>
    <w:rsid w:val="00C0466B"/>
    <w:rsid w:val="00C167D6"/>
    <w:rsid w:val="00C21B12"/>
    <w:rsid w:val="00C22024"/>
    <w:rsid w:val="00C25A98"/>
    <w:rsid w:val="00C559D8"/>
    <w:rsid w:val="00C6629F"/>
    <w:rsid w:val="00C6723B"/>
    <w:rsid w:val="00C74F96"/>
    <w:rsid w:val="00C76EB2"/>
    <w:rsid w:val="00C77A21"/>
    <w:rsid w:val="00C96EAD"/>
    <w:rsid w:val="00CA12CA"/>
    <w:rsid w:val="00CA5901"/>
    <w:rsid w:val="00CA665A"/>
    <w:rsid w:val="00CB26EE"/>
    <w:rsid w:val="00CC5915"/>
    <w:rsid w:val="00CC6838"/>
    <w:rsid w:val="00CD15E9"/>
    <w:rsid w:val="00CE04D2"/>
    <w:rsid w:val="00CE2BEE"/>
    <w:rsid w:val="00CF33F6"/>
    <w:rsid w:val="00D246D1"/>
    <w:rsid w:val="00D35416"/>
    <w:rsid w:val="00D50A53"/>
    <w:rsid w:val="00D54FA1"/>
    <w:rsid w:val="00D57B61"/>
    <w:rsid w:val="00D620DA"/>
    <w:rsid w:val="00D63986"/>
    <w:rsid w:val="00D717B5"/>
    <w:rsid w:val="00D77B24"/>
    <w:rsid w:val="00D8486F"/>
    <w:rsid w:val="00D97EA8"/>
    <w:rsid w:val="00DA2BC4"/>
    <w:rsid w:val="00DA2D83"/>
    <w:rsid w:val="00DA3650"/>
    <w:rsid w:val="00DA6117"/>
    <w:rsid w:val="00DB6F85"/>
    <w:rsid w:val="00DC5768"/>
    <w:rsid w:val="00DD1600"/>
    <w:rsid w:val="00DD6219"/>
    <w:rsid w:val="00DD7085"/>
    <w:rsid w:val="00DE028D"/>
    <w:rsid w:val="00DE08FD"/>
    <w:rsid w:val="00DE0ACB"/>
    <w:rsid w:val="00DE2FBA"/>
    <w:rsid w:val="00DE334E"/>
    <w:rsid w:val="00DE4019"/>
    <w:rsid w:val="00DF060F"/>
    <w:rsid w:val="00E109BF"/>
    <w:rsid w:val="00E12892"/>
    <w:rsid w:val="00E24932"/>
    <w:rsid w:val="00E271EC"/>
    <w:rsid w:val="00E45C3C"/>
    <w:rsid w:val="00E47B02"/>
    <w:rsid w:val="00E659C9"/>
    <w:rsid w:val="00E66CB2"/>
    <w:rsid w:val="00E70C0E"/>
    <w:rsid w:val="00E747D2"/>
    <w:rsid w:val="00E82F9A"/>
    <w:rsid w:val="00EC2F7C"/>
    <w:rsid w:val="00EC6EC6"/>
    <w:rsid w:val="00ED7BFD"/>
    <w:rsid w:val="00EE3C31"/>
    <w:rsid w:val="00EF2B23"/>
    <w:rsid w:val="00EF3B75"/>
    <w:rsid w:val="00F15196"/>
    <w:rsid w:val="00F268A5"/>
    <w:rsid w:val="00F350BD"/>
    <w:rsid w:val="00F57AAD"/>
    <w:rsid w:val="00F7236E"/>
    <w:rsid w:val="00F7298C"/>
    <w:rsid w:val="00F75387"/>
    <w:rsid w:val="00F90314"/>
    <w:rsid w:val="00F9418D"/>
    <w:rsid w:val="00FA086E"/>
    <w:rsid w:val="00FA23E5"/>
    <w:rsid w:val="00FA2748"/>
    <w:rsid w:val="00FA366F"/>
    <w:rsid w:val="00FC3499"/>
    <w:rsid w:val="00FE0D65"/>
    <w:rsid w:val="00FE11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78D15"/>
  <w15:docId w15:val="{399CF6AB-D05A-48D1-8C43-F98D0A05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4B78"/>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table" w:styleId="aa">
    <w:name w:val="Table Grid"/>
    <w:basedOn w:val="a1"/>
    <w:uiPriority w:val="59"/>
    <w:rsid w:val="00BA52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890AC0"/>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816">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148061921">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320887503">
      <w:bodyDiv w:val="1"/>
      <w:marLeft w:val="0"/>
      <w:marRight w:val="0"/>
      <w:marTop w:val="0"/>
      <w:marBottom w:val="0"/>
      <w:divBdr>
        <w:top w:val="none" w:sz="0" w:space="0" w:color="auto"/>
        <w:left w:val="none" w:sz="0" w:space="0" w:color="auto"/>
        <w:bottom w:val="none" w:sz="0" w:space="0" w:color="auto"/>
        <w:right w:val="none" w:sz="0" w:space="0" w:color="auto"/>
      </w:divBdr>
    </w:div>
    <w:div w:id="32756387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53907424">
      <w:bodyDiv w:val="1"/>
      <w:marLeft w:val="0"/>
      <w:marRight w:val="0"/>
      <w:marTop w:val="0"/>
      <w:marBottom w:val="0"/>
      <w:divBdr>
        <w:top w:val="none" w:sz="0" w:space="0" w:color="auto"/>
        <w:left w:val="none" w:sz="0" w:space="0" w:color="auto"/>
        <w:bottom w:val="none" w:sz="0" w:space="0" w:color="auto"/>
        <w:right w:val="none" w:sz="0" w:space="0" w:color="auto"/>
      </w:divBdr>
    </w:div>
    <w:div w:id="490827395">
      <w:bodyDiv w:val="1"/>
      <w:marLeft w:val="0"/>
      <w:marRight w:val="0"/>
      <w:marTop w:val="0"/>
      <w:marBottom w:val="0"/>
      <w:divBdr>
        <w:top w:val="none" w:sz="0" w:space="0" w:color="auto"/>
        <w:left w:val="none" w:sz="0" w:space="0" w:color="auto"/>
        <w:bottom w:val="none" w:sz="0" w:space="0" w:color="auto"/>
        <w:right w:val="none" w:sz="0" w:space="0" w:color="auto"/>
      </w:divBdr>
    </w:div>
    <w:div w:id="493953447">
      <w:bodyDiv w:val="1"/>
      <w:marLeft w:val="0"/>
      <w:marRight w:val="0"/>
      <w:marTop w:val="0"/>
      <w:marBottom w:val="0"/>
      <w:divBdr>
        <w:top w:val="none" w:sz="0" w:space="0" w:color="auto"/>
        <w:left w:val="none" w:sz="0" w:space="0" w:color="auto"/>
        <w:bottom w:val="none" w:sz="0" w:space="0" w:color="auto"/>
        <w:right w:val="none" w:sz="0" w:space="0" w:color="auto"/>
      </w:divBdr>
    </w:div>
    <w:div w:id="547254976">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19536502">
      <w:bodyDiv w:val="1"/>
      <w:marLeft w:val="0"/>
      <w:marRight w:val="0"/>
      <w:marTop w:val="0"/>
      <w:marBottom w:val="0"/>
      <w:divBdr>
        <w:top w:val="none" w:sz="0" w:space="0" w:color="auto"/>
        <w:left w:val="none" w:sz="0" w:space="0" w:color="auto"/>
        <w:bottom w:val="none" w:sz="0" w:space="0" w:color="auto"/>
        <w:right w:val="none" w:sz="0" w:space="0" w:color="auto"/>
      </w:divBdr>
    </w:div>
    <w:div w:id="641351258">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32256044">
      <w:bodyDiv w:val="1"/>
      <w:marLeft w:val="0"/>
      <w:marRight w:val="0"/>
      <w:marTop w:val="0"/>
      <w:marBottom w:val="0"/>
      <w:divBdr>
        <w:top w:val="none" w:sz="0" w:space="0" w:color="auto"/>
        <w:left w:val="none" w:sz="0" w:space="0" w:color="auto"/>
        <w:bottom w:val="none" w:sz="0" w:space="0" w:color="auto"/>
        <w:right w:val="none" w:sz="0" w:space="0" w:color="auto"/>
      </w:divBdr>
    </w:div>
    <w:div w:id="867716771">
      <w:bodyDiv w:val="1"/>
      <w:marLeft w:val="0"/>
      <w:marRight w:val="0"/>
      <w:marTop w:val="0"/>
      <w:marBottom w:val="0"/>
      <w:divBdr>
        <w:top w:val="none" w:sz="0" w:space="0" w:color="auto"/>
        <w:left w:val="none" w:sz="0" w:space="0" w:color="auto"/>
        <w:bottom w:val="none" w:sz="0" w:space="0" w:color="auto"/>
        <w:right w:val="none" w:sz="0" w:space="0" w:color="auto"/>
      </w:divBdr>
    </w:div>
    <w:div w:id="1083643965">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1119089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44355255">
      <w:bodyDiv w:val="1"/>
      <w:marLeft w:val="0"/>
      <w:marRight w:val="0"/>
      <w:marTop w:val="0"/>
      <w:marBottom w:val="0"/>
      <w:divBdr>
        <w:top w:val="none" w:sz="0" w:space="0" w:color="auto"/>
        <w:left w:val="none" w:sz="0" w:space="0" w:color="auto"/>
        <w:bottom w:val="none" w:sz="0" w:space="0" w:color="auto"/>
        <w:right w:val="none" w:sz="0" w:space="0" w:color="auto"/>
      </w:divBdr>
    </w:div>
    <w:div w:id="1438791779">
      <w:bodyDiv w:val="1"/>
      <w:marLeft w:val="0"/>
      <w:marRight w:val="0"/>
      <w:marTop w:val="0"/>
      <w:marBottom w:val="0"/>
      <w:divBdr>
        <w:top w:val="none" w:sz="0" w:space="0" w:color="auto"/>
        <w:left w:val="none" w:sz="0" w:space="0" w:color="auto"/>
        <w:bottom w:val="none" w:sz="0" w:space="0" w:color="auto"/>
        <w:right w:val="none" w:sz="0" w:space="0" w:color="auto"/>
      </w:divBdr>
    </w:div>
    <w:div w:id="1504932681">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97945377">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85226315">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E5ABC6-1FC8-460B-A6FA-22336AAD8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16</Pages>
  <Words>1060</Words>
  <Characters>6042</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엄태욱</cp:lastModifiedBy>
  <cp:revision>7</cp:revision>
  <cp:lastPrinted>2011-06-09T04:24:00Z</cp:lastPrinted>
  <dcterms:created xsi:type="dcterms:W3CDTF">2026-08-28T05:53:00Z</dcterms:created>
  <dcterms:modified xsi:type="dcterms:W3CDTF">2026-08-28T07:07:00Z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5fb8fc2b-4402-4174-93c1-36e5b4161a6d</vt:lpwstr>
  </property>
</Properties>
</file>