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34</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41</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45</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52</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53</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55</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56</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62</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65</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71</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74</w:t>
      </w:r>
    </w:p>
    <w:p>
      <w:pPr>
        <w:tabs>
          <w:tab w:pos="8504" w:val="right" w:leader="dot"/>
        </w:tabs>
        <w:spacing w:line="501" w:lineRule="exact"/>
        <w:ind w:left="0"/>
      </w:pPr>
      <w:r>
        <w:rPr>
          <w:rFonts w:ascii="Times New Roman" w:hAnsi="Times New Roman" w:eastAsia="HY신명조"/>
          <w:b w:val="0"/>
          <w:sz w:val="22"/>
        </w:rPr>
        <w:t>논문요약 (Korean Abstract)</w:t>
      </w:r>
      <w:r>
        <w:rPr>
          <w:rFonts w:ascii="Times New Roman" w:hAnsi="Times New Roman" w:eastAsia="HY신명조"/>
          <w:b w:val="0"/>
          <w:sz w:val="22"/>
        </w:rPr>
        <w:tab/>
        <w:t>80</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40</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46</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51</w:t>
      </w:r>
    </w:p>
    <w:p>
      <w:pPr>
        <w:tabs>
          <w:tab w:pos="8504" w:val="right" w:leader="dot"/>
        </w:tabs>
        <w:spacing w:line="501" w:lineRule="exact"/>
        <w:ind w:left="0"/>
      </w:pPr>
      <w:r>
        <w:rPr>
          <w:rFonts w:ascii="Times New Roman" w:hAnsi="Times New Roman" w:eastAsia="HY신명조"/>
          <w:b w:val="0"/>
          <w:sz w:val="22"/>
        </w:rPr>
        <w:t>Table 5-3. Distance ladder results (ledger adjudication)</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56</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63</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64</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Architecture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34</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36</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48</w:t>
      </w:r>
    </w:p>
    <w:p>
      <w:pPr>
        <w:tabs>
          <w:tab w:pos="8504" w:val="right" w:leader="dot"/>
        </w:tabs>
        <w:spacing w:line="501" w:lineRule="exact"/>
        <w:ind w:left="0"/>
      </w:pPr>
      <w:r>
        <w:rPr>
          <w:rFonts w:ascii="Times New Roman" w:hAnsi="Times New Roman" w:eastAsia="HY신명조"/>
          <w:b w:val="0"/>
          <w:sz w:val="22"/>
        </w:rPr>
        <w:t>Figure 5-2. Continuous health traces — band separation of the state-transition input channel (solid: perception) against the dual thresholds (0.7/0.3)</w:t>
      </w:r>
      <w:r>
        <w:rPr>
          <w:rFonts w:ascii="Times New Roman" w:hAnsi="Times New Roman" w:eastAsia="HY신명조"/>
          <w:b w:val="0"/>
          <w:sz w:val="22"/>
        </w:rPr>
        <w:tab/>
        <w:t>50</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(first-round ablation sample, conditional n=13)</w:t>
      </w:r>
      <w:r>
        <w:rPr>
          <w:rFonts w:ascii="Times New Roman" w:hAnsi="Times New Roman" w:eastAsia="HY신명조"/>
          <w:b w:val="0"/>
          <w:sz w:val="22"/>
        </w:rPr>
        <w:tab/>
        <w:t>61</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62</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Times New Roman" w:hAnsi="Times New Roman" w:eastAsia="HY신명조"/>
          <w:b w:val="0"/>
          <w:sz w:val="22"/>
        </w:rPr>
        <w:t>Figure 1-1. Problem setting. (a) The graduated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graduated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problem awareness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as opposed to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60" w:lineRule="auto" w:before="0" w:after="0"/>
      </w:pPr>
      <w:r>
        <w:rPr>
          <w:rFonts w:ascii="Times New Roman" w:hAnsi="Times New Roman" w:eastAsia="HY신명조"/>
          <w:b w:val="0"/>
          <w:sz w:val="22"/>
        </w:rPr>
        <w:t>Table 2-1. 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Graduated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(9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Times New Roman" w:hAnsi="Times New Roman" w:eastAsia="HY신명조"/>
          <w:b w:val="0"/>
          <w:sz w:val="22"/>
        </w:rPr>
        <w:t>Figure 3-1. Architecture of the proposed system. Sensor faults are injected upstream (at the bridge) of the CARLA–bridge–Autoware closed loop, and the supervisory layer (labeled CDR Monitor = cdr_monitor and MRM Supervisor = mrm_supervisor in the figure) is attached as an add-on layer. The monitoring module subscribes read-only to sensor topics and publishes health scores, and the supervisor intervenes in the execution layer through route resetting and a speed cap (evacuation) or diagnostic ERROR injection (deferral).</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using only samples with |Δr| &lt; 1 m</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deadline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Times New Roman" w:hAnsi="Times New Roman" w:eastAsia="HY신명조"/>
          <w:b w:val="0"/>
          <w:sz w:val="22"/>
        </w:rPr>
        <w:t>Figure 3-2. 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Times New Roman" w:hAnsi="Times New Roman" w:eastAsia="HY신명조"/>
          <w:b w:val="0"/>
          <w:sz w:val="22"/>
        </w:rPr>
        <w:t>Figure 3-3. 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re-experiment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60" w:lineRule="auto" w:before="0" w:after="0"/>
      </w:pPr>
      <w:r>
        <w:rPr>
          <w:rFonts w:ascii="Times New Roman" w:hAnsi="Times New Roman" w:eastAsia="HY신명조"/>
          <w:b w:val="0"/>
          <w:sz w:val="22"/>
        </w:rPr>
        <w:t>Table 4-1. 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60" w:lineRule="auto" w:before="0" w:after="0"/>
      </w:pPr>
      <w:r>
        <w:rPr>
          <w:rFonts w:ascii="Times New Roman" w:hAnsi="Times New Roman" w:eastAsia="HY신명조"/>
          <w:b w:val="0"/>
          <w:sz w:val="22"/>
        </w:rPr>
        <w:t>Table 4-2. 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Navigation fault waveforms — the temporal structure of white noise (gn), correlated bias (gb), and bias ramp (imd). Parameters in all panels are the raw mid/high values of Table 4-2.</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check that map annotation quality is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manner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Times New Roman" w:hAnsi="Times New Roman" w:eastAsia="HY신명조"/>
          <w:b w:val="0"/>
          <w:sz w:val="22"/>
        </w:rPr>
        <w:t>Figure 4-3. 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of all cases follows the ledger standard of Section 5.</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ablate the effect of the proposed system into four arms — non-intervention, stop, evacuation, and speed cap — a four-arm ablation study was designed (Table 4-3). The design was finalized after incorporating two rounds of external expert review.</w:t>
      </w:r>
    </w:p>
    <w:p>
      <w:pPr>
        <w:keepNext/>
        <w:spacing w:line="360" w:lineRule="auto" w:before="0" w:after="0"/>
      </w:pPr>
      <w:r>
        <w:rPr>
          <w:rFonts w:ascii="Times New Roman" w:hAnsi="Times New Roman" w:eastAsia="HY신명조"/>
          <w:b w:val="0"/>
          <w:sz w:val="22"/>
        </w:rPr>
        <w:t>Table 4-3. 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only end of observation right-censored;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60" w:lineRule="auto" w:before="0" w:after="0"/>
      </w:pPr>
      <w:r>
        <w:rPr>
          <w:rFonts w:ascii="Times New Roman" w:hAnsi="Times New Roman" w:eastAsia="HY신명조"/>
          <w:b w:val="0"/>
          <w:sz w:val="22"/>
        </w:rPr>
        <w:t>Table 4-4. 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Item</w:t>
            </w:r>
          </w:p>
        </w:tc>
        <w:tc>
          <w:tcPr>
            <w:tcW w:type="dxa" w:w="2835"/>
          </w:tcPr>
          <w:p>
            <w:pPr>
              <w:keepNext/>
              <w:spacing w:line="288" w:lineRule="auto" w:before="20" w:after="20"/>
              <w:jc w:val="center"/>
            </w:pPr>
            <w:r/>
            <w:r>
              <w:rPr>
                <w:rFonts w:ascii="Times New Roman" w:hAnsi="Times New Roman" w:eastAsia="HY신명조"/>
                <w:b/>
                <w:sz w:val="19"/>
              </w:rPr>
              <w:t>Value</w:t>
            </w:r>
          </w:p>
        </w:tc>
        <w:tc>
          <w:tcPr>
            <w:tcW w:type="dxa" w:w="2835"/>
          </w:tcPr>
          <w:p>
            <w:pPr>
              <w:keepNext/>
              <w:spacing w:line="288" w:lineRule="auto" w:before="20" w:after="20"/>
              <w:jc w:val="center"/>
            </w:pPr>
            <w:r/>
            <w:r>
              <w:rPr>
                <w:rFonts w:ascii="Times New Roman" w:hAnsi="Times New Roman" w:eastAsia="HY신명조"/>
                <w:b/>
                <w:sz w:val="19"/>
              </w:rPr>
              <w:t>Remarks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State-transition thresholds</w:t>
            </w:r>
          </w:p>
        </w:tc>
        <w:tc>
          <w:tcPr>
            <w:tcW w:type="dxa" w:w="2835"/>
          </w:tcPr>
          <w:p>
            <w:pPr>
              <w:keepNext/>
              <w:spacing w:line="288" w:lineRule="auto" w:before="20" w:after="20"/>
              <w:jc w:val="left"/>
            </w:pPr>
            <w:r/>
            <w:r>
              <w:rPr>
                <w:rFonts w:ascii="Times New Roman" w:hAnsi="Times New Roman" w:eastAsia="HY신명조"/>
                <w:b w:val="0"/>
                <w:sz w:val="19"/>
              </w:rPr>
              <w:t>upper 0.7 / lower 0.3</w:t>
            </w:r>
          </w:p>
        </w:tc>
        <w:tc>
          <w:tcPr>
            <w:tcW w:type="dxa" w:w="2835"/>
          </w:tcPr>
          <w:p>
            <w:pPr>
              <w:keepNext/>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keepNext/>
              <w:spacing w:line="288" w:lineRule="auto" w:before="20" w:after="20"/>
              <w:jc w:val="left"/>
            </w:pPr>
            <w:r/>
            <w:r>
              <w:rPr>
                <w:rFonts w:ascii="Times New Roman" w:hAnsi="Times New Roman" w:eastAsia="HY신명조"/>
                <w:b w:val="0"/>
                <w:sz w:val="19"/>
              </w:rPr>
              <w:t>MRM movement speed cap</w:t>
            </w:r>
          </w:p>
        </w:tc>
        <w:tc>
          <w:tcPr>
            <w:tcW w:type="dxa" w:w="2835"/>
          </w:tcPr>
          <w:p>
            <w:pPr>
              <w:keepNext/>
              <w:spacing w:line="288" w:lineRule="auto" w:before="20" w:after="20"/>
              <w:jc w:val="left"/>
            </w:pPr>
            <w:r/>
            <w:r>
              <w:rPr>
                <w:rFonts w:ascii="Times New Roman" w:hAnsi="Times New Roman" w:eastAsia="HY신명조"/>
                <w:b w:val="0"/>
                <w:sz w:val="19"/>
              </w:rPr>
              <w:t>3.0 m/s (fixed)</w:t>
            </w:r>
          </w:p>
        </w:tc>
        <w:tc>
          <w:tcPr>
            <w:tcW w:type="dxa" w:w="2835"/>
          </w:tcPr>
          <w:p>
            <w:pPr>
              <w:keepNext/>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Stopping-distance model</w:t>
            </w:r>
          </w:p>
        </w:tc>
        <w:tc>
          <w:tcPr>
            <w:tcW w:type="dxa" w:w="2835"/>
          </w:tcPr>
          <w:p>
            <w:pPr>
              <w:keepNext/>
              <w:spacing w:line="288" w:lineRule="auto" w:before="20" w:after="20"/>
              <w:jc w:val="left"/>
            </w:pPr>
            <w:r/>
            <w:r>
              <w:rPr>
                <w:rFonts w:ascii="Times New Roman" w:hAnsi="Times New Roman" w:eastAsia="HY신명조"/>
                <w:b w:val="0"/>
                <w:sz w:val="19"/>
              </w:rPr>
              <w:t>τ=1.5 s, a=3.5 m/s²</w:t>
            </w:r>
          </w:p>
        </w:tc>
        <w:tc>
          <w:tcPr>
            <w:tcW w:type="dxa" w:w="2835"/>
          </w:tcPr>
          <w:p>
            <w:pPr>
              <w:keepNext/>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Pedestrian launch time</w:t>
            </w:r>
          </w:p>
        </w:tc>
        <w:tc>
          <w:tcPr>
            <w:tcW w:type="dxa" w:w="2835"/>
          </w:tcPr>
          <w:p>
            <w:pPr>
              <w:keepNext/>
              <w:spacing w:line="288" w:lineRule="auto" w:before="20" w:after="20"/>
              <w:jc w:val="left"/>
            </w:pPr>
            <w:r/>
            <w:r>
              <w:rPr>
                <w:rFonts w:ascii="Times New Roman" w:hAnsi="Times New Roman" w:eastAsia="HY신명조"/>
                <w:b w:val="0"/>
                <w:sz w:val="19"/>
              </w:rPr>
              <w:t>t_detect + 3.0 s</w:t>
            </w:r>
          </w:p>
        </w:tc>
        <w:tc>
          <w:tcPr>
            <w:tcW w:type="dxa" w:w="2835"/>
          </w:tcPr>
          <w:p>
            <w:pPr>
              <w:keepNext/>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Launch geometry</w:t>
            </w:r>
          </w:p>
        </w:tc>
        <w:tc>
          <w:tcPr>
            <w:tcW w:type="dxa" w:w="2835"/>
          </w:tcPr>
          <w:p>
            <w:pPr>
              <w:keepNext/>
              <w:spacing w:line="288" w:lineRule="auto" w:before="20" w:after="20"/>
              <w:jc w:val="left"/>
            </w:pPr>
            <w:r/>
            <w:r>
              <w:rPr>
                <w:rFonts w:ascii="Times New Roman" w:hAnsi="Times New Roman" w:eastAsia="HY신명조"/>
                <w:b w:val="0"/>
                <w:sz w:val="19"/>
              </w:rPr>
              <w:t>8 m ahead, lateral jitter ±0.2 m</w:t>
            </w:r>
          </w:p>
        </w:tc>
        <w:tc>
          <w:tcPr>
            <w:tcW w:type="dxa" w:w="2835"/>
          </w:tcPr>
          <w:p>
            <w:pPr>
              <w:keepNext/>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keepNext/>
              <w:spacing w:line="288" w:lineRule="auto" w:before="20" w:after="20"/>
              <w:jc w:val="left"/>
            </w:pPr>
            <w:r/>
            <w:r>
              <w:rPr>
                <w:rFonts w:ascii="Times New Roman" w:hAnsi="Times New Roman" w:eastAsia="HY신명조"/>
                <w:b w:val="0"/>
                <w:sz w:val="19"/>
              </w:rPr>
              <w:t>Commanded walking speed</w:t>
            </w:r>
          </w:p>
        </w:tc>
        <w:tc>
          <w:tcPr>
            <w:tcW w:type="dxa" w:w="2835"/>
          </w:tcPr>
          <w:p>
            <w:pPr>
              <w:keepNext/>
              <w:spacing w:line="288" w:lineRule="auto" w:before="20" w:after="20"/>
              <w:jc w:val="left"/>
            </w:pPr>
            <w:r/>
            <w:r>
              <w:rPr>
                <w:rFonts w:ascii="Times New Roman" w:hAnsi="Times New Roman" w:eastAsia="HY신명조"/>
                <w:b w:val="0"/>
                <w:sz w:val="19"/>
              </w:rPr>
              <w:t>{2.5, 3.0} m/s (blocked by seed)</w:t>
            </w:r>
          </w:p>
        </w:tc>
        <w:tc>
          <w:tcPr>
            <w:tcW w:type="dxa" w:w="2835"/>
          </w:tcPr>
          <w:p>
            <w:pPr>
              <w:keepNext/>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keepNext/>
              <w:spacing w:line="288" w:lineRule="auto" w:before="20" w:after="20"/>
              <w:jc w:val="left"/>
            </w:pPr>
            <w:r/>
            <w:r>
              <w:rPr>
                <w:rFonts w:ascii="Times New Roman" w:hAnsi="Times New Roman" w:eastAsia="HY신명조"/>
                <w:b w:val="0"/>
                <w:sz w:val="19"/>
              </w:rPr>
              <w:t>Ablation seeds</w:t>
            </w:r>
          </w:p>
        </w:tc>
        <w:tc>
          <w:tcPr>
            <w:tcW w:type="dxa" w:w="2835"/>
          </w:tcPr>
          <w:p>
            <w:pPr>
              <w:keepNext/>
              <w:spacing w:line="288" w:lineRule="auto" w:before="20" w:after="20"/>
              <w:jc w:val="left"/>
            </w:pPr>
            <w:r/>
            <w:r>
              <w:rPr>
                <w:rFonts w:ascii="Times New Roman" w:hAnsi="Times New Roman" w:eastAsia="HY신명조"/>
                <w:b w:val="0"/>
                <w:sz w:val="19"/>
              </w:rPr>
              <w:t>S02~S11 (10 seeds, shared pairwise across the 4 arms;</w:t>
            </w:r>
          </w:p>
          <w:p>
            <w:pPr>
              <w:keepNext/>
              <w:spacing w:line="288" w:lineRule="auto" w:before="20" w:after="20"/>
              <w:jc w:val="left"/>
            </w:pPr>
            <w:r>
              <w:rPr>
                <w:rFonts w:ascii="Times New Roman" w:hAnsi="Times New Roman" w:eastAsia="HY신명조"/>
                <w:b w:val="0"/>
                <w:sz w:val="19"/>
              </w:rPr>
              <w:t>S01 excluded as development seed)</w:t>
            </w:r>
          </w:p>
        </w:tc>
        <w:tc>
          <w:tcPr>
            <w:tcW w:type="dxa" w:w="2835"/>
          </w:tcPr>
          <w:p>
            <w:pPr>
              <w:keepNext/>
              <w:spacing w:line="288" w:lineRule="auto" w:before="20" w:after="20"/>
              <w:jc w:val="left"/>
            </w:pPr>
            <w:r/>
            <w:r>
              <w:rPr>
                <w:rFonts w:ascii="Times New Roman" w:hAnsi="Times New Roman" w:eastAsia="HY신명조"/>
                <w:b w:val="0"/>
                <w:sz w:val="19"/>
              </w:rPr>
              <w:t>Fixed: fault onset 11~44 s, walking 2.5/3.0 m/s blocks, lateral jitter,</w:t>
            </w:r>
          </w:p>
          <w:p>
            <w:pPr>
              <w:keepNext/>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keepNext/>
              <w:spacing w:line="288" w:lineRule="auto" w:before="20" w:after="20"/>
              <w:jc w:val="left"/>
            </w:pPr>
            <w:r/>
            <w:r>
              <w:rPr>
                <w:rFonts w:ascii="Times New Roman" w:hAnsi="Times New Roman" w:eastAsia="HY신명조"/>
                <w:b w:val="0"/>
                <w:sz w:val="19"/>
              </w:rPr>
              <w:t>Fault intensity (SEVERITY, mid/high)</w:t>
            </w:r>
          </w:p>
        </w:tc>
        <w:tc>
          <w:tcPr>
            <w:tcW w:type="dxa" w:w="2835"/>
          </w:tcPr>
          <w:p>
            <w:pPr>
              <w:keepNext/>
              <w:spacing w:line="288" w:lineRule="auto" w:before="20" w:after="20"/>
              <w:jc w:val="left"/>
            </w:pPr>
            <w:r/>
            <w:r>
              <w:rPr>
                <w:rFonts w:ascii="Times New Roman" w:hAnsi="Times New Roman" w:eastAsia="HY신명조"/>
                <w:b w:val="0"/>
                <w:sz w:val="19"/>
              </w:rPr>
              <w:t>cn 15/30, imn 0.5/1.5, gn 1.0/2.5,</w:t>
            </w:r>
          </w:p>
          <w:p>
            <w:pPr>
              <w:keepNext/>
              <w:spacing w:line="288" w:lineRule="auto" w:before="20" w:after="20"/>
              <w:jc w:val="left"/>
            </w:pPr>
            <w:r>
              <w:rPr>
                <w:rFonts w:ascii="Times New Roman" w:hAnsi="Times New Roman" w:eastAsia="HY신명조"/>
                <w:b w:val="0"/>
                <w:sz w:val="19"/>
              </w:rPr>
              <w:t>lso "0.33:90"/"0.07:150", lcl "5:1500"/"25:4000"</w:t>
            </w:r>
          </w:p>
        </w:tc>
        <w:tc>
          <w:tcPr>
            <w:tcW w:type="dxa" w:w="2835"/>
          </w:tcPr>
          <w:p>
            <w:pPr>
              <w:keepNext/>
              <w:spacing w:line="288" w:lineRule="auto" w:before="20" w:after="20"/>
              <w:jc w:val="left"/>
            </w:pPr>
            <w:r/>
            <w:r>
              <w:rPr>
                <w:rFonts w:ascii="Times New Roman" w:hAnsi="Times New Roman" w:eastAsia="HY신명조"/>
                <w:b w:val="0"/>
                <w:sz w:val="19"/>
              </w:rPr>
              <w:t>Raw injector parameter values (cn pixel σ, imn gyro σ,</w:t>
            </w:r>
          </w:p>
          <w:p>
            <w:pPr>
              <w:keepNext/>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keepNext/>
              <w:spacing w:line="288" w:lineRule="auto" w:before="20" w:after="20"/>
              <w:jc w:val="left"/>
            </w:pPr>
            <w:r/>
            <w:r>
              <w:rPr>
                <w:rFonts w:ascii="Times New Roman" w:hAnsi="Times New Roman" w:eastAsia="HY신명조"/>
                <w:b w:val="0"/>
                <w:sz w:val="19"/>
              </w:rPr>
              <w:t>Simulator lifetime</w:t>
            </w:r>
          </w:p>
        </w:tc>
        <w:tc>
          <w:tcPr>
            <w:tcW w:type="dxa" w:w="2835"/>
          </w:tcPr>
          <w:p>
            <w:pPr>
              <w:keepNext/>
              <w:spacing w:line="288" w:lineRule="auto" w:before="20" w:after="20"/>
              <w:jc w:val="left"/>
            </w:pPr>
            <w:r/>
            <w:r>
              <w:rPr>
                <w:rFonts w:ascii="Times New Roman" w:hAnsi="Times New Roman" w:eastAsia="HY신명조"/>
                <w:b w:val="0"/>
                <w:sz w:val="19"/>
              </w:rPr>
              <w:t>CARLA_RESTART_EVERY=1</w:t>
            </w:r>
          </w:p>
        </w:tc>
        <w:tc>
          <w:tcPr>
            <w:tcW w:type="dxa" w:w="2835"/>
          </w:tcPr>
          <w:p>
            <w:pPr>
              <w:keepNext/>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and median detection latencies of 2.1–5.0 s in 11 of the 12 fault conditions,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gentle stops, whereas the IMU family produced hard stops in every case — since even a gentle stop is trajectory following, the execution layer demotes it to a hard stop when the rotational sense is corrupted.</w:t>
      </w:r>
    </w:p>
    <w:p>
      <w:pPr>
        <w:keepNext/>
        <w:spacing w:line="360" w:lineRule="auto" w:before="0" w:after="0"/>
      </w:pPr>
      <w:r>
        <w:rPr>
          <w:rFonts w:ascii="Times New Roman" w:hAnsi="Times New Roman" w:eastAsia="HY신명조"/>
          <w:b w:val="0"/>
          <w:sz w:val="22"/>
        </w:rPr>
        <w:t>Table 5-1. 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Times New Roman" w:hAnsi="Times New Roman" w:eastAsia="HY신명조"/>
          <w:b w:val="0"/>
          <w:sz w:val="22"/>
        </w:rPr>
        <w:t>Figure 5-1. Detection latency distributions per fault condition (proposed arm, measured from injection time). The upper panel shows the main campaign and the lower panel the supplementary campaign (navigation extension, Table 4-2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deciding variable of health = min(perception, cap_loc) is perception. This deciding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dashed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GNSS family (gn) is produced not from the /monitor/scores topic but by the supervisor-internal residual detectors (loc_meas/loc_jump),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2316227"/>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2316227"/>
                    </a:xfrm>
                    <a:prstGeom prst="rect"/>
                  </pic:spPr>
                </pic:pic>
              </a:graphicData>
            </a:graphic>
          </wp:inline>
        </w:drawing>
      </w:r>
    </w:p>
    <w:p>
      <w:pPr>
        <w:keepLines/>
        <w:spacing w:line="360" w:lineRule="auto" w:before="0" w:after="0"/>
      </w:pPr>
      <w:r>
        <w:rPr>
          <w:rFonts w:ascii="Times New Roman" w:hAnsi="Times New Roman" w:eastAsia="HY신명조"/>
          <w:b w:val="0"/>
          <w:sz w:val="22"/>
        </w:rPr>
        <w:t>Figure 5-2. Continuous health traces — band separation of the state-transition input channel (solid: perception) against the dual thresholds (0.7/0.3). Dashed lines show the MRM move-gate obstacle channel; one representative run per condition, with warm-up and end-of-run stale artifacts trimmed.</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number 2. One factor lowering the evacuation completion rate is the reduction of candidates due to the intended conservatism of the traffic-light observability gate. For camera noise (cn), 25 of 90 cases reached the shoulder.</w:t>
      </w:r>
    </w:p>
    <w:p>
      <w:pPr>
        <w:keepNext/>
        <w:spacing w:line="360" w:lineRule="auto" w:before="0" w:after="0"/>
      </w:pPr>
      <w:r>
        <w:rPr>
          <w:rFonts w:ascii="Times New Roman" w:hAnsi="Times New Roman" w:eastAsia="HY신명조"/>
          <w:b w:val="0"/>
          <w:sz w:val="22"/>
        </w:rPr>
        <w:t>Table 5-2. 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IMU noise stopped on its own due to the anomaly,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unreturned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60" w:lineRule="auto" w:before="0" w:after="0"/>
      </w:pPr>
      <w:r>
        <w:rPr>
          <w:rFonts w:ascii="Times New Roman" w:hAnsi="Times New Roman" w:eastAsia="HY신명조"/>
          <w:b w:val="0"/>
          <w:sz w:val="22"/>
        </w:rPr>
        <w:t>Table 5-3. Distance ladder results (ledger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Times New Roman" w:hAnsi="Times New Roman" w:eastAsia="HY신명조"/>
          <w:b w:val="0"/>
          <w:sz w:val="22"/>
        </w:rPr>
        <w:t>Figure 5-3. 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2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60" w:lineRule="auto" w:before="0" w:after="0"/>
      </w:pPr>
      <w:r>
        <w:rPr>
          <w:rFonts w:ascii="Times New Roman" w:hAnsi="Times New Roman" w:eastAsia="HY신명조"/>
          <w:b w:val="0"/>
          <w:sz w:val="22"/>
        </w:rPr>
        <w:t>Table 5-4. 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60" w:lineRule="auto" w:before="0" w:after="0"/>
      </w:pPr>
      <w:r>
        <w:rPr>
          <w:rFonts w:ascii="Times New Roman" w:hAnsi="Times New Roman" w:eastAsia="HY신명조"/>
          <w:b w:val="0"/>
          <w:sz w:val="22"/>
        </w:rPr>
        <w:t>Table 5-5. 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60" w:lineRule="auto" w:before="0" w:after="0"/>
      </w:pPr>
      <w:r>
        <w:rPr>
          <w:rFonts w:ascii="Times New Roman" w:hAnsi="Times New Roman" w:eastAsia="HY신명조"/>
          <w:b w:val="0"/>
          <w:sz w:val="22"/>
        </w:rPr>
        <w:t>Table 5-6. 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Times New Roman" w:hAnsi="Times New Roman" w:eastAsia="HY신명조"/>
          <w:b w:val="0"/>
          <w:sz w:val="22"/>
        </w:rPr>
        <w:t>Figure 5-4. 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re-experiment)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Times New Roman" w:hAnsi="Times New Roman" w:eastAsia="HY신명조"/>
          <w:b w:val="0"/>
          <w:sz w:val="22"/>
        </w:rPr>
        <w:t>Figure 5-5. 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7, 6, and 5 m each collided in 2/2,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60" w:lineRule="auto" w:before="0" w:after="0"/>
      </w:pPr>
      <w:r>
        <w:rPr>
          <w:rFonts w:ascii="Times New Roman" w:hAnsi="Times New Roman" w:eastAsia="HY신명조"/>
          <w:b w:val="0"/>
          <w:sz w:val="22"/>
        </w:rPr>
        <w:t>Table 5-7. 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cases each, same structure as the main campaign)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60" w:lineRule="auto" w:before="0" w:after="0"/>
      </w:pPr>
      <w:r>
        <w:rPr>
          <w:rFonts w:ascii="Times New Roman" w:hAnsi="Times New Roman" w:eastAsia="HY신명조"/>
          <w:b w:val="0"/>
          <w:sz w:val="22"/>
        </w:rPr>
        <w:t>Table 5-8. 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to shrink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metric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formalization of the FRTI and margin explicitly reserved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and median detection latencies of 2.1–5.0 s in 11 of the 12 fault conditions,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 (signal loss) is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