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52</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62</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69</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53</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실험 환경과 대표 장면(실사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48</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32~58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0회,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성공한 경우의 차선 반환·더 안전한 최종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정상/고장만을 나타내는 이분법적 진단 상태만으로는 고장의 정도를 연속적으로 반영하기 어렵다. 셋째, 이동을 선택했다면 열화 상태의 이동 자체가 갖는 위험 — 돌발 상황에서의 정지거리 — 을 관리해야 한다. 정지거리 중 제동거리 성분은 속도의 제곱에 비례하므로, 고장 상태의 이동 속도를 낮추는 것은 돌발 상황에서 필요한 정지거리를 크게 줄인다.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무개입·정지·대피·속도 상한을 절제 비교하며, 동일 정책의 과도구간/정착 순항 2체제 분석으로 대피 잔존 위험이 감지 후 과도구간(감지~정착 속도 도달)에 집중됨 — FTTI 단축 필요성을 뒷받침하는 정량적 관찰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32~58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정착 속도에 도달하기 전의 감지 후 과도구간에 대피형 MRM의 잔존 위험이 집중됨을 조우 수준에서 실측하여(제5장 5~6절), FTTI 단축 — 더 이른 감지, 더 이른 감속 — 의 필요성을 뒷받침하는 정량적 관찰을 제공한다.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rPr>
        <w:tc>
          <w:tcPr>
            <w:tcW w:type="dxa" w:w="1215"/>
          </w:tcPr>
          <w:p>
            <w:pPr>
              <w:keepNext/>
              <w:spacing w:line="288" w:lineRule="auto" w:before="20" w:after="20"/>
              <w:jc w:val="center"/>
            </w:pPr>
            <w:r/>
            <w:r>
              <w:rPr>
                <w:rFonts w:ascii="HY신명조" w:hAnsi="HY신명조" w:eastAsia="HY신명조"/>
                <w:b/>
                <w:sz w:val="19"/>
              </w:rPr>
              <w:t>연구 계열 (대표 문헌)</w:t>
            </w:r>
          </w:p>
        </w:tc>
        <w:tc>
          <w:tcPr>
            <w:tcW w:type="dxa" w:w="1215"/>
          </w:tcPr>
          <w:p>
            <w:pPr>
              <w:keepNext/>
              <w:spacing w:line="288" w:lineRule="auto" w:before="20" w:after="20"/>
              <w:jc w:val="center"/>
            </w:pPr>
            <w:r/>
            <w:r>
              <w:rPr>
                <w:rFonts w:ascii="HY신명조" w:hAnsi="HY신명조" w:eastAsia="HY신명조"/>
                <w:b/>
                <w:sz w:val="19"/>
              </w:rPr>
              <w:t>고장</w:t>
            </w:r>
          </w:p>
          <w:p>
            <w:pPr>
              <w:keepNext/>
              <w:spacing w:line="288" w:lineRule="auto" w:before="20" w:after="20"/>
              <w:jc w:val="center"/>
            </w:pPr>
            <w:r>
              <w:rPr>
                <w:rFonts w:ascii="HY신명조" w:hAnsi="HY신명조" w:eastAsia="HY신명조"/>
                <w:b/>
                <w:sz w:val="19"/>
              </w:rPr>
              <w:t>감지</w:t>
            </w:r>
          </w:p>
        </w:tc>
        <w:tc>
          <w:tcPr>
            <w:tcW w:type="dxa" w:w="1215"/>
          </w:tcPr>
          <w:p>
            <w:pPr>
              <w:keepNext/>
              <w:spacing w:line="288" w:lineRule="auto" w:before="20" w:after="20"/>
              <w:jc w:val="center"/>
            </w:pPr>
            <w:r/>
            <w:r>
              <w:rPr>
                <w:rFonts w:ascii="HY신명조" w:hAnsi="HY신명조" w:eastAsia="HY신명조"/>
                <w:b/>
                <w:sz w:val="19"/>
              </w:rPr>
              <w:t>연속</w:t>
            </w:r>
          </w:p>
          <w:p>
            <w:pPr>
              <w:keepNext/>
              <w:spacing w:line="288" w:lineRule="auto" w:before="20" w:after="20"/>
              <w:jc w:val="center"/>
            </w:pPr>
            <w:r>
              <w:rPr>
                <w:rFonts w:ascii="HY신명조" w:hAnsi="HY신명조" w:eastAsia="HY신명조"/>
                <w:b/>
                <w:sz w:val="19"/>
              </w:rPr>
              <w:t>건강도</w:t>
            </w:r>
          </w:p>
        </w:tc>
        <w:tc>
          <w:tcPr>
            <w:tcW w:type="dxa" w:w="1215"/>
          </w:tcPr>
          <w:p>
            <w:pPr>
              <w:keepNext/>
              <w:spacing w:line="288" w:lineRule="auto" w:before="20" w:after="20"/>
              <w:jc w:val="center"/>
            </w:pPr>
            <w:r/>
            <w:r>
              <w:rPr>
                <w:rFonts w:ascii="HY신명조" w:hAnsi="HY신명조" w:eastAsia="HY신명조"/>
                <w:b/>
                <w:sz w:val="19"/>
              </w:rPr>
              <w:t>잔여능력</w:t>
            </w:r>
          </w:p>
          <w:p>
            <w:pPr>
              <w:keepNext/>
              <w:spacing w:line="288" w:lineRule="auto" w:before="20" w:after="20"/>
              <w:jc w:val="center"/>
            </w:pPr>
            <w:r>
              <w:rPr>
                <w:rFonts w:ascii="HY신명조" w:hAnsi="HY신명조" w:eastAsia="HY신명조"/>
                <w:b/>
                <w:sz w:val="19"/>
              </w:rPr>
              <w:t>평가</w:t>
            </w:r>
          </w:p>
        </w:tc>
        <w:tc>
          <w:tcPr>
            <w:tcW w:type="dxa" w:w="1215"/>
          </w:tcPr>
          <w:p>
            <w:pPr>
              <w:keepNext/>
              <w:spacing w:line="288" w:lineRule="auto" w:before="20" w:after="20"/>
              <w:jc w:val="center"/>
            </w:pPr>
            <w:r/>
            <w:r>
              <w:rPr>
                <w:rFonts w:ascii="HY신명조" w:hAnsi="HY신명조" w:eastAsia="HY신명조"/>
                <w:b/>
                <w:sz w:val="19"/>
              </w:rPr>
              <w:t>단계적</w:t>
            </w:r>
          </w:p>
          <w:p>
            <w:pPr>
              <w:keepNext/>
              <w:spacing w:line="288" w:lineRule="auto" w:before="20" w:after="20"/>
              <w:jc w:val="center"/>
            </w:pPr>
            <w:r>
              <w:rPr>
                <w:rFonts w:ascii="HY신명조" w:hAnsi="HY신명조" w:eastAsia="HY신명조"/>
                <w:b/>
                <w:sz w:val="19"/>
              </w:rPr>
              <w:t>MRM 선택</w:t>
            </w:r>
          </w:p>
        </w:tc>
        <w:tc>
          <w:tcPr>
            <w:tcW w:type="dxa" w:w="1215"/>
          </w:tcPr>
          <w:p>
            <w:pPr>
              <w:keepNext/>
              <w:spacing w:line="288" w:lineRule="auto" w:before="20" w:after="20"/>
              <w:jc w:val="center"/>
            </w:pPr>
            <w:r/>
            <w:r>
              <w:rPr>
                <w:rFonts w:ascii="HY신명조" w:hAnsi="HY신명조" w:eastAsia="HY신명조"/>
                <w:b/>
                <w:sz w:val="19"/>
              </w:rPr>
              <w:t>속도</w:t>
            </w:r>
          </w:p>
          <w:p>
            <w:pPr>
              <w:keepNext/>
              <w:spacing w:line="288" w:lineRule="auto" w:before="20" w:after="20"/>
              <w:jc w:val="center"/>
            </w:pPr>
            <w:r>
              <w:rPr>
                <w:rFonts w:ascii="HY신명조" w:hAnsi="HY신명조" w:eastAsia="HY신명조"/>
                <w:b/>
                <w:sz w:val="19"/>
              </w:rPr>
              <w:t>제한 이동</w:t>
            </w:r>
          </w:p>
        </w:tc>
        <w:tc>
          <w:tcPr>
            <w:tcW w:type="dxa" w:w="1215"/>
          </w:tcPr>
          <w:p>
            <w:pPr>
              <w:keepNext/>
              <w:spacing w:line="288" w:lineRule="auto" w:before="20" w:after="20"/>
              <w:jc w:val="center"/>
            </w:pPr>
            <w:r/>
            <w:r>
              <w:rPr>
                <w:rFonts w:ascii="HY신명조" w:hAnsi="HY신명조" w:eastAsia="HY신명조"/>
                <w:b/>
                <w:sz w:val="19"/>
              </w:rPr>
              <w:t>조우 수준</w:t>
            </w:r>
          </w:p>
          <w:p>
            <w:pPr>
              <w:keepNext/>
              <w:spacing w:line="288" w:lineRule="auto" w:before="20" w:after="20"/>
              <w:jc w:val="center"/>
            </w:pPr>
            <w:r>
              <w:rPr>
                <w:rFonts w:ascii="HY신명조" w:hAnsi="HY신명조" w:eastAsia="HY신명조"/>
                <w:b/>
                <w:sz w:val="19"/>
              </w:rPr>
              <w:t>폐루프 실증</w:t>
            </w:r>
          </w:p>
        </w:tc>
      </w:tr>
      <w:tr>
        <w:trPr>
          <w:cantSplit/>
        </w:trPr>
        <w:tc>
          <w:tcPr>
            <w:tcW w:type="dxa" w:w="1215"/>
          </w:tcPr>
          <w:p>
            <w:pPr>
              <w:keepNext/>
              <w:spacing w:line="288" w:lineRule="auto" w:before="20" w:after="20"/>
              <w:jc w:val="left"/>
            </w:pPr>
            <w:r/>
            <w:r>
              <w:rPr>
                <w:rFonts w:ascii="HY신명조" w:hAnsi="HY신명조" w:eastAsia="HY신명조"/>
                <w:b w:val="0"/>
                <w:sz w:val="19"/>
              </w:rPr>
              <w:t>표준·규제 [1-7][51][60]</w:t>
            </w:r>
          </w:p>
        </w:tc>
        <w:tc>
          <w:tcPr>
            <w:tcW w:type="dxa" w:w="1215"/>
          </w:tcPr>
          <w:p>
            <w:pPr>
              <w:keepNext/>
              <w:spacing w:line="288" w:lineRule="auto" w:before="20" w:after="20"/>
              <w:jc w:val="left"/>
            </w:pPr>
            <w:r/>
            <w:r>
              <w:rPr>
                <w:rFonts w:ascii="HY신명조" w:hAnsi="HY신명조" w:eastAsia="HY신명조"/>
                <w:b w:val="0"/>
                <w:sz w:val="19"/>
              </w:rPr>
              <w:t>요구만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△(유형 분류)</w:t>
            </w:r>
          </w:p>
        </w:tc>
        <w:tc>
          <w:tcPr>
            <w:tcW w:type="dxa" w:w="1215"/>
          </w:tcPr>
          <w:p>
            <w:pPr>
              <w:keepNext/>
              <w:spacing w:line="288" w:lineRule="auto" w:before="20" w:after="20"/>
              <w:jc w:val="left"/>
            </w:pPr>
            <w:r/>
            <w:r>
              <w:rPr>
                <w:rFonts w:ascii="HY신명조" w:hAnsi="HY신명조" w:eastAsia="HY신명조"/>
                <w:b w:val="0"/>
                <w:sz w:val="19"/>
              </w:rPr>
              <w:t>△(산업 도메인)</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고전 FDI·변화감지 [12-17]</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△(잔차 크기)</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 열화 모델·정량화 [20-29][53-59]</w:t>
            </w:r>
          </w:p>
        </w:tc>
        <w:tc>
          <w:tcPr>
            <w:tcW w:type="dxa" w:w="1215"/>
          </w:tcPr>
          <w:p>
            <w:pPr>
              <w:keepNext/>
              <w:spacing w:line="288" w:lineRule="auto" w:before="20" w:after="20"/>
              <w:jc w:val="left"/>
            </w:pPr>
            <w:r/>
            <w:r>
              <w:rPr>
                <w:rFonts w:ascii="HY신명조" w:hAnsi="HY신명조" w:eastAsia="HY신명조"/>
                <w:b w:val="0"/>
                <w:sz w:val="19"/>
              </w:rPr>
              <w:t>○(오프라인)</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Fail-safe 궤적 계획 [30-32]</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△(정지 궤적)</w:t>
            </w:r>
          </w:p>
        </w:tc>
        <w:tc>
          <w:tcPr>
            <w:tcW w:type="dxa" w:w="1215"/>
          </w:tcPr>
          <w:p>
            <w:pPr>
              <w:keepNext/>
              <w:spacing w:line="288" w:lineRule="auto" w:before="20" w:after="20"/>
              <w:jc w:val="left"/>
            </w:pPr>
            <w:r/>
            <w:r>
              <w:rPr>
                <w:rFonts w:ascii="HY신명조" w:hAnsi="HY신명조" w:eastAsia="HY신명조"/>
                <w:b w:val="0"/>
                <w:sz w:val="19"/>
              </w:rPr>
              <w:t>△(감속 계획)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폴백 전략 (Emzivat [33])</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△(TTC 감속)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센서고장 전제형 대피·적응형 MRM</w:t>
            </w:r>
          </w:p>
          <w:p>
            <w:pPr>
              <w:keepNext/>
              <w:spacing w:line="288" w:lineRule="auto" w:before="20" w:after="20"/>
              <w:jc w:val="left"/>
            </w:pPr>
            <w:r>
              <w:rPr>
                <w:rFonts w:ascii="HY신명조" w:hAnsi="HY신명조" w:eastAsia="HY신명조"/>
                <w:b w:val="0"/>
                <w:sz w:val="19"/>
              </w:rPr>
              <w:t>(Xue [49][50]; Tang [48])</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△(잔존 센서)</w:t>
            </w:r>
          </w:p>
        </w:tc>
        <w:tc>
          <w:tcPr>
            <w:tcW w:type="dxa" w:w="1215"/>
          </w:tcPr>
          <w:p>
            <w:pPr>
              <w:keepNext/>
              <w:spacing w:line="288" w:lineRule="auto" w:before="20" w:after="20"/>
              <w:jc w:val="left"/>
            </w:pPr>
            <w:r/>
            <w:r>
              <w:rPr>
                <w:rFonts w:ascii="HY신명조" w:hAnsi="HY신명조" w:eastAsia="HY신명조"/>
                <w:b w:val="0"/>
                <w:sz w:val="19"/>
              </w:rPr>
              <w:t>○(적응 선택)</w:t>
            </w:r>
          </w:p>
        </w:tc>
        <w:tc>
          <w:tcPr>
            <w:tcW w:type="dxa" w:w="1215"/>
          </w:tcPr>
          <w:p>
            <w:pPr>
              <w:keepNext/>
              <w:spacing w:line="288" w:lineRule="auto" w:before="20" w:after="20"/>
              <w:jc w:val="left"/>
            </w:pPr>
            <w:r/>
            <w:r>
              <w:rPr>
                <w:rFonts w:ascii="HY신명조" w:hAnsi="HY신명조" w:eastAsia="HY신명조"/>
                <w:b w:val="0"/>
                <w:sz w:val="19"/>
              </w:rPr>
              <w:t>△(감속 행동)</w:t>
            </w:r>
          </w:p>
        </w:tc>
        <w:tc>
          <w:tcPr>
            <w:tcW w:type="dxa" w:w="1215"/>
          </w:tcPr>
          <w:p>
            <w:pPr>
              <w:keepNext/>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keepNext/>
              <w:spacing w:line="288" w:lineRule="auto" w:before="20" w:after="20"/>
              <w:jc w:val="left"/>
            </w:pPr>
            <w:r/>
            <w:r>
              <w:rPr>
                <w:rFonts w:ascii="HY신명조" w:hAnsi="HY신명조" w:eastAsia="HY신명조"/>
                <w:b w:val="0"/>
                <w:sz w:val="19"/>
              </w:rPr>
              <w:t>능력 기반 자기감시 [34-36]</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○(능력 수준)</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순정 Autoware 진단·MRM [18]</w:t>
            </w:r>
          </w:p>
        </w:tc>
        <w:tc>
          <w:tcPr>
            <w:tcW w:type="dxa" w:w="1215"/>
          </w:tcPr>
          <w:p>
            <w:pPr>
              <w:keepNext/>
              <w:spacing w:line="288" w:lineRule="auto" w:before="20" w:after="20"/>
              <w:jc w:val="left"/>
            </w:pPr>
            <w:r/>
            <w:r>
              <w:rPr>
                <w:rFonts w:ascii="HY신명조" w:hAnsi="HY신명조" w:eastAsia="HY신명조"/>
                <w:b w:val="0"/>
                <w:sz w:val="19"/>
              </w:rPr>
              <w:t>△(타임아웃·범위)</w:t>
            </w:r>
          </w:p>
        </w:tc>
        <w:tc>
          <w:tcPr>
            <w:tcW w:type="dxa" w:w="1215"/>
          </w:tcPr>
          <w:p>
            <w:pPr>
              <w:keepNext/>
              <w:spacing w:line="288" w:lineRule="auto" w:before="20" w:after="20"/>
              <w:jc w:val="left"/>
            </w:pPr>
            <w:r/>
            <w:r>
              <w:rPr>
                <w:rFonts w:ascii="HY신명조" w:hAnsi="HY신명조" w:eastAsia="HY신명조"/>
                <w:b w:val="0"/>
                <w:sz w:val="19"/>
              </w:rPr>
              <w:t>×(이진)</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△(정차 유형만)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고장 주입 평가 [43-47]</w:t>
            </w:r>
          </w:p>
        </w:tc>
        <w:tc>
          <w:tcPr>
            <w:tcW w:type="dxa" w:w="1215"/>
          </w:tcPr>
          <w:p>
            <w:pPr>
              <w:keepNext/>
              <w:spacing w:line="288" w:lineRule="auto" w:before="20" w:after="20"/>
              <w:jc w:val="left"/>
            </w:pPr>
            <w:r/>
            <w:r>
              <w:rPr>
                <w:rFonts w:ascii="HY신명조" w:hAnsi="HY신명조" w:eastAsia="HY신명조"/>
                <w:b w:val="0"/>
                <w:sz w:val="19"/>
              </w:rPr>
              <w:t>×(주입 측)</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320561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320561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장면(실사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gm</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A1↔A4(해당 조우 조건에서 제안 대피 정책 전체 구성의 효과), A3↔A4(명시적 속도 상한의 증분) — 에만 적용하며, 쌍대 이항 자료이므로 exact McNemar 검정을 사용한다(n=10의 소표본에서 exact McNemar의 p값은 이산적으로 변한다: 불일치쌍이 한 방향으로만 발생하는 경우 5:0은 p=0.0625로 유의하지 않으며, 6:0부터 p=0.03125로 0.05 미만에 도달하고, 8:0이면 p=0.0078이다).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T_lat-clear의 분석 규칙은 다음과 같이 정의하였다: 충돌은 차선 반환의 경쟁(실패) 사건으로 별도 보고하며 시간분포에 포함하지 않는다; 시간분포는 무충돌 대피 케이스에 조건부로 산출하고, 관찰 종료(지평 도달 또는 로그 종료)만 우측 중도절단으로 처리한다;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회복가능속도 v_max≈3.89 m/s 역산 하회.</w:t>
            </w:r>
          </w:p>
          <w:p>
            <w:pPr>
              <w:keepNext/>
              <w:spacing w:line="288" w:lineRule="auto" w:before="20" w:after="20"/>
              <w:jc w:val="left"/>
            </w:pPr>
            <w:r>
              <w:rPr>
                <w:rFonts w:ascii="HY신명조" w:hAnsi="HY신명조" w:eastAsia="HY신명조"/>
                <w:b w:val="0"/>
                <w:sz w:val="19"/>
              </w:rPr>
              <w:t>건강도 비례 캡 clamp(10·health, 3, 7)은 구현되었으나 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w:t>
            </w:r>
          </w:p>
          <w:p>
            <w:pPr>
              <w:keepNext/>
              <w:spacing w:line="288" w:lineRule="auto" w:before="20" w:after="20"/>
              <w:jc w:val="left"/>
            </w:pPr>
            <w:r>
              <w:rPr>
                <w:rFonts w:ascii="HY신명조" w:hAnsi="HY신명조" w:eastAsia="HY신명조"/>
                <w:b w:val="0"/>
                <w:sz w:val="19"/>
              </w:rPr>
              <w:t>τ는 실효 위험 대응 지연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스폰 직후 실측 1.1~1.3 m/s — 괴리는 제6장 6절에 명시</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모델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고장</w:t>
            </w:r>
          </w:p>
        </w:tc>
        <w:tc>
          <w:tcPr>
            <w:tcW w:type="dxa" w:w="1701"/>
          </w:tcPr>
          <w:p>
            <w:pPr>
              <w:keepNext/>
              <w:spacing w:line="288" w:lineRule="auto" w:before="20" w:after="20"/>
              <w:jc w:val="center"/>
            </w:pPr>
            <w:r/>
            <w:r>
              <w:rPr>
                <w:rFonts w:ascii="HY신명조" w:hAnsi="HY신명조" w:eastAsia="HY신명조"/>
                <w:b/>
                <w:sz w:val="19"/>
              </w:rPr>
              <w:t>심각도</w:t>
            </w:r>
          </w:p>
        </w:tc>
        <w:tc>
          <w:tcPr>
            <w:tcW w:type="dxa" w:w="1701"/>
          </w:tcPr>
          <w:p>
            <w:pPr>
              <w:keepNext/>
              <w:spacing w:line="288" w:lineRule="auto" w:before="20" w:after="20"/>
              <w:jc w:val="center"/>
            </w:pPr>
            <w:r/>
            <w:r>
              <w:rPr>
                <w:rFonts w:ascii="HY신명조" w:hAnsi="HY신명조" w:eastAsia="HY신명조"/>
                <w:b/>
                <w:sz w:val="19"/>
              </w:rPr>
              <w:t>n</w:t>
            </w:r>
          </w:p>
        </w:tc>
        <w:tc>
          <w:tcPr>
            <w:tcW w:type="dxa" w:w="1701"/>
          </w:tcPr>
          <w:p>
            <w:pPr>
              <w:keepNext/>
              <w:spacing w:line="288" w:lineRule="auto" w:before="20" w:after="20"/>
              <w:jc w:val="center"/>
            </w:pPr>
            <w:r/>
            <w:r>
              <w:rPr>
                <w:rFonts w:ascii="HY신명조" w:hAnsi="HY신명조" w:eastAsia="HY신명조"/>
                <w:b/>
                <w:sz w:val="19"/>
              </w:rPr>
              <w:t>검출률</w:t>
            </w:r>
          </w:p>
        </w:tc>
        <w:tc>
          <w:tcPr>
            <w:tcW w:type="dxa" w:w="1701"/>
          </w:tcPr>
          <w:p>
            <w:pPr>
              <w:keepNext/>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keepNext/>
              <w:spacing w:line="288" w:lineRule="auto" w:before="20" w:after="20"/>
              <w:jc w:val="left"/>
            </w:pPr>
            <w:r/>
            <w:r>
              <w:rPr>
                <w:rFonts w:ascii="HY신명조" w:hAnsi="HY신명조" w:eastAsia="HY신명조"/>
                <w:b w:val="0"/>
                <w:sz w:val="19"/>
              </w:rPr>
              <w:t>cf 카메라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3.3</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4.4</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2.1</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3.7</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26</w:t>
            </w:r>
          </w:p>
        </w:tc>
        <w:tc>
          <w:tcPr>
            <w:tcW w:type="dxa" w:w="1701"/>
          </w:tcPr>
          <w:p>
            <w:pPr>
              <w:keepNext/>
              <w:spacing w:line="288" w:lineRule="auto" w:before="20" w:after="20"/>
              <w:jc w:val="left"/>
            </w:pPr>
            <w:r/>
            <w:r>
              <w:rPr>
                <w:rFonts w:ascii="HY신명조" w:hAnsi="HY신명조" w:eastAsia="HY신명조"/>
                <w:b w:val="0"/>
                <w:sz w:val="19"/>
              </w:rPr>
              <w:t>0.96</w:t>
            </w:r>
          </w:p>
        </w:tc>
        <w:tc>
          <w:tcPr>
            <w:tcW w:type="dxa" w:w="1701"/>
          </w:tcPr>
          <w:p>
            <w:pPr>
              <w:keepNext/>
              <w:spacing w:line="288" w:lineRule="auto" w:before="20" w:after="20"/>
              <w:jc w:val="left"/>
            </w:pPr>
            <w:r/>
            <w:r>
              <w:rPr>
                <w:rFonts w:ascii="HY신명조" w:hAnsi="HY신명조" w:eastAsia="HY신명조"/>
                <w:b w:val="0"/>
                <w:sz w:val="19"/>
              </w:rPr>
              <w:t>4.5</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lf 라이다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3.9</w:t>
            </w:r>
          </w:p>
        </w:tc>
      </w:tr>
      <w:tr>
        <w:trPr>
          <w:cantSplit/>
        </w:trPr>
        <w:tc>
          <w:tcPr>
            <w:tcW w:type="dxa" w:w="1701"/>
          </w:tcPr>
          <w:p>
            <w:pPr>
              <w:keepNext/>
              <w:spacing w:line="288" w:lineRule="auto" w:before="20" w:after="20"/>
              <w:jc w:val="left"/>
            </w:pPr>
            <w:r/>
            <w:r>
              <w:rPr>
                <w:rFonts w:ascii="HY신명조" w:hAnsi="HY신명조" w:eastAsia="HY신명조"/>
                <w:b w:val="0"/>
                <w:sz w:val="19"/>
              </w:rPr>
              <w:t>lso 라이다 희박화</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898833"/>
            <wp:docPr id="6" name="Picture 6"/>
            <wp:cNvGraphicFramePr>
              <a:graphicFrameLocks noChangeAspect="1"/>
            </wp:cNvGraphicFramePr>
            <a:graphic>
              <a:graphicData uri="http://schemas.openxmlformats.org/drawingml/2006/picture">
                <pic:pic>
                  <pic:nvPicPr>
                    <pic:cNvPr id="0" name="fig_health_traces.png"/>
                    <pic:cNvPicPr/>
                  </pic:nvPicPr>
                  <pic:blipFill>
                    <a:blip r:embed="rId20"/>
                    <a:stretch>
                      <a:fillRect/>
                    </a:stretch>
                  </pic:blipFill>
                  <pic:spPr>
                    <a:xfrm>
                      <a:off x="0" y="0"/>
                      <a:ext cx="5220000" cy="2898833"/>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상태 전이 입력 채널의 점수 대역 분리(이중 임계 0.7/0.3 병기). 실선은 감독자 상태 전이에 입력되는 perception 채널, 점선은 MRM 이동 게이트용 obstacle 채널이며, 두 채널은 동일 기록에서 같은 규칙으로 파싱하였다(워밍업·종말 아티팩트 절단 동일). 무고장(nf)의 perception은 워밍업 후 상단 임계 0.7을 하회하지 않아(실측 최저 0.71) 무고장 45케이스 오발동 0건과 정합한다. 라이다 희박화 중강도(lso-mid)의 perception은 임계 상방의 허용(정상) 대역에 머무르고, 고강도(lso-high)는 고장 주입 직후 임계 하방의 저점 대역으로 이탈한다.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점선으로 병기한 obstacle 채널은 상태 전이의 발동 채널이 아니라 MRM 이동 게이트 전용이며, 0.7 하방까지 내려오는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나머지 29건은 대피를 시도하지 않은 정차 위임(MRM_DEFER) 27건과 대피 기동 중 미완수 2건으로 구성되었다 — 위임은 시스템 실패가 아니라 "이 상태로는 이동이 위험하다"는 감독자의 의도된 정책 선택이며, 실제 기동 미완수는 2건이다. 대피 완료 비율을 낮추는 한 요인은 신호등 관측성 게이트의 의도된 보수성(신호를 읽지 못하는 차량을 신호 교차로 경유 후보에 보내지 않음)으로 후보가 줄어드는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7" name="Picture 7"/>
            <wp:cNvGraphicFramePr>
              <a:graphicFrameLocks noChangeAspect="1"/>
            </wp:cNvGraphicFramePr>
            <a:graphic>
              <a:graphicData uri="http://schemas.openxmlformats.org/drawingml/2006/picture">
                <pic:pic>
                  <pic:nvPicPr>
                    <pic:cNvPr id="0" name="fig_campaign_heatmap.png"/>
                    <pic:cNvPicPr/>
                  </pic:nvPicPr>
                  <pic:blipFill>
                    <a:blip r:embed="rId21"/>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완료 건수/전체 유효 케이스 수)이다. baseline은 설계상 차선 내 정지 정책이므로 대피 완료가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255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32~58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안전 위치 확보의 가능성을 제공한다.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8" name="Picture 8"/>
            <wp:cNvGraphicFramePr>
              <a:graphicFrameLocks noChangeAspect="1"/>
            </wp:cNvGraphicFramePr>
            <a:graphic>
              <a:graphicData uri="http://schemas.openxmlformats.org/drawingml/2006/picture">
                <pic:pic>
                  <pic:nvPicPr>
                    <pic:cNvPr id="0" name="fig_exposure.png"/>
                    <pic:cNvPicPr/>
                  </pic:nvPicPr>
                  <pic:blipFill>
                    <a:blip r:embed="rId22"/>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감지+대피(32~58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fig_final_campaign.png"/>
                    <pic:cNvPicPr/>
                  </pic:nvPicPr>
                  <pic:blipFill>
                    <a:blip r:embed="rId23"/>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7/10</w:t>
            </w:r>
          </w:p>
        </w:tc>
        <w:tc>
          <w:tcPr>
            <w:tcW w:type="dxa" w:w="2126"/>
          </w:tcPr>
          <w:p>
            <w:pPr>
              <w:keepNext/>
              <w:spacing w:line="288" w:lineRule="auto" w:before="20" w:after="20"/>
              <w:jc w:val="left"/>
            </w:pPr>
            <w:r/>
            <w:r>
              <w:rPr>
                <w:rFonts w:ascii="HY신명조" w:hAnsi="HY신명조" w:eastAsia="HY신명조"/>
                <w:b w:val="0"/>
                <w:sz w:val="19"/>
              </w:rPr>
              <w:t>70% [39.7, 89.2]</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0/10</w:t>
            </w:r>
          </w:p>
        </w:tc>
        <w:tc>
          <w:tcPr>
            <w:tcW w:type="dxa" w:w="2126"/>
          </w:tcPr>
          <w:p>
            <w:pPr>
              <w:keepNext/>
              <w:spacing w:line="288" w:lineRule="auto" w:before="20" w:after="20"/>
              <w:jc w:val="left"/>
            </w:pPr>
            <w:r/>
            <w:r>
              <w:rPr>
                <w:rFonts w:ascii="HY신명조" w:hAnsi="HY신명조" w:eastAsia="HY신명조"/>
                <w:b w:val="0"/>
                <w:sz w:val="19"/>
              </w:rPr>
              <w:t>0% [0.0, 27.8]</w:t>
            </w:r>
          </w:p>
        </w:tc>
        <w:tc>
          <w:tcPr>
            <w:tcW w:type="dxa" w:w="2126"/>
          </w:tcPr>
          <w:p>
            <w:pPr>
              <w:keepNext/>
              <w:spacing w:line="288" w:lineRule="auto" w:before="20" w:after="20"/>
              <w:jc w:val="left"/>
            </w:pPr>
            <w:r/>
            <w:r>
              <w:rPr>
                <w:rFonts w:ascii="HY신명조" w:hAnsi="HY신명조" w:eastAsia="HY신명조"/>
                <w:b w:val="0"/>
                <w:sz w:val="19"/>
              </w:rPr>
              <w:t>본 표본 최저 충돌률(0/10),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3/10</w:t>
            </w:r>
          </w:p>
        </w:tc>
        <w:tc>
          <w:tcPr>
            <w:tcW w:type="dxa" w:w="2126"/>
          </w:tcPr>
          <w:p>
            <w:pPr>
              <w:keepNext/>
              <w:spacing w:line="288" w:lineRule="auto" w:before="20" w:after="20"/>
              <w:jc w:val="left"/>
            </w:pPr>
            <w:r/>
            <w:r>
              <w:rPr>
                <w:rFonts w:ascii="HY신명조" w:hAnsi="HY신명조" w:eastAsia="HY신명조"/>
                <w:b w:val="0"/>
                <w:sz w:val="19"/>
              </w:rPr>
              <w:t>30% [10.8, 60.3]</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501" w:lineRule="exact" w:before="0" w:after="0"/>
      </w:pPr>
    </w:p>
    <w:p>
      <w:pPr>
        <w:spacing w:line="240" w:lineRule="auto"/>
        <w:jc w:val="center"/>
      </w:pPr>
      <w:r>
        <w:drawing>
          <wp:inline xmlns:a="http://schemas.openxmlformats.org/drawingml/2006/main" xmlns:pic="http://schemas.openxmlformats.org/drawingml/2006/picture">
            <wp:extent cx="5220000" cy="2030000"/>
            <wp:docPr id="10" name="Picture 10"/>
            <wp:cNvGraphicFramePr>
              <a:graphicFrameLocks noChangeAspect="1"/>
            </wp:cNvGraphicFramePr>
            <a:graphic>
              <a:graphicData uri="http://schemas.openxmlformats.org/drawingml/2006/picture">
                <pic:pic>
                  <pic:nvPicPr>
                    <pic:cNvPr id="0" name="fig_ablation_final.png"/>
                    <pic:cNvPicPr/>
                  </pic:nvPicPr>
                  <pic:blipFill>
                    <a:blip r:embed="rId24"/>
                    <a:stretch>
                      <a:fillRect/>
                    </a:stretch>
                  </pic:blipFill>
                  <pic:spPr>
                    <a:xfrm>
                      <a:off x="0" y="0"/>
                      <a:ext cx="5220000" cy="2030000"/>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A2(정지)를 제외한 3팔이 충돌한 가장 가혹한 실현이었으며, 정책 간 차이는 나머지 시드에서 발생했다. A2(정지)가 회피한 시드에서 대피 팔이 충돌한 사례(S03의 A4, S05의 A3·A4,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시드</w:t>
            </w:r>
          </w:p>
        </w:tc>
        <w:tc>
          <w:tcPr>
            <w:tcW w:type="dxa" w:w="1701"/>
          </w:tcPr>
          <w:p>
            <w:pPr>
              <w:keepNext/>
              <w:spacing w:line="288" w:lineRule="auto" w:before="20" w:after="20"/>
              <w:jc w:val="center"/>
            </w:pPr>
            <w:r/>
            <w:r>
              <w:rPr>
                <w:rFonts w:ascii="HY신명조" w:hAnsi="HY신명조" w:eastAsia="HY신명조"/>
                <w:b/>
                <w:sz w:val="19"/>
              </w:rPr>
              <w:t>A1 순정</w:t>
            </w:r>
          </w:p>
        </w:tc>
        <w:tc>
          <w:tcPr>
            <w:tcW w:type="dxa" w:w="1701"/>
          </w:tcPr>
          <w:p>
            <w:pPr>
              <w:keepNext/>
              <w:spacing w:line="288" w:lineRule="auto" w:before="20" w:after="20"/>
              <w:jc w:val="center"/>
            </w:pPr>
            <w:r/>
            <w:r>
              <w:rPr>
                <w:rFonts w:ascii="HY신명조" w:hAnsi="HY신명조" w:eastAsia="HY신명조"/>
                <w:b/>
                <w:sz w:val="19"/>
              </w:rPr>
              <w:t>A2 정지</w:t>
            </w:r>
          </w:p>
        </w:tc>
        <w:tc>
          <w:tcPr>
            <w:tcW w:type="dxa" w:w="1701"/>
          </w:tcPr>
          <w:p>
            <w:pPr>
              <w:keepNext/>
              <w:spacing w:line="288" w:lineRule="auto" w:before="20" w:after="20"/>
              <w:jc w:val="center"/>
            </w:pPr>
            <w:r/>
            <w:r>
              <w:rPr>
                <w:rFonts w:ascii="HY신명조" w:hAnsi="HY신명조" w:eastAsia="HY신명조"/>
                <w:b/>
                <w:sz w:val="19"/>
              </w:rPr>
              <w:t>A3 무캡 대피</w:t>
            </w:r>
          </w:p>
        </w:tc>
        <w:tc>
          <w:tcPr>
            <w:tcW w:type="dxa" w:w="1701"/>
          </w:tcPr>
          <w:p>
            <w:pPr>
              <w:keepNext/>
              <w:spacing w:line="288" w:lineRule="auto" w:before="20" w:after="20"/>
              <w:jc w:val="center"/>
            </w:pPr>
            <w:r/>
            <w:r>
              <w:rPr>
                <w:rFonts w:ascii="HY신명조" w:hAnsi="HY신명조" w:eastAsia="HY신명조"/>
                <w:b/>
                <w:sz w:val="19"/>
              </w:rPr>
              <w:t>A4 캡 대피</w:t>
            </w:r>
          </w:p>
        </w:tc>
      </w:tr>
      <w:tr>
        <w:trPr>
          <w:cantSplit/>
        </w:trPr>
        <w:tc>
          <w:tcPr>
            <w:tcW w:type="dxa" w:w="1701"/>
          </w:tcPr>
          <w:p>
            <w:pPr>
              <w:keepNext/>
              <w:spacing w:line="288" w:lineRule="auto" w:before="20" w:after="20"/>
              <w:jc w:val="left"/>
            </w:pPr>
            <w:r/>
            <w:r>
              <w:rPr>
                <w:rFonts w:ascii="HY신명조" w:hAnsi="HY신명조" w:eastAsia="HY신명조"/>
                <w:b w:val="0"/>
                <w:sz w:val="19"/>
              </w:rPr>
              <w:t>S02</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S03</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S04</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S05*</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S06</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S07</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S08</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S09</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S10</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S11</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0/10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7/10이 감지+즉시 정지에서 0/10으로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감속에 명시적 상계를 추가하는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37.2 m, A1 순정 50.0 m였다. 차선 반환 시간 T_lat-clear는 제4장 8절의 정의를 따라 산출한다. 표본은 절제 본 캠페인의 대피 팔 전체, 즉 S02~S11의 A3·A4 20케이스이다(S05의 A4는 동일 시드 재실행분으로 대체; 제4장 8절의 정의에 따라 비절제 케이스 — 개발 시드 S01과 거리 사다리 — 와 충돌 후 이탈 기록은 제외). 결과는 세 범주로 나뉜다: 충돌(반환 실패) 7건, 무충돌이며 관찰 지평 내 차선 이탈이 관측된 6건, 무충돌이나 지평 내 이탈이 관측되지 않은 7건(우측 중도절단). 검산하면 7+6+7=20이며, 충돌 7건은 표 5-5의 팔별 충돌 계(A3 3건+A4 4건)와 산술적으로 일치한다. 충돌 7건은 차선 반환의 경쟁(실패) 사건으로 별도 보고하고 시간분포에 포함하지 않는다. 무충돌 13케이스에 조건부로 산출한 시간분포에서 이탈 관측 6건의 관측 중앙값은 11.0 s이다. 관찰 지평 내 차선 반환이 관측된 비율은 6/13이며, Kaplan–Meier 생존곡선이 0.5를 하회하지 않아(최종 생존율 0.538) KM 추정 중앙값은 관찰 지평을 초과한다(미도달). 정지(A2)와 순정(A1)은 관찰 지평 내 차선 이탈이 0건이었다 — 이들은 우측 중도절단("지평 내 미반환")으로 표기하며 수치로 평균화하지 않는다. 요컨대 정지는 이동 노출이 0이지만 차선을 계속 점유하고, 대피는 중앙값 37.2 m의 통제된 저속 이동을 감수하며, 무충돌 대피 중 이탈이 관측된 케이스는 조우 후 약 11 s에 주행차선을 반환했다.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50.0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37.2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T_lat-clear는 제4장 8절의 정의를 따른다: 충돌은 차선 반환의 경쟁(실패) 사건으로 별도 보고하고, 시간분포는 무충돌 케이스에 조건부로 산출하며, 관찰 종료만 우측 중도절단한다. 대피 팔 검산: ①+②+③ = 7+6+7 = 20이며 ①은 표 5-5의 팔별 충돌 계와 일치한다. 무충돌 13케이스 중 지평 내 반환 관측이 6/13으로 Kaplan–Meier 생존곡선이 0.5를 하회하지 않아(최종 생존율 0.538) KM 중앙값은 관찰 지평을 초과한다(미도달).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체제</w:t>
            </w:r>
          </w:p>
        </w:tc>
        <w:tc>
          <w:tcPr>
            <w:tcW w:type="dxa" w:w="2835"/>
          </w:tcPr>
          <w:p>
            <w:pPr>
              <w:keepNext/>
              <w:spacing w:line="288" w:lineRule="auto" w:before="20" w:after="20"/>
              <w:jc w:val="center"/>
            </w:pPr>
            <w:r/>
            <w:r>
              <w:rPr>
                <w:rFonts w:ascii="HY신명조" w:hAnsi="HY신명조" w:eastAsia="HY신명조"/>
                <w:b/>
                <w:sz w:val="19"/>
              </w:rPr>
              <w:t>조건</w:t>
            </w:r>
          </w:p>
        </w:tc>
        <w:tc>
          <w:tcPr>
            <w:tcW w:type="dxa" w:w="2835"/>
          </w:tcPr>
          <w:p>
            <w:pPr>
              <w:keepNext/>
              <w:spacing w:line="288" w:lineRule="auto" w:before="20" w:after="20"/>
              <w:jc w:val="center"/>
            </w:pPr>
            <w:r/>
            <w:r>
              <w:rPr>
                <w:rFonts w:ascii="HY신명조" w:hAnsi="HY신명조" w:eastAsia="HY신명조"/>
                <w:b/>
                <w:sz w:val="19"/>
              </w:rPr>
              <w:t>상한 대피(A4류) 충돌</w:t>
            </w:r>
          </w:p>
        </w:tc>
      </w:tr>
      <w:tr>
        <w:trPr>
          <w:cantSplit/>
        </w:trPr>
        <w:tc>
          <w:tcPr>
            <w:tcW w:type="dxa" w:w="2835"/>
          </w:tcPr>
          <w:p>
            <w:pPr>
              <w:keepNext/>
              <w:spacing w:line="288" w:lineRule="auto" w:before="20" w:after="20"/>
              <w:jc w:val="left"/>
            </w:pPr>
            <w:r/>
            <w:r>
              <w:rPr>
                <w:rFonts w:ascii="HY신명조" w:hAnsi="HY신명조" w:eastAsia="HY신명조"/>
                <w:b w:val="0"/>
                <w:sz w:val="19"/>
              </w:rPr>
              <w:t>과도구간</w:t>
            </w:r>
          </w:p>
        </w:tc>
        <w:tc>
          <w:tcPr>
            <w:tcW w:type="dxa" w:w="2835"/>
          </w:tcPr>
          <w:p>
            <w:pPr>
              <w:keepNext/>
              <w:spacing w:line="288" w:lineRule="auto" w:before="20" w:after="20"/>
              <w:jc w:val="left"/>
            </w:pPr>
            <w:r/>
            <w:r>
              <w:rPr>
                <w:rFonts w:ascii="HY신명조" w:hAnsi="HY신명조" w:eastAsia="HY신명조"/>
                <w:b w:val="0"/>
                <w:sz w:val="19"/>
              </w:rPr>
              <w:t>감지+3 s, 감속 미완 (절제 실험)</w:t>
            </w:r>
          </w:p>
        </w:tc>
        <w:tc>
          <w:tcPr>
            <w:tcW w:type="dxa" w:w="2835"/>
          </w:tcPr>
          <w:p>
            <w:pPr>
              <w:keepNext/>
              <w:spacing w:line="288" w:lineRule="auto" w:before="20" w:after="20"/>
              <w:jc w:val="left"/>
            </w:pPr>
            <w:r/>
            <w:r>
              <w:rPr>
                <w:rFonts w:ascii="HY신명조" w:hAnsi="HY신명조" w:eastAsia="HY신명조"/>
                <w:b w:val="0"/>
                <w:sz w:val="19"/>
              </w:rPr>
              <w:t>4/10</w:t>
            </w:r>
          </w:p>
        </w:tc>
      </w:tr>
      <w:tr>
        <w:trPr>
          <w:cantSplit/>
        </w:trP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성공한 경우의 차선 반환·더 안전한 최종 위치 확보 가능성(대피 측 이점)의 시간적 트레이드오프이며, 대피의 잔존 위험은 감지 후 과도구간 — 감지 시점부터 정착 속도 도달까지, 길이는 감속 소요 — 에 집중된다(과도 4/10 대 정착 0/8). 한편 고장 발생부터 감지를 거쳐 정착에 이르는 전체 고장 대응 위험 창의 길이는 감지 지연과 감속 소요의 합이므로, 더 이른 감지와 더 빠른 감속이 각각 이 전체 위험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가장 낮은 충돌률을 보였다 — 과도구간 발사라는 최악 조건에서도 무충돌(0/10)이었다. 그러나 그 대가는 차선 점유의 지속이며, 노출 실험이 보였듯 정지 차량은 고장이 해소될 때까지 교통류의 장애물로 남는다. 대피는 반대로 수십 m의 통제된 이동 노출과 과도구간의 잔존 충돌 위험을 감수하는 대신, 성공한 경우 차선을 반환하고 더 안전한 최종 위치로 이동할 수 있다.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여기서 시간축 용어를 둘로 구분한다. 감지 후 과도구간은 감지 시점(t_detect)부터 정착 속도 도달까지이며, 그 길이는 감속 소요이다 — 본 실험의 충돌이 집중된 구간이 이것이다. 전체 고장 대응 위험 창은 고장 발생부터 감지를 거쳐 정착 속도 도달까지이며, 그 길이는 T_detect + T_deceleration이다 — 식 (3-7)의 시간 예산 부등식이 관장하는 구간이 이것이다. 본 연구의 시간 분해(T_detect + T_deceleration)에서 핵심적으로 줄일 수 있는 두 항은 더 이른 감지(T_detect, 즉 FTTI 중 감지 시간 몫의 단축)와 더 급한 감속(T_deceleration의 단축 — 승차감·후방 위험과의 상충)이다. 본 결과는 "고장 감지는 빠를수록 좋다"는 일반론을 "대피의 잔존 위험은 감지 후 과도구간에 집중되며(과도구간 발사 4/10 대 정착 순항 0/8), 더 이른 감지와 더 빠른 감속은 전체 고장 대응 위험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불일치쌍이 한 방향으로만 발생해도 최소 6:0의 강한 비대칭이 있어야 p&lt;0.05에 도달하는 작은 표본이며,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평균적인 자연 감속에 의존하지 않고 명시적인 재가속 억제 상계를 제공한다는 점에 있다 — 대피 경로가 길거나 재가속 구간을 포함할 때 열화 상태의 속도가 다시 오르는 것을 막는, 계획 계층에 부여되는 상계 명령이다. 이는 폐루프 속도가 항상 3.0 m/s 이하임을 형식적으로 보장하는 장치가 아니며(과도구간 조우 속도 실측 3.5~3.8 m/s),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비율을 제한한 요인 중 하나는 의도된 보수성의 비용이다. 신호등 관측성 게이트는 "신호를 읽지 못하는 차량을 신호 교차로 경유 후보에 보내지 않는다"는 안전 원칙의 구현이지만, 카메라 계열 고장에서 후보 집합을 줄이는 방향으로 작용해 전체 유효 케이스 중 대피 완료 비율(cf 16/45)을 제한하는 요인이 된다.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대피가 완료되지 않은 케이스에는 판단 계층의 위임 선택(의도된 정지)과 실행 계층의 기동 미완수가 섞여 있다(cf에서는 위임 27건 대 기동 중 미완수 2건이며, 위임 사유를 게이트에 의한 후보 소진과 건강도 밴드로 분리하는 것은 현 로그 수준에서는 수행하지 않았다)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0/10,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4/10 대 정착 0/8) — 더 이른 감지와 더 빠른 감속이 전체 고장 대응 위험 창(감지 지연+감속 소요)을 축소할 것으로 실험적으로 뒷받침되며(인과 조작 실험은 아니다), FTTI 단축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32-58 m (detect + evacuate).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0/10,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the possibility, when evacuation succeeds, of clearing the lane to a safer final position, and the residual risk of evacuation concentrates in the detection-to-deceleration transient (4/10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