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jc w:val="center"/>
      </w:pPr>
      <w:r>
        <w:rPr>
          <w:rFonts w:ascii="Times New Roman" w:hAnsi="Times New Roman" w:eastAsia="HY신명조"/>
          <w:b w:val="0"/>
          <w:sz w:val="26"/>
        </w:rPr>
        <w:t>A thesis submitted to the Graduate School of Sungkyunkwan University</w:t>
      </w:r>
    </w:p>
    <w:p>
      <w:pPr>
        <w:spacing w:line="360" w:lineRule="auto" w:before="0" w:after="0"/>
        <w:jc w:val="center"/>
      </w:pPr>
      <w:r>
        <w:rPr>
          <w:rFonts w:ascii="Times New Roman" w:hAnsi="Times New Roman" w:eastAsia="HY신명조"/>
          <w:b w:val="0"/>
          <w:sz w:val="26"/>
        </w:rPr>
        <w:t>in partial fulfillment of the requirements for the degree of</w:t>
      </w:r>
    </w:p>
    <w:p>
      <w:pPr>
        <w:spacing w:line="360" w:lineRule="auto" w:before="0" w:after="0"/>
        <w:jc w:val="center"/>
      </w:pPr>
      <w:r>
        <w:rPr>
          <w:rFonts w:ascii="Times New Roman" w:hAnsi="Times New Roman" w:eastAsia="HY신명조"/>
          <w:b w:val="0"/>
          <w:sz w:val="26"/>
        </w:rPr>
        <w:t>Master of Science in Engineering</w:t>
      </w:r>
    </w:p>
    <w:p>
      <w:pPr>
        <w:spacing w:line="360" w:lineRule="auto" w:before="0" w:after="0"/>
      </w:pPr>
    </w:p>
    <w:p>
      <w:pPr>
        <w:spacing w:line="360" w:lineRule="auto" w:before="0" w:after="0"/>
        <w:jc w:val="center"/>
      </w:pPr>
      <w:r>
        <w:rPr>
          <w:rFonts w:ascii="Times New Roman" w:hAnsi="Times New Roman" w:eastAsia="HY신명조"/>
          <w:b w:val="0"/>
          <w:sz w:val="28"/>
        </w:rPr>
        <w:t>April 2026</w:t>
      </w: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sz w:val="32"/>
        </w:rPr>
        <w:t>This certifies that the master's thesis</w:t>
      </w:r>
    </w:p>
    <w:p>
      <w:pPr>
        <w:spacing w:line="501" w:lineRule="exact" w:before="0" w:after="0"/>
        <w:jc w:val="center"/>
      </w:pPr>
      <w:r>
        <w:rPr>
          <w:rFonts w:ascii="Times New Roman" w:hAnsi="Times New Roman" w:eastAsia="HY신명조"/>
          <w:b/>
          <w:sz w:val="32"/>
        </w:rPr>
        <w:t>of ○ ○ ○ is approved.</w:t>
      </w: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val="0"/>
          <w:sz w:val="32"/>
        </w:rPr>
        <w:t>June 2026</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Times New Roman" w:hAnsi="Times New Roman" w:eastAsia="HY신명조"/>
          <w:b w:val="0"/>
          <w:sz w:val="28"/>
        </w:rPr>
        <w:t>Committee Chair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Times New Roman" w:hAnsi="Times New Roman" w:eastAsia="HY신명조"/>
          <w:b/>
          <w:sz w:val="32"/>
        </w:rPr>
        <w:t>Table of Contents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Chapter 1. Introduction</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1. Research Background</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2. Research Questions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3. Contributions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4. Thesis Organization</w:t>
      </w:r>
      <w:r>
        <w:rPr>
          <w:rFonts w:ascii="Times New Roman" w:hAnsi="Times New Roman" w:eastAsia="HY신명조"/>
          <w:b w:val="0"/>
          <w:sz w:val="22"/>
        </w:rPr>
        <w:tab/>
        <w:t>6</w:t>
      </w:r>
    </w:p>
    <w:p>
      <w:pPr>
        <w:tabs>
          <w:tab w:pos="8504" w:val="right" w:leader="dot"/>
        </w:tabs>
        <w:spacing w:line="501" w:lineRule="exact"/>
        <w:ind w:left="0"/>
      </w:pPr>
      <w:r>
        <w:rPr>
          <w:rFonts w:ascii="Times New Roman" w:hAnsi="Times New Roman" w:eastAsia="HY신명조"/>
          <w:b w:val="0"/>
          <w:sz w:val="22"/>
        </w:rPr>
        <w:t>Chapter 2. Background and Related Work</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1. Standards and Regulatory Frameworks</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2. FTTI and the Derivation of Time Budgets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3. Fault Detection Theory and Sensor Degradation Models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4. Fallback and MRM Planning</w:t>
      </w:r>
      <w:r>
        <w:rPr>
          <w:rFonts w:ascii="Times New Roman" w:hAnsi="Times New Roman" w:eastAsia="HY신명조"/>
          <w:b w:val="0"/>
          <w:sz w:val="22"/>
        </w:rPr>
        <w:tab/>
        <w:t>9</w:t>
      </w:r>
    </w:p>
    <w:p>
      <w:pPr>
        <w:tabs>
          <w:tab w:pos="7937" w:val="right" w:leader="dot"/>
        </w:tabs>
        <w:spacing w:line="501" w:lineRule="exact"/>
        <w:ind w:left="567"/>
      </w:pPr>
      <w:r>
        <w:rPr>
          <w:rFonts w:ascii="Times New Roman" w:hAnsi="Times New Roman" w:eastAsia="HY신명조"/>
          <w:b w:val="0"/>
          <w:sz w:val="22"/>
        </w:rPr>
        <w:t>5. Capability-Based Self-Monitoring and Runtime Monitoring</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6. Simulation-Based Evaluation and Fault Injection</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7. Comparison with Prior Work</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Chapter 3. Proposed System</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1. System Architecture</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2. Sensor Scoring</w:t>
      </w:r>
      <w:r>
        <w:rPr>
          <w:rFonts w:ascii="Times New Roman" w:hAnsi="Times New Roman" w:eastAsia="HY신명조"/>
          <w:b w:val="0"/>
          <w:sz w:val="22"/>
        </w:rPr>
        <w:tab/>
        <w:t>16</w:t>
      </w:r>
    </w:p>
    <w:p>
      <w:pPr>
        <w:tabs>
          <w:tab w:pos="7937" w:val="right" w:leader="dot"/>
        </w:tabs>
        <w:spacing w:line="501" w:lineRule="exact"/>
        <w:ind w:left="567"/>
      </w:pPr>
      <w:r>
        <w:rPr>
          <w:rFonts w:ascii="Times New Roman" w:hAnsi="Times New Roman" w:eastAsia="HY신명조"/>
          <w:b w:val="0"/>
          <w:sz w:val="22"/>
        </w:rPr>
        <w:t>3. Spatial Sectors and Capability Synthesis</w:t>
      </w:r>
      <w:r>
        <w:rPr>
          <w:rFonts w:ascii="Times New Roman" w:hAnsi="Times New Roman" w:eastAsia="HY신명조"/>
          <w:b w:val="0"/>
          <w:sz w:val="22"/>
        </w:rPr>
        <w:tab/>
        <w:t>18</w:t>
      </w:r>
    </w:p>
    <w:p>
      <w:pPr>
        <w:tabs>
          <w:tab w:pos="7937" w:val="right" w:leader="dot"/>
        </w:tabs>
        <w:spacing w:line="501" w:lineRule="exact"/>
        <w:ind w:left="567"/>
      </w:pPr>
      <w:r>
        <w:rPr>
          <w:rFonts w:ascii="Times New Roman" w:hAnsi="Times New Roman" w:eastAsia="HY신명조"/>
          <w:b w:val="0"/>
          <w:sz w:val="22"/>
        </w:rPr>
        <w:t>4. Risk-Coupled Dynamic Detection Budget</w:t>
      </w:r>
      <w:r>
        <w:rPr>
          <w:rFonts w:ascii="Times New Roman" w:hAnsi="Times New Roman" w:eastAsia="HY신명조"/>
          <w:b w:val="0"/>
          <w:sz w:val="22"/>
        </w:rPr>
        <w:tab/>
        <w:t>19</w:t>
      </w:r>
    </w:p>
    <w:p>
      <w:pPr>
        <w:tabs>
          <w:tab w:pos="7937" w:val="right" w:leader="dot"/>
        </w:tabs>
        <w:spacing w:line="501" w:lineRule="exact"/>
        <w:ind w:left="567"/>
      </w:pPr>
      <w:r>
        <w:rPr>
          <w:rFonts w:ascii="Times New Roman" w:hAnsi="Times New Roman" w:eastAsia="HY신명조"/>
          <w:b w:val="0"/>
          <w:sz w:val="22"/>
        </w:rPr>
        <w:t>5. MRM Supervisor</w:t>
      </w:r>
      <w:r>
        <w:rPr>
          <w:rFonts w:ascii="Times New Roman" w:hAnsi="Times New Roman" w:eastAsia="HY신명조"/>
          <w:b w:val="0"/>
          <w:sz w:val="22"/>
        </w:rPr>
        <w:tab/>
        <w:t>21</w:t>
      </w:r>
    </w:p>
    <w:p>
      <w:pPr>
        <w:tabs>
          <w:tab w:pos="7937" w:val="right" w:leader="dot"/>
        </w:tabs>
        <w:spacing w:line="501" w:lineRule="exact"/>
        <w:ind w:left="567"/>
      </w:pPr>
      <w:r>
        <w:rPr>
          <w:rFonts w:ascii="Times New Roman" w:hAnsi="Times New Roman" w:eastAsia="HY신명조"/>
          <w:b w:val="0"/>
          <w:sz w:val="22"/>
        </w:rPr>
        <w:t>6. Remaining-Capability-Based Conservative Low-Speed MRM Movement (Speed Cap)</w:t>
      </w:r>
      <w:r>
        <w:rPr>
          <w:rFonts w:ascii="Times New Roman" w:hAnsi="Times New Roman" w:eastAsia="HY신명조"/>
          <w:b w:val="0"/>
          <w:sz w:val="22"/>
        </w:rPr>
        <w:tab/>
        <w:t>25</w:t>
      </w:r>
    </w:p>
    <w:p>
      <w:pPr>
        <w:tabs>
          <w:tab w:pos="7937" w:val="right" w:leader="dot"/>
        </w:tabs>
        <w:spacing w:line="501" w:lineRule="exact"/>
        <w:ind w:left="567"/>
      </w:pPr>
      <w:r>
        <w:rPr>
          <w:rFonts w:ascii="Times New Roman" w:hAnsi="Times New Roman" w:eastAsia="HY신명조"/>
          <w:b w:val="0"/>
          <w:sz w:val="22"/>
        </w:rPr>
        <w:t>7. MRM Candidate Map Annotation</w:t>
      </w:r>
      <w:r>
        <w:rPr>
          <w:rFonts w:ascii="Times New Roman" w:hAnsi="Times New Roman" w:eastAsia="HY신명조"/>
          <w:b w:val="0"/>
          <w:sz w:val="22"/>
        </w:rPr>
        <w:tab/>
        <w:t>26</w:t>
      </w:r>
    </w:p>
    <w:p>
      <w:pPr>
        <w:tabs>
          <w:tab w:pos="7937" w:val="right" w:leader="dot"/>
        </w:tabs>
        <w:spacing w:line="501" w:lineRule="exact"/>
        <w:ind w:left="567"/>
      </w:pPr>
      <w:r>
        <w:rPr>
          <w:rFonts w:ascii="Times New Roman" w:hAnsi="Times New Roman" w:eastAsia="HY신명조"/>
          <w:b w:val="0"/>
          <w:sz w:val="22"/>
        </w:rPr>
        <w:t>8. Boundary and Interface with the Execution Layer</w:t>
      </w:r>
      <w:r>
        <w:rPr>
          <w:rFonts w:ascii="Times New Roman" w:hAnsi="Times New Roman" w:eastAsia="HY신명조"/>
          <w:b w:val="0"/>
          <w:sz w:val="22"/>
        </w:rPr>
        <w:tab/>
        <w:t>27</w:t>
      </w:r>
    </w:p>
    <w:p>
      <w:pPr>
        <w:tabs>
          <w:tab w:pos="8504" w:val="right" w:leader="dot"/>
        </w:tabs>
        <w:spacing w:line="501" w:lineRule="exact"/>
        <w:ind w:left="0"/>
      </w:pPr>
      <w:r>
        <w:rPr>
          <w:rFonts w:ascii="Times New Roman" w:hAnsi="Times New Roman" w:eastAsia="HY신명조"/>
          <w:b w:val="0"/>
          <w:sz w:val="22"/>
        </w:rPr>
        <w:t>Chapter 4. Experimental Environment and Design</w:t>
      </w:r>
      <w:r>
        <w:rPr>
          <w:rFonts w:ascii="Times New Roman" w:hAnsi="Times New Roman" w:eastAsia="HY신명조"/>
          <w:b w:val="0"/>
          <w:sz w:val="22"/>
        </w:rPr>
        <w:tab/>
        <w:t>28</w:t>
      </w:r>
    </w:p>
    <w:p>
      <w:pPr>
        <w:tabs>
          <w:tab w:pos="7937" w:val="right" w:leader="dot"/>
        </w:tabs>
        <w:spacing w:line="501" w:lineRule="exact"/>
        <w:ind w:left="567"/>
      </w:pPr>
      <w:r>
        <w:rPr>
          <w:rFonts w:ascii="Times New Roman" w:hAnsi="Times New Roman" w:eastAsia="HY신명조"/>
          <w:b w:val="0"/>
          <w:sz w:val="22"/>
        </w:rPr>
        <w:t>1. Experimental Environment</w:t>
      </w:r>
      <w:r>
        <w:rPr>
          <w:rFonts w:ascii="Times New Roman" w:hAnsi="Times New Roman" w:eastAsia="HY신명조"/>
          <w:b w:val="0"/>
          <w:sz w:val="22"/>
        </w:rPr>
        <w:tab/>
        <w:t>28</w:t>
      </w:r>
    </w:p>
    <w:p>
      <w:pPr>
        <w:tabs>
          <w:tab w:pos="7937" w:val="right" w:leader="dot"/>
        </w:tabs>
        <w:spacing w:line="501" w:lineRule="exact"/>
        <w:ind w:left="567"/>
      </w:pPr>
      <w:r>
        <w:rPr>
          <w:rFonts w:ascii="Times New Roman" w:hAnsi="Times New Roman" w:eastAsia="HY신명조"/>
          <w:b w:val="0"/>
          <w:sz w:val="22"/>
        </w:rPr>
        <w:t>2. Fault Model</w:t>
      </w:r>
      <w:r>
        <w:rPr>
          <w:rFonts w:ascii="Times New Roman" w:hAnsi="Times New Roman" w:eastAsia="HY신명조"/>
          <w:b w:val="0"/>
          <w:sz w:val="22"/>
        </w:rPr>
        <w:tab/>
        <w:t>30</w:t>
      </w:r>
    </w:p>
    <w:p>
      <w:pPr>
        <w:tabs>
          <w:tab w:pos="7937" w:val="right" w:leader="dot"/>
        </w:tabs>
        <w:spacing w:line="501" w:lineRule="exact"/>
        <w:ind w:left="567"/>
      </w:pPr>
      <w:r>
        <w:rPr>
          <w:rFonts w:ascii="Times New Roman" w:hAnsi="Times New Roman" w:eastAsia="HY신명조"/>
          <w:b w:val="0"/>
          <w:sz w:val="22"/>
        </w:rPr>
        <w:t>3. Main Campaign Matrix</w:t>
      </w:r>
      <w:r>
        <w:rPr>
          <w:rFonts w:ascii="Times New Roman" w:hAnsi="Times New Roman" w:eastAsia="HY신명조"/>
          <w:b w:val="0"/>
          <w:sz w:val="22"/>
        </w:rPr>
        <w:tab/>
        <w:t>32</w:t>
      </w:r>
    </w:p>
    <w:p>
      <w:pPr>
        <w:tabs>
          <w:tab w:pos="7937" w:val="right" w:leader="dot"/>
        </w:tabs>
        <w:spacing w:line="501" w:lineRule="exact"/>
        <w:ind w:left="567"/>
      </w:pPr>
      <w:r>
        <w:rPr>
          <w:rFonts w:ascii="Times New Roman" w:hAnsi="Times New Roman" w:eastAsia="HY신명조"/>
          <w:b w:val="0"/>
          <w:sz w:val="22"/>
        </w:rPr>
        <w:t>4. Pedestrian Dart-out Encounter Injector</w:t>
      </w:r>
      <w:r>
        <w:rPr>
          <w:rFonts w:ascii="Times New Roman" w:hAnsi="Times New Roman" w:eastAsia="HY신명조"/>
          <w:b w:val="0"/>
          <w:sz w:val="22"/>
        </w:rPr>
        <w:tab/>
        <w:t>34</w:t>
      </w:r>
    </w:p>
    <w:p>
      <w:pPr>
        <w:tabs>
          <w:tab w:pos="7937" w:val="right" w:leader="dot"/>
        </w:tabs>
        <w:spacing w:line="501" w:lineRule="exact"/>
        <w:ind w:left="567"/>
      </w:pPr>
      <w:r>
        <w:rPr>
          <w:rFonts w:ascii="Times New Roman" w:hAnsi="Times New Roman" w:eastAsia="HY신명조"/>
          <w:b w:val="0"/>
          <w:sz w:val="22"/>
        </w:rPr>
        <w:t>5. Collision Adjudication Methodology</w:t>
      </w:r>
      <w:r>
        <w:rPr>
          <w:rFonts w:ascii="Times New Roman" w:hAnsi="Times New Roman" w:eastAsia="HY신명조"/>
          <w:b w:val="0"/>
          <w:sz w:val="22"/>
        </w:rPr>
        <w:tab/>
        <w:t>35</w:t>
      </w:r>
    </w:p>
    <w:p>
      <w:pPr>
        <w:tabs>
          <w:tab w:pos="7937" w:val="right" w:leader="dot"/>
        </w:tabs>
        <w:spacing w:line="501" w:lineRule="exact"/>
        <w:ind w:left="567"/>
      </w:pPr>
      <w:r>
        <w:rPr>
          <w:rFonts w:ascii="Times New Roman" w:hAnsi="Times New Roman" w:eastAsia="HY신명조"/>
          <w:b w:val="0"/>
          <w:sz w:val="22"/>
        </w:rPr>
        <w:t>6. Distance Ladder and 8 m Encounter Experiment Design</w:t>
      </w:r>
      <w:r>
        <w:rPr>
          <w:rFonts w:ascii="Times New Roman" w:hAnsi="Times New Roman" w:eastAsia="HY신명조"/>
          <w:b w:val="0"/>
          <w:sz w:val="22"/>
        </w:rPr>
        <w:tab/>
        <w:t>37</w:t>
      </w:r>
    </w:p>
    <w:p>
      <w:pPr>
        <w:tabs>
          <w:tab w:pos="7937" w:val="right" w:leader="dot"/>
        </w:tabs>
        <w:spacing w:line="501" w:lineRule="exact"/>
        <w:ind w:left="567"/>
      </w:pPr>
      <w:r>
        <w:rPr>
          <w:rFonts w:ascii="Times New Roman" w:hAnsi="Times New Roman" w:eastAsia="HY신명조"/>
          <w:b w:val="0"/>
          <w:sz w:val="22"/>
        </w:rPr>
        <w:t>7. Metrics and Statistics</w:t>
      </w:r>
      <w:r>
        <w:rPr>
          <w:rFonts w:ascii="Times New Roman" w:hAnsi="Times New Roman" w:eastAsia="HY신명조"/>
          <w:b w:val="0"/>
          <w:sz w:val="22"/>
        </w:rPr>
        <w:tab/>
        <w:t>38</w:t>
      </w:r>
    </w:p>
    <w:p>
      <w:pPr>
        <w:tabs>
          <w:tab w:pos="7937" w:val="right" w:leader="dot"/>
        </w:tabs>
        <w:spacing w:line="501" w:lineRule="exact"/>
        <w:ind w:left="567"/>
      </w:pPr>
      <w:r>
        <w:rPr>
          <w:rFonts w:ascii="Times New Roman" w:hAnsi="Times New Roman" w:eastAsia="HY신명조"/>
          <w:b w:val="0"/>
          <w:sz w:val="22"/>
        </w:rPr>
        <w:t>8. Reproducibility: Key Experimental Parameters</w:t>
      </w:r>
      <w:r>
        <w:rPr>
          <w:rFonts w:ascii="Times New Roman" w:hAnsi="Times New Roman" w:eastAsia="HY신명조"/>
          <w:b w:val="0"/>
          <w:sz w:val="22"/>
        </w:rPr>
        <w:tab/>
        <w:t>39</w:t>
      </w:r>
    </w:p>
    <w:p>
      <w:pPr>
        <w:tabs>
          <w:tab w:pos="8504" w:val="right" w:leader="dot"/>
        </w:tabs>
        <w:spacing w:line="501" w:lineRule="exact"/>
        <w:ind w:left="0"/>
      </w:pPr>
      <w:r>
        <w:rPr>
          <w:rFonts w:ascii="Times New Roman" w:hAnsi="Times New Roman" w:eastAsia="HY신명조"/>
          <w:b w:val="0"/>
          <w:sz w:val="22"/>
        </w:rPr>
        <w:t>Chapter 5. Experimental Results</w:t>
      </w:r>
      <w:r>
        <w:rPr>
          <w:rFonts w:ascii="Times New Roman" w:hAnsi="Times New Roman" w:eastAsia="HY신명조"/>
          <w:b w:val="0"/>
          <w:sz w:val="22"/>
        </w:rPr>
        <w:tab/>
        <w:t>42</w:t>
      </w:r>
    </w:p>
    <w:p>
      <w:pPr>
        <w:tabs>
          <w:tab w:pos="7937" w:val="right" w:leader="dot"/>
        </w:tabs>
        <w:spacing w:line="501" w:lineRule="exact"/>
        <w:ind w:left="567"/>
      </w:pPr>
      <w:r>
        <w:rPr>
          <w:rFonts w:ascii="Times New Roman" w:hAnsi="Times New Roman" w:eastAsia="HY신명조"/>
          <w:b w:val="0"/>
          <w:sz w:val="22"/>
        </w:rPr>
        <w:t>1. Main Campaign: Detection Performance and Per-Fault Monitoring and Evacuation Behavior</w:t>
      </w:r>
      <w:r>
        <w:rPr>
          <w:rFonts w:ascii="Times New Roman" w:hAnsi="Times New Roman" w:eastAsia="HY신명조"/>
          <w:b w:val="0"/>
          <w:sz w:val="22"/>
        </w:rPr>
        <w:tab/>
        <w:t>42</w:t>
      </w:r>
    </w:p>
    <w:p>
      <w:pPr>
        <w:tabs>
          <w:tab w:pos="7937" w:val="right" w:leader="dot"/>
        </w:tabs>
        <w:spacing w:line="501" w:lineRule="exact"/>
        <w:ind w:left="567"/>
      </w:pPr>
      <w:r>
        <w:rPr>
          <w:rFonts w:ascii="Times New Roman" w:hAnsi="Times New Roman" w:eastAsia="HY신명조"/>
          <w:b w:val="0"/>
          <w:sz w:val="22"/>
        </w:rPr>
        <w:t>2. Exposure Metric: Degraded-State Driving Distance</w:t>
      </w:r>
      <w:r>
        <w:rPr>
          <w:rFonts w:ascii="Times New Roman" w:hAnsi="Times New Roman" w:eastAsia="HY신명조"/>
          <w:b w:val="0"/>
          <w:sz w:val="22"/>
        </w:rPr>
        <w:tab/>
        <w:t>49</w:t>
      </w:r>
    </w:p>
    <w:p>
      <w:pPr>
        <w:tabs>
          <w:tab w:pos="7937" w:val="right" w:leader="dot"/>
        </w:tabs>
        <w:spacing w:line="501" w:lineRule="exact"/>
        <w:ind w:left="567"/>
      </w:pPr>
      <w:r>
        <w:rPr>
          <w:rFonts w:ascii="Times New Roman" w:hAnsi="Times New Roman" w:eastAsia="HY신명조"/>
          <w:b w:val="0"/>
          <w:sz w:val="22"/>
        </w:rPr>
        <w:t>3. Distance Ladder: Measuring the Avoidance/Collision Boundary</w:t>
      </w:r>
      <w:r>
        <w:rPr>
          <w:rFonts w:ascii="Times New Roman" w:hAnsi="Times New Roman" w:eastAsia="HY신명조"/>
          <w:b w:val="0"/>
          <w:sz w:val="22"/>
        </w:rPr>
        <w:tab/>
        <w:t>50</w:t>
      </w:r>
    </w:p>
    <w:p>
      <w:pPr>
        <w:tabs>
          <w:tab w:pos="7937" w:val="right" w:leader="dot"/>
        </w:tabs>
        <w:spacing w:line="501" w:lineRule="exact"/>
        <w:ind w:left="567"/>
      </w:pPr>
      <w:r>
        <w:rPr>
          <w:rFonts w:ascii="Times New Roman" w:hAnsi="Times New Roman" w:eastAsia="HY신명조"/>
          <w:b w:val="0"/>
          <w:sz w:val="22"/>
        </w:rPr>
        <w:t>4. The 8 m Encounter: Low-Speed MRM versus Stock</w:t>
      </w:r>
      <w:r>
        <w:rPr>
          <w:rFonts w:ascii="Times New Roman" w:hAnsi="Times New Roman" w:eastAsia="HY신명조"/>
          <w:b w:val="0"/>
          <w:sz w:val="22"/>
        </w:rPr>
        <w:tab/>
        <w:t>52</w:t>
      </w:r>
    </w:p>
    <w:p>
      <w:pPr>
        <w:tabs>
          <w:tab w:pos="7937" w:val="right" w:leader="dot"/>
        </w:tabs>
        <w:spacing w:line="501" w:lineRule="exact"/>
        <w:ind w:left="567"/>
      </w:pPr>
      <w:r>
        <w:rPr>
          <w:rFonts w:ascii="Times New Roman" w:hAnsi="Times New Roman" w:eastAsia="HY신명조"/>
          <w:b w:val="0"/>
          <w:sz w:val="22"/>
        </w:rPr>
        <w:t>5. Low-Speed Ladder: Shift of the Boundary</w:t>
      </w:r>
      <w:r>
        <w:rPr>
          <w:rFonts w:ascii="Times New Roman" w:hAnsi="Times New Roman" w:eastAsia="HY신명조"/>
          <w:b w:val="0"/>
          <w:sz w:val="22"/>
        </w:rPr>
        <w:tab/>
        <w:t>53</w:t>
      </w:r>
    </w:p>
    <w:p>
      <w:pPr>
        <w:tabs>
          <w:tab w:pos="7937" w:val="right" w:leader="dot"/>
        </w:tabs>
        <w:spacing w:line="501" w:lineRule="exact"/>
        <w:ind w:left="567"/>
      </w:pPr>
      <w:r>
        <w:rPr>
          <w:rFonts w:ascii="Times New Roman" w:hAnsi="Times New Roman" w:eastAsia="HY신명조"/>
          <w:b w:val="0"/>
          <w:sz w:val="22"/>
        </w:rPr>
        <w:t>6. Causal Verification of the Speed Cap: A Dose-Response Experiment on Settled Encounters</w:t>
      </w:r>
      <w:r>
        <w:rPr>
          <w:rFonts w:ascii="Times New Roman" w:hAnsi="Times New Roman" w:eastAsia="HY신명조"/>
          <w:b w:val="0"/>
          <w:sz w:val="22"/>
        </w:rPr>
        <w:tab/>
        <w:t>54</w:t>
      </w:r>
    </w:p>
    <w:p>
      <w:pPr>
        <w:tabs>
          <w:tab w:pos="7937" w:val="right" w:leader="dot"/>
        </w:tabs>
        <w:spacing w:line="501" w:lineRule="exact"/>
        <w:ind w:left="567"/>
      </w:pPr>
      <w:r>
        <w:rPr>
          <w:rFonts w:ascii="Times New Roman" w:hAnsi="Times New Roman" w:eastAsia="HY신명조"/>
          <w:b w:val="0"/>
          <w:sz w:val="22"/>
        </w:rPr>
        <w:t>7. Hard-Fail Decision Latency: Verifying the 1.5 s Deadline</w:t>
      </w:r>
      <w:r>
        <w:rPr>
          <w:rFonts w:ascii="Times New Roman" w:hAnsi="Times New Roman" w:eastAsia="HY신명조"/>
          <w:b w:val="0"/>
          <w:sz w:val="22"/>
        </w:rPr>
        <w:tab/>
        <w:t>56</w:t>
      </w:r>
    </w:p>
    <w:p>
      <w:pPr>
        <w:tabs>
          <w:tab w:pos="8504" w:val="right" w:leader="dot"/>
        </w:tabs>
        <w:spacing w:line="501" w:lineRule="exact"/>
        <w:ind w:left="0"/>
      </w:pPr>
      <w:r>
        <w:rPr>
          <w:rFonts w:ascii="Times New Roman" w:hAnsi="Times New Roman" w:eastAsia="HY신명조"/>
          <w:b w:val="0"/>
          <w:sz w:val="22"/>
        </w:rPr>
        <w:t>Chapter 6. Limitations and Discussion</w:t>
      </w:r>
      <w:r>
        <w:rPr>
          <w:rFonts w:ascii="Times New Roman" w:hAnsi="Times New Roman" w:eastAsia="HY신명조"/>
          <w:b w:val="0"/>
          <w:sz w:val="22"/>
        </w:rPr>
        <w:tab/>
        <w:t>58</w:t>
      </w:r>
    </w:p>
    <w:p>
      <w:pPr>
        <w:tabs>
          <w:tab w:pos="7937" w:val="right" w:leader="dot"/>
        </w:tabs>
        <w:spacing w:line="501" w:lineRule="exact"/>
        <w:ind w:left="567"/>
      </w:pPr>
      <w:r>
        <w:rPr>
          <w:rFonts w:ascii="Times New Roman" w:hAnsi="Times New Roman" w:eastAsia="HY신명조"/>
          <w:b w:val="0"/>
          <w:sz w:val="22"/>
        </w:rPr>
        <w:t>1. The Temporal Trade-off Between Stopping and Evacuation</w:t>
      </w:r>
      <w:r>
        <w:rPr>
          <w:rFonts w:ascii="Times New Roman" w:hAnsi="Times New Roman" w:eastAsia="HY신명조"/>
          <w:b w:val="0"/>
          <w:sz w:val="22"/>
        </w:rPr>
        <w:tab/>
        <w:t>58</w:t>
      </w:r>
    </w:p>
    <w:p>
      <w:pPr>
        <w:tabs>
          <w:tab w:pos="7937" w:val="right" w:leader="dot"/>
        </w:tabs>
        <w:spacing w:line="501" w:lineRule="exact"/>
        <w:ind w:left="567"/>
      </w:pPr>
      <w:r>
        <w:rPr>
          <w:rFonts w:ascii="Times New Roman" w:hAnsi="Times New Roman" w:eastAsia="HY신명조"/>
          <w:b w:val="0"/>
          <w:sz w:val="22"/>
        </w:rPr>
        <w:t>2. The Post-Detection Transient, the Overall Fault-Response Risk Window, and FTTI</w:t>
      </w:r>
      <w:r>
        <w:rPr>
          <w:rFonts w:ascii="Times New Roman" w:hAnsi="Times New Roman" w:eastAsia="HY신명조"/>
          <w:b w:val="0"/>
          <w:sz w:val="22"/>
        </w:rPr>
        <w:tab/>
        <w:t>58</w:t>
      </w:r>
    </w:p>
    <w:p>
      <w:pPr>
        <w:tabs>
          <w:tab w:pos="7937" w:val="right" w:leader="dot"/>
        </w:tabs>
        <w:spacing w:line="501" w:lineRule="exact"/>
        <w:ind w:left="567"/>
      </w:pPr>
      <w:r>
        <w:rPr>
          <w:rFonts w:ascii="Times New Roman" w:hAnsi="Times New Roman" w:eastAsia="HY신명조"/>
          <w:b w:val="0"/>
          <w:sz w:val="22"/>
        </w:rPr>
        <w:t>3. The Role of the Speed Cap: Causal Effect and Limits</w:t>
      </w:r>
      <w:r>
        <w:rPr>
          <w:rFonts w:ascii="Times New Roman" w:hAnsi="Times New Roman" w:eastAsia="HY신명조"/>
          <w:b w:val="0"/>
          <w:sz w:val="22"/>
        </w:rPr>
        <w:tab/>
        <w:t>59</w:t>
      </w:r>
    </w:p>
    <w:p>
      <w:pPr>
        <w:tabs>
          <w:tab w:pos="7937" w:val="right" w:leader="dot"/>
        </w:tabs>
        <w:spacing w:line="501" w:lineRule="exact"/>
        <w:ind w:left="567"/>
      </w:pPr>
      <w:r>
        <w:rPr>
          <w:rFonts w:ascii="Times New Roman" w:hAnsi="Times New Roman" w:eastAsia="HY신명조"/>
          <w:b w:val="0"/>
          <w:sz w:val="22"/>
        </w:rPr>
        <w:t>4. Lessons for Adjudication Methodology</w:t>
      </w:r>
      <w:r>
        <w:rPr>
          <w:rFonts w:ascii="Times New Roman" w:hAnsi="Times New Roman" w:eastAsia="HY신명조"/>
          <w:b w:val="0"/>
          <w:sz w:val="22"/>
        </w:rPr>
        <w:tab/>
        <w:t>60</w:t>
      </w:r>
    </w:p>
    <w:p>
      <w:pPr>
        <w:tabs>
          <w:tab w:pos="7937" w:val="right" w:leader="dot"/>
        </w:tabs>
        <w:spacing w:line="501" w:lineRule="exact"/>
        <w:ind w:left="567"/>
      </w:pPr>
      <w:r>
        <w:rPr>
          <w:rFonts w:ascii="Times New Roman" w:hAnsi="Times New Roman" w:eastAsia="HY신명조"/>
          <w:b w:val="0"/>
          <w:sz w:val="22"/>
        </w:rPr>
        <w:t>5. The Cost of Design Conservatism and the Execution and Map Layers</w:t>
      </w:r>
      <w:r>
        <w:rPr>
          <w:rFonts w:ascii="Times New Roman" w:hAnsi="Times New Roman" w:eastAsia="HY신명조"/>
          <w:b w:val="0"/>
          <w:sz w:val="22"/>
        </w:rPr>
        <w:tab/>
        <w:t>61</w:t>
      </w:r>
    </w:p>
    <w:p>
      <w:pPr>
        <w:tabs>
          <w:tab w:pos="7937" w:val="right" w:leader="dot"/>
        </w:tabs>
        <w:spacing w:line="501" w:lineRule="exact"/>
        <w:ind w:left="567"/>
      </w:pPr>
      <w:r>
        <w:rPr>
          <w:rFonts w:ascii="Times New Roman" w:hAnsi="Times New Roman" w:eastAsia="HY신명조"/>
          <w:b w:val="0"/>
          <w:sz w:val="22"/>
        </w:rPr>
        <w:t>6. Limitations</w:t>
      </w:r>
      <w:r>
        <w:rPr>
          <w:rFonts w:ascii="Times New Roman" w:hAnsi="Times New Roman" w:eastAsia="HY신명조"/>
          <w:b w:val="0"/>
          <w:sz w:val="22"/>
        </w:rPr>
        <w:tab/>
        <w:t>58</w:t>
      </w:r>
    </w:p>
    <w:p>
      <w:pPr>
        <w:tabs>
          <w:tab w:pos="8504" w:val="right" w:leader="dot"/>
        </w:tabs>
        <w:spacing w:line="501" w:lineRule="exact"/>
        <w:ind w:left="0"/>
      </w:pPr>
      <w:r>
        <w:rPr>
          <w:rFonts w:ascii="Times New Roman" w:hAnsi="Times New Roman" w:eastAsia="HY신명조"/>
          <w:b w:val="0"/>
          <w:sz w:val="22"/>
        </w:rPr>
        <w:t>Chapter 7. Conclusion</w:t>
      </w:r>
      <w:r>
        <w:rPr>
          <w:rFonts w:ascii="Times New Roman" w:hAnsi="Times New Roman" w:eastAsia="HY신명조"/>
          <w:b w:val="0"/>
          <w:sz w:val="22"/>
        </w:rPr>
        <w:tab/>
        <w:t>64</w:t>
      </w:r>
    </w:p>
    <w:p>
      <w:pPr>
        <w:tabs>
          <w:tab w:pos="8504" w:val="right" w:leader="dot"/>
        </w:tabs>
        <w:spacing w:line="501" w:lineRule="exact"/>
        <w:ind w:left="0"/>
      </w:pPr>
      <w:r>
        <w:rPr>
          <w:rFonts w:ascii="Times New Roman" w:hAnsi="Times New Roman" w:eastAsia="HY신명조"/>
          <w:b w:val="0"/>
          <w:sz w:val="22"/>
        </w:rPr>
        <w:t>References</w:t>
      </w:r>
      <w:r>
        <w:rPr>
          <w:rFonts w:ascii="Times New Roman" w:hAnsi="Times New Roman" w:eastAsia="HY신명조"/>
          <w:b w:val="0"/>
          <w:sz w:val="22"/>
        </w:rPr>
        <w:tab/>
        <w:t>67</w:t>
      </w:r>
    </w:p>
    <w:p>
      <w:pPr>
        <w:tabs>
          <w:tab w:pos="8504" w:val="right" w:leader="dot"/>
        </w:tabs>
        <w:spacing w:line="501" w:lineRule="exact"/>
        <w:ind w:left="0"/>
      </w:pPr>
      <w:r>
        <w:rPr>
          <w:rFonts w:ascii="Times New Roman" w:hAnsi="Times New Roman" w:eastAsia="HY신명조"/>
          <w:b w:val="0"/>
          <w:sz w:val="22"/>
        </w:rPr>
        <w:t>논문요약</w:t>
      </w:r>
      <w:r>
        <w:rPr>
          <w:rFonts w:ascii="Times New Roman" w:hAnsi="Times New Roman" w:eastAsia="HY신명조"/>
          <w:b w:val="0"/>
          <w:sz w:val="22"/>
        </w:rPr>
        <w:tab/>
        <w:t>73</w:t>
      </w:r>
    </w:p>
    <w:p>
      <w:pPr>
        <w:pageBreakBefore/>
        <w:spacing w:line="501" w:lineRule="exact" w:before="0" w:after="0"/>
        <w:jc w:val="center"/>
      </w:pPr>
      <w:r>
        <w:rPr>
          <w:rFonts w:ascii="Times New Roman" w:hAnsi="Times New Roman" w:eastAsia="HY신명조"/>
          <w:b/>
          <w:sz w:val="28"/>
        </w:rPr>
        <w:t>List of Tables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Table 2-1. Comparison of prior research lines with this study (○ explicitly provided / △ partial or conceptual / × not addressed)</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Table 4-1. Termination labels of the runner's automatic adjudicator</w:t>
      </w:r>
      <w:r>
        <w:rPr>
          <w:rFonts w:ascii="Times New Roman" w:hAnsi="Times New Roman" w:eastAsia="HY신명조"/>
          <w:b w:val="0"/>
          <w:sz w:val="22"/>
        </w:rPr>
        <w:tab/>
        <w:t>30</w:t>
      </w:r>
    </w:p>
    <w:p>
      <w:pPr>
        <w:tabs>
          <w:tab w:pos="8504" w:val="right" w:leader="dot"/>
        </w:tabs>
        <w:spacing w:line="501" w:lineRule="exact"/>
        <w:ind w:left="0"/>
      </w:pPr>
      <w:r>
        <w:rPr>
          <w:rFonts w:ascii="Times New Roman" w:hAnsi="Times New Roman" w:eastAsia="HY신명조"/>
          <w:b w:val="0"/>
          <w:sz w:val="22"/>
        </w:rPr>
        <w:t>Table 4-2. Fault model (v4.6)</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Table 4-3. Main-campaign case accounting — planned versus final valid</w:t>
      </w:r>
      <w:r>
        <w:rPr>
          <w:rFonts w:ascii="Times New Roman" w:hAnsi="Times New Roman" w:eastAsia="HY신명조"/>
          <w:b w:val="0"/>
          <w:sz w:val="22"/>
        </w:rPr>
        <w:tab/>
        <w:t>33</w:t>
      </w:r>
    </w:p>
    <w:p>
      <w:pPr>
        <w:tabs>
          <w:tab w:pos="8504" w:val="right" w:leader="dot"/>
        </w:tabs>
        <w:spacing w:line="501" w:lineRule="exact"/>
        <w:ind w:left="0"/>
      </w:pPr>
      <w:r>
        <w:rPr>
          <w:rFonts w:ascii="Times New Roman" w:hAnsi="Times New Roman" w:eastAsia="HY신명조"/>
          <w:b w:val="0"/>
          <w:sz w:val="22"/>
        </w:rPr>
        <w:t>Table 4-5. Summary of key experimental parameters</w:t>
      </w:r>
      <w:r>
        <w:rPr>
          <w:rFonts w:ascii="Times New Roman" w:hAnsi="Times New Roman" w:eastAsia="HY신명조"/>
          <w:b w:val="0"/>
          <w:sz w:val="22"/>
        </w:rPr>
        <w:tab/>
        <w:t>39</w:t>
      </w:r>
    </w:p>
    <w:p>
      <w:pPr>
        <w:tabs>
          <w:tab w:pos="8504" w:val="right" w:leader="dot"/>
        </w:tabs>
        <w:spacing w:line="501" w:lineRule="exact"/>
        <w:ind w:left="0"/>
      </w:pPr>
      <w:r>
        <w:rPr>
          <w:rFonts w:ascii="Times New Roman" w:hAnsi="Times New Roman" w:eastAsia="HY신명조"/>
          <w:b w:val="0"/>
          <w:sz w:val="22"/>
        </w:rPr>
        <w:t>Table 5-1. Detection performance: detection rate and median detection latency per fault condition (full campaign; † navigation extension — proposed detectors)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Table 5-2. Summary of evacuation behavior in the main campaign (proposed method)</w:t>
      </w:r>
      <w:r>
        <w:rPr>
          <w:rFonts w:ascii="Times New Roman" w:hAnsi="Times New Roman" w:eastAsia="HY신명조"/>
          <w:b w:val="0"/>
          <w:sz w:val="22"/>
        </w:rPr>
        <w:tab/>
        <w:t>48</w:t>
      </w:r>
    </w:p>
    <w:p>
      <w:pPr>
        <w:tabs>
          <w:tab w:pos="8504" w:val="right" w:leader="dot"/>
        </w:tabs>
        <w:spacing w:line="501" w:lineRule="exact"/>
        <w:ind w:left="0"/>
      </w:pPr>
      <w:r>
        <w:rPr>
          <w:rFonts w:ascii="Times New Roman" w:hAnsi="Times New Roman" w:eastAsia="HY신명조"/>
          <w:b w:val="0"/>
          <w:sz w:val="22"/>
        </w:rPr>
        <w:t>Table 5-3. Distance ladder results (ledger and video adjudication)</w:t>
      </w:r>
      <w:r>
        <w:rPr>
          <w:rFonts w:ascii="Times New Roman" w:hAnsi="Times New Roman" w:eastAsia="HY신명조"/>
          <w:b w:val="0"/>
          <w:sz w:val="22"/>
        </w:rPr>
        <w:tab/>
        <w:t>50</w:t>
      </w:r>
    </w:p>
    <w:p>
      <w:pPr>
        <w:tabs>
          <w:tab w:pos="8504" w:val="right" w:leader="dot"/>
        </w:tabs>
        <w:spacing w:line="501" w:lineRule="exact"/>
        <w:ind w:left="0"/>
      </w:pPr>
      <w:r>
        <w:rPr>
          <w:rFonts w:ascii="Times New Roman" w:hAnsi="Times New Roman" w:eastAsia="HY신명조"/>
          <w:b w:val="0"/>
          <w:sz w:val="22"/>
        </w:rPr>
        <w:t>Table 5-4. Low-speed (3.0 m/s) ladder results (ledger adjudication)</w:t>
      </w:r>
      <w:r>
        <w:rPr>
          <w:rFonts w:ascii="Times New Roman" w:hAnsi="Times New Roman" w:eastAsia="HY신명조"/>
          <w:b w:val="0"/>
          <w:sz w:val="22"/>
        </w:rPr>
        <w:tab/>
        <w:t>54</w:t>
      </w:r>
    </w:p>
    <w:p>
      <w:pPr>
        <w:tabs>
          <w:tab w:pos="8504" w:val="right" w:leader="dot"/>
        </w:tabs>
        <w:spacing w:line="501" w:lineRule="exact"/>
        <w:ind w:left="0"/>
      </w:pPr>
      <w:r>
        <w:rPr>
          <w:rFonts w:ascii="Times New Roman" w:hAnsi="Times New Roman" w:eastAsia="HY신명조"/>
          <w:b w:val="0"/>
          <w:sz w:val="22"/>
        </w:rPr>
        <w:t>Table 5-5. Dose-response experiment — collisions in settled encounters (n=10 seeds per cell, ledger adjudication)</w:t>
      </w:r>
      <w:r>
        <w:rPr>
          <w:rFonts w:ascii="Times New Roman" w:hAnsi="Times New Roman" w:eastAsia="HY신명조"/>
          <w:b w:val="0"/>
          <w:sz w:val="22"/>
        </w:rPr>
        <w:tab/>
        <w:t>55</w:t>
      </w:r>
    </w:p>
    <w:p>
      <w:pPr>
        <w:tabs>
          <w:tab w:pos="8504" w:val="right" w:leader="dot"/>
        </w:tabs>
        <w:spacing w:line="501" w:lineRule="exact"/>
        <w:ind w:left="0"/>
      </w:pPr>
      <w:r>
        <w:rPr>
          <w:rFonts w:ascii="Times New Roman" w:hAnsi="Times New Roman" w:eastAsia="HY신명조"/>
          <w:b w:val="0"/>
          <w:sz w:val="22"/>
        </w:rPr>
        <w:t>Table 5-6. Hard-fail detection and decision latency (simulation time, ledger basis) and 1.5 s deadline compliance</w:t>
      </w:r>
      <w:r>
        <w:rPr>
          <w:rFonts w:ascii="Times New Roman" w:hAnsi="Times New Roman" w:eastAsia="HY신명조"/>
          <w:b w:val="0"/>
          <w:sz w:val="22"/>
        </w:rPr>
        <w:tab/>
        <w:t>57</w:t>
      </w:r>
    </w:p>
    <w:p>
      <w:pPr>
        <w:pageBreakBefore/>
        <w:spacing w:line="501" w:lineRule="exact" w:before="0" w:after="0"/>
        <w:jc w:val="center"/>
      </w:pPr>
      <w:r>
        <w:rPr>
          <w:rFonts w:ascii="Times New Roman" w:hAnsi="Times New Roman" w:eastAsia="HY신명조"/>
          <w:b/>
          <w:sz w:val="28"/>
        </w:rPr>
        <w:t>List of Figures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Figure 1-1. Problem setting</w:t>
      </w:r>
      <w:r>
        <w:rPr>
          <w:rFonts w:ascii="Times New Roman" w:hAnsi="Times New Roman" w:eastAsia="HY신명조"/>
          <w:b w:val="0"/>
          <w:sz w:val="22"/>
        </w:rPr>
        <w:tab/>
        <w:t>3</w:t>
      </w:r>
    </w:p>
    <w:p>
      <w:pPr>
        <w:tabs>
          <w:tab w:pos="8504" w:val="right" w:leader="dot"/>
        </w:tabs>
        <w:spacing w:line="501" w:lineRule="exact"/>
        <w:ind w:left="0"/>
      </w:pPr>
      <w:r>
        <w:rPr>
          <w:rFonts w:ascii="Times New Roman" w:hAnsi="Times New Roman" w:eastAsia="HY신명조"/>
          <w:b w:val="0"/>
          <w:sz w:val="22"/>
        </w:rPr>
        <w:t>Figure 3-1. Dual-channel structure of the proposed system</w:t>
      </w:r>
      <w:r>
        <w:rPr>
          <w:rFonts w:ascii="Times New Roman" w:hAnsi="Times New Roman" w:eastAsia="HY신명조"/>
          <w:b w:val="0"/>
          <w:sz w:val="22"/>
        </w:rPr>
        <w:tab/>
        <w:t>15</w:t>
      </w:r>
    </w:p>
    <w:p>
      <w:pPr>
        <w:tabs>
          <w:tab w:pos="8504" w:val="right" w:leader="dot"/>
        </w:tabs>
        <w:spacing w:line="501" w:lineRule="exact"/>
        <w:ind w:left="0"/>
      </w:pPr>
      <w:r>
        <w:rPr>
          <w:rFonts w:ascii="Times New Roman" w:hAnsi="Times New Roman" w:eastAsia="HY신명조"/>
          <w:b w:val="0"/>
          <w:sz w:val="22"/>
        </w:rPr>
        <w:t>Figure 3-2. Behavior-tree structure of the monitoring module</w:t>
      </w:r>
      <w:r>
        <w:rPr>
          <w:rFonts w:ascii="Times New Roman" w:hAnsi="Times New Roman" w:eastAsia="HY신명조"/>
          <w:b w:val="0"/>
          <w:sz w:val="22"/>
        </w:rPr>
        <w:tab/>
        <w:t>19</w:t>
      </w:r>
    </w:p>
    <w:p>
      <w:pPr>
        <w:tabs>
          <w:tab w:pos="8504" w:val="right" w:leader="dot"/>
        </w:tabs>
        <w:spacing w:line="501" w:lineRule="exact"/>
        <w:ind w:left="0"/>
      </w:pPr>
      <w:r>
        <w:rPr>
          <w:rFonts w:ascii="Times New Roman" w:hAnsi="Times New Roman" w:eastAsia="HY신명조"/>
          <w:b w:val="0"/>
          <w:sz w:val="22"/>
        </w:rPr>
        <w:t>Figure 3-3. MRM selection policy matrix by monitoring state</w:t>
      </w:r>
      <w:r>
        <w:rPr>
          <w:rFonts w:ascii="Times New Roman" w:hAnsi="Times New Roman" w:eastAsia="HY신명조"/>
          <w:b w:val="0"/>
          <w:sz w:val="22"/>
        </w:rPr>
        <w:tab/>
        <w:t>22</w:t>
      </w:r>
    </w:p>
    <w:p>
      <w:pPr>
        <w:tabs>
          <w:tab w:pos="8504" w:val="right" w:leader="dot"/>
        </w:tabs>
        <w:spacing w:line="501" w:lineRule="exact"/>
        <w:ind w:left="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w:t>
      </w:r>
      <w:r>
        <w:rPr>
          <w:rFonts w:ascii="Times New Roman" w:hAnsi="Times New Roman" w:eastAsia="HY신명조"/>
          <w:b w:val="0"/>
          <w:sz w:val="22"/>
        </w:rPr>
        <w:tab/>
        <w:t>24</w:t>
      </w:r>
    </w:p>
    <w:p>
      <w:pPr>
        <w:tabs>
          <w:tab w:pos="8504" w:val="right" w:leader="dot"/>
        </w:tabs>
        <w:spacing w:line="501" w:lineRule="exact"/>
        <w:ind w:left="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r>
        <w:rPr>
          <w:rFonts w:ascii="Times New Roman" w:hAnsi="Times New Roman" w:eastAsia="HY신명조"/>
          <w:b w:val="0"/>
          <w:sz w:val="22"/>
        </w:rPr>
        <w:tab/>
        <w:t>29</w:t>
      </w:r>
    </w:p>
    <w:p>
      <w:pPr>
        <w:tabs>
          <w:tab w:pos="8504" w:val="right" w:leader="dot"/>
        </w:tabs>
        <w:spacing w:line="501" w:lineRule="exact"/>
        <w:ind w:left="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Figure 5-1. Detection latency distributions per fault condition (proposed arm, measured from injection time)</w:t>
      </w:r>
      <w:r>
        <w:rPr>
          <w:rFonts w:ascii="Times New Roman" w:hAnsi="Times New Roman" w:eastAsia="HY신명조"/>
          <w:b w:val="0"/>
          <w:sz w:val="22"/>
        </w:rPr>
        <w:tab/>
        <w:t>45</w:t>
      </w:r>
    </w:p>
    <w:p>
      <w:pPr>
        <w:tabs>
          <w:tab w:pos="8504" w:val="right" w:leader="dot"/>
        </w:tabs>
        <w:spacing w:line="501" w:lineRule="exact"/>
        <w:ind w:left="0"/>
      </w:pPr>
      <w:r>
        <w:rPr>
          <w:rFonts w:ascii="Times New Roman" w:hAnsi="Times New Roman" w:eastAsia="HY신명조"/>
          <w:b w:val="0"/>
          <w:sz w:val="22"/>
        </w:rPr>
        <w:t>Figure 5-2. Injection-aligned continuous health traces — (top) the perception capability score that feeds the state transitions (dual thresholds 0.7/0.3) and (bottom) the affected sensor's raw score: (a) LiDAR sparsification (lso), (b) camera pixel noise (cn)</w:t>
      </w:r>
      <w:r>
        <w:rPr>
          <w:rFonts w:ascii="Times New Roman" w:hAnsi="Times New Roman" w:eastAsia="HY신명조"/>
          <w:b w:val="0"/>
          <w:sz w:val="22"/>
        </w:rPr>
        <w:tab/>
        <w:t>47</w:t>
      </w:r>
    </w:p>
    <w:p>
      <w:pPr>
        <w:tabs>
          <w:tab w:pos="8504" w:val="right" w:leader="dot"/>
        </w:tabs>
        <w:spacing w:line="501" w:lineRule="exact"/>
        <w:ind w:left="0"/>
      </w:pPr>
      <w:r>
        <w:rPr>
          <w:rFonts w:ascii="Times New Roman" w:hAnsi="Times New Roman" w:eastAsia="HY신명조"/>
          <w:b w:val="0"/>
          <w:sz w:val="22"/>
        </w:rPr>
        <w:t>Figure 5-3. Stopping-distance model d = vτ + v²/2a (τ=1.5 s, a=3.5 m/s²) and the measured avoidance/collision boundaries from the distance ladder (shaded bands)</w:t>
      </w:r>
      <w:r>
        <w:rPr>
          <w:rFonts w:ascii="Times New Roman" w:hAnsi="Times New Roman" w:eastAsia="HY신명조"/>
          <w:b w:val="0"/>
          <w:sz w:val="22"/>
        </w:rPr>
        <w:tab/>
        <w:t>51</w:t>
      </w:r>
    </w:p>
    <w:p>
      <w:pPr>
        <w:tabs>
          <w:tab w:pos="8504" w:val="right" w:leader="dot"/>
        </w:tabs>
        <w:spacing w:line="501" w:lineRule="exact"/>
        <w:ind w:left="0"/>
      </w:pPr>
      <w:r>
        <w:rPr>
          <w:rFonts w:ascii="Times New Roman" w:hAnsi="Times New Roman" w:eastAsia="HY신명조"/>
          <w:b w:val="0"/>
          <w:sz w:val="22"/>
        </w:rPr>
        <w:t>Figure 5-4. Dose-response experiment (120 runs, ledger adjudication)</w:t>
      </w:r>
      <w:r>
        <w:rPr>
          <w:rFonts w:ascii="Times New Roman" w:hAnsi="Times New Roman" w:eastAsia="HY신명조"/>
          <w:b w:val="0"/>
          <w:sz w:val="22"/>
        </w:rPr>
        <w:tab/>
        <w:t>56</w:t>
      </w:r>
    </w:p>
    <w:p>
      <w:pPr>
        <w:pageBreakBefore/>
        <w:spacing w:line="501" w:lineRule="exact" w:before="0" w:after="0"/>
      </w:pPr>
      <w:r>
        <w:rPr>
          <w:rFonts w:ascii="Times New Roman" w:hAnsi="Times New Roman" w:eastAsia="HY신명조"/>
          <w:b/>
          <w:sz w:val="28"/>
        </w:rPr>
        <w:t>Abstract</w:t>
      </w:r>
    </w:p>
    <w:p>
      <w:pPr>
        <w:spacing w:line="501" w:lineRule="exact" w:before="0" w:after="0"/>
      </w:pPr>
    </w:p>
    <w:p>
      <w:pPr>
        <w:spacing w:line="360" w:lineRule="auto" w:before="0" w:after="0"/>
        <w:jc w:val="center"/>
      </w:pPr>
      <w:r>
        <w:rPr>
          <w:rFonts w:ascii="Times New Roman" w:hAnsi="Times New Roman" w:eastAsia="HY신명조"/>
          <w:b/>
          <w:sz w:val="32"/>
        </w:rPr>
        <w:t>Continuous Sensor Health Monitoring and</w:t>
      </w:r>
    </w:p>
    <w:p>
      <w:pPr>
        <w:spacing w:line="360" w:lineRule="auto" w:before="0" w:after="0"/>
        <w:jc w:val="center"/>
      </w:pPr>
      <w:r>
        <w:rPr>
          <w:rFonts w:ascii="Times New Roman" w:hAnsi="Times New Roman" w:eastAsia="HY신명조"/>
          <w:b/>
          <w:sz w:val="32"/>
        </w:rPr>
        <w:t>Risk/Capability-aware Graded MRM Supervision</w:t>
      </w:r>
    </w:p>
    <w:p>
      <w:pPr>
        <w:spacing w:line="360" w:lineRule="auto" w:before="0" w:after="0"/>
        <w:jc w:val="center"/>
      </w:pPr>
      <w:r>
        <w:rPr>
          <w:rFonts w:ascii="Times New Roman" w:hAnsi="Times New Roman" w:eastAsia="HY신명조"/>
          <w:b/>
          <w:sz w:val="32"/>
        </w:rPr>
        <w:t>for Fail-Safe Operation of Autonomous Vehicles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that estimates per-sensor health as continuous scores from freshness, quality, and physics channels, and (2) a 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Times New Roman" w:hAnsi="Times New Roman" w:eastAsia="HY신명조"/>
          <w:b w:val="0"/>
          <w:sz w:val="22"/>
        </w:rPr>
        <w:t xml:space="preserve">     The framework was evaluated in a closed loop of Autoware 0.39.0 and CARLA 0.9.16 (Town07, 15 km/h speed limit). A total of 1,862 valid cases — the fault-type × severity × traffic-density × method matrix together with the ablation and dose-response encounter experiments in a single closed-loop framework — verified the monitoring and evacuation behavior: the detector achieved 96-100% detection rates in every fault condition except by-design-tolerated mid LiDAR sparsification, with median detection latencies of about 1.0 s for hard fails (ledger re-measurement, simulation time) and 2.1-5.0 s for degradation faults (wall clock) with zero false activations in 45 fault-free cases, and supervision reduced degraded-state driving exposure — a representative unmonitored observation, one run per fault type — from 238-251 m to 32-58 m (detect + evacuate, camera and navigation families;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Times New Roman" w:hAnsi="Times New Roman" w:eastAsia="HY신명조"/>
          <w:b w:val="0"/>
          <w:sz w:val="22"/>
        </w:rPr>
        <w:t xml:space="preserve">     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when encountered during the deceleration transient (2/2). The causal effect of the explicit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(transient encounters collided, settled encounters did not) — an observational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The fault model further covers correlated GNSS bias, GNSS outage, and IMU bias/drift faults, with 100% detection in all of those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Times New Roman" w:hAnsi="Times New Roman" w:eastAsia="HY신명조"/>
          <w:b/>
          <w:sz w:val="22"/>
        </w:rPr>
        <w:t>Keywords: autonomous vehicle, fail-safe, functional safety, minimal risk maneuver, sensor fault detection,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Times New Roman" w:hAnsi="Times New Roman" w:eastAsia="HY신명조"/>
          <w:b/>
          <w:sz w:val="32"/>
        </w:rPr>
        <w:t>Chapter 1. Introduction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Research Background</w:t>
      </w:r>
    </w:p>
    <w:p>
      <w:pPr>
        <w:spacing w:line="501" w:lineRule="exact" w:before="0" w:after="0"/>
      </w:pPr>
    </w:p>
    <w:p>
      <w:pPr>
        <w:spacing w:line="501" w:lineRule="exact" w:before="0" w:after="0"/>
        <w:jc w:val="both"/>
      </w:pPr>
      <w:r>
        <w:rPr>
          <w:rFonts w:ascii="Times New Roman" w:hAnsi="Times New Roman" w:eastAsia="HY신명조"/>
          <w:b w:val="0"/>
          <w:sz w:val="22"/>
        </w:rPr>
        <w:t xml:space="preserve">   Autonomous driving systems at SAE J3016 Level 4 or higher cannot presuppose driver intervention; when a fault occurs, they must therefore execute a minimal risk maneuver (MRM) that brings the vehicle to a minimal risk condition (MRC) on its own. ISO 26262 requires that detection and response be completed within the Fault Tolerant Time Interval (FTTI), the time allowed from fault occurrence to a hazardous event, while SOTIF (ISO 21448) requires the management of hazards arising from sensor performance limitations.</w:t>
      </w:r>
    </w:p>
    <w:p>
      <w:pPr>
        <w:spacing w:line="501" w:lineRule="exact" w:before="0" w:after="0"/>
        <w:jc w:val="both"/>
      </w:pPr>
      <w:r>
        <w:rPr>
          <w:rFonts w:ascii="Times New Roman" w:hAnsi="Times New Roman" w:eastAsia="HY신명조"/>
          <w:b w:val="0"/>
          <w:sz w:val="22"/>
        </w:rPr>
        <w:t xml:space="preserve">   The open-source autonomous driving stack Autoware provides comfortable_stop and emergency_stop as its default MRMs. Its diagnostics, however, primarily target communication- and hardware-level anomalies such as topic silence and timeouts, and degradation faults whose values stay within valid ranges lie outside that monitoring scope — in the unmonitored observations of the version and execution configuration evaluated in this study (Autoware 0.39.0, Chapter 4, Section 1), such faults left driving to continue without intervention (Chapter 5, Section 2), and the available fallbacks were limited to in-lane stop-type MRMs. Above all, no supervisory layer is provided that "evaluates the type and degree of a sensor fault together with the remaining maneuvering capability, selects between evacuation and stopping accordingly, and further limits the speed of the evacuation movement to match the fault state." The contribution of this study lies in this supervisory layer, not in the shoulder maneuver itself. We state explicitly that this observation is not a claim about Autoware in general, but a fact limited to the evaluated version and execution configuration.</w:t>
      </w:r>
    </w:p>
    <w:p>
      <w:pPr>
        <w:spacing w:line="501" w:lineRule="exact" w:before="0" w:after="0"/>
        <w:jc w:val="both"/>
      </w:pPr>
      <w:r>
        <w:rPr>
          <w:rFonts w:ascii="Times New Roman" w:hAnsi="Times New Roman" w:eastAsia="HY신명조"/>
          <w:b w:val="0"/>
          <w:sz w:val="22"/>
        </w:rPr>
        <w:t xml:space="preserve">   An in-lane stop is simple to implement and immediate, but a stopped vehicle blocks following traffic and creates opportunities for secondary collisions, and this cost persists until the lane occupancy is cleared. Conversely, continuing to drive without detecting the fault extends the distance over which the vehicle is exposed to hazards under degraded perception — in the unmonitored observations of this study, in single-run-per-type unmonitored observations the stock stack effectively completed 238–275 m of the route with faults injected (Chapter 5, Section 2). The design space of fault response thus has three axes: "whether to stop now, how far to move, and, if moving, how fast to move."</w:t>
      </w:r>
    </w:p>
    <w:p>
      <w:pPr>
        <w:spacing w:line="501" w:lineRule="exact" w:before="0" w:after="0"/>
        <w:jc w:val="both"/>
      </w:pPr>
      <w:r>
        <w:rPr>
          <w:rFonts w:ascii="Times New Roman" w:hAnsi="Times New Roman" w:eastAsia="HY신명조"/>
          <w:b w:val="0"/>
          <w:sz w:val="22"/>
        </w:rPr>
        <w:t xml:space="preserve">   When a human driver senses something wrong with the vehicle, the priority is to pull over to the shoulder as far as circumstances permit. Automating this shoulder-evacuation-type MRM requires three prior judgments (Figure 1-1): (i) distinguishing whether the fault is "mild enough to allow moving to the shoulder" or "severe enough to require stopping immediately"; (ii) a continuous evaluation of the type and degree of the fault that makes this distinction possible (a binary normal/faulty diagnostic state is insufficient); and (iii) managing the risk of movement itself in a degraded state when movement is chosen — the stopping distance in a dart-out situation. This study implements these, respectively, as a continuous health score, risk- and remaining-capability-based state transitions, and a conservative remaining-capability-based speed cap (fixed at 3.0 m/s).</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1-1. </w:t>
      </w:r>
      <w:r>
        <w:rPr>
          <w:rFonts w:ascii="Times New Roman" w:hAnsi="Times New Roman" w:eastAsia="HY신명조"/>
          <w:b w:val="0"/>
          <w:sz w:val="18"/>
        </w:rPr>
        <w:t>Problem setting. (a) The graded evacuation options upon sensor fault — ① free space, ② parking lot, ③ shoulder ahead, ④ in-lane stop — are ranked by a cost function. (b) Edge case of a dart-out pedestrian encounter during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Finally, simulation-based safety claims stand only on the reliability of the collision determination itself. In the course of the experiments, this study empirically uncovered cases in which the simulator's collision sensor configuration remained silent; prompted by this, we built a dual determination scheme consisting of a real-time ledger of the ego vehicle's collision sensor and a pedestrian physics oracle, and used it as the basis for the safety conclusions (Chapter 4, Section 5).</w:t>
      </w:r>
    </w:p>
    <w:p>
      <w:pPr>
        <w:spacing w:line="501" w:lineRule="exact" w:before="0" w:after="0"/>
        <w:jc w:val="both"/>
      </w:pPr>
      <w:r>
        <w:rPr>
          <w:rFonts w:ascii="Times New Roman" w:hAnsi="Times New Roman" w:eastAsia="HY신명조"/>
          <w:b w:val="0"/>
          <w:sz w:val="22"/>
        </w:rPr>
        <w:t xml:space="preserve">   The proposed supervisory layer is an add-on layer that does not replace the stack itself. Monitoring operates solely by subscribing to sensor topics, intervention occurs only through standard interfaces, and the execution of stopping maneuvers is delegated to the stock stack. This non-intrusive design leaves the certification boundary of the base stack undisturbed while allowing defects in the decision layer and the execution layer to be traced separately at the log level (Chapter 3, Section 8). At the same time, it carries the limitation that execution quality is dependent on the base stack — this trade-off is discussed in Chapter 6.</w:t>
      </w:r>
    </w:p>
    <w:p>
      <w:pPr>
        <w:spacing w:line="501" w:lineRule="exact" w:before="0" w:after="0"/>
      </w:pPr>
    </w:p>
    <w:p>
      <w:pPr>
        <w:spacing w:line="501" w:lineRule="exact" w:before="0" w:after="0"/>
      </w:pPr>
      <w:r>
        <w:rPr>
          <w:rFonts w:ascii="Times New Roman" w:hAnsi="Times New Roman" w:eastAsia="HY신명조"/>
          <w:b/>
          <w:sz w:val="28"/>
        </w:rPr>
        <w:t>2. Research Questions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RQ1. If sensor faults are estimated as a continuous health score, can the response strategy (shoulder/parking-lot evacuation vs. immediate stop deferral) be selected differentially according to the type and degree of the fault? How much does that selection reduce exposure to the fault state?</w:t>
      </w:r>
    </w:p>
    <w:p>
      <w:pPr>
        <w:spacing w:line="501" w:lineRule="exact" w:before="0" w:after="0"/>
        <w:jc w:val="both"/>
      </w:pPr>
      <w:r>
        <w:rPr>
          <w:rFonts w:ascii="Times New Roman" w:hAnsi="Times New Roman" w:eastAsia="HY신명조"/>
          <w:b w:val="0"/>
          <w:sz w:val="22"/>
        </w:rPr>
        <w:t xml:space="preserve">   RQ2. What does a shoulder-evacuation-type MRM gain and lose compared with a stop-type MRM? What temporal structure does the trade-off between immediate collision risk and lane clearance / final safe position have?</w:t>
      </w:r>
    </w:p>
    <w:p>
      <w:pPr>
        <w:spacing w:line="501" w:lineRule="exact" w:before="0" w:after="0"/>
        <w:jc w:val="both"/>
      </w:pPr>
      <w:r>
        <w:rPr>
          <w:rFonts w:ascii="Times New Roman" w:hAnsi="Times New Roman" w:eastAsia="HY신명조"/>
          <w:b w:val="0"/>
          <w:sz w:val="22"/>
        </w:rPr>
        <w:t xml:space="preserve">   RQ3. How does conservative low-speed movement based on remaining capability (a fixed speed cap) change safety at the level of dart-out encounters, and what does its limiting condition — the transient before deceleration is complete — imply?</w:t>
      </w:r>
    </w:p>
    <w:p>
      <w:pPr>
        <w:spacing w:line="501" w:lineRule="exact" w:before="0" w:after="0"/>
      </w:pPr>
    </w:p>
    <w:p>
      <w:pPr>
        <w:spacing w:line="501" w:lineRule="exact" w:before="0" w:after="0"/>
      </w:pPr>
      <w:r>
        <w:rPr>
          <w:rFonts w:ascii="Times New Roman" w:hAnsi="Times New Roman" w:eastAsia="HY신명조"/>
          <w:b/>
          <w:sz w:val="28"/>
        </w:rPr>
        <w:t>3. Contributions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First, we propose a behavior-tree-based sensor monitoring module. For each sensor, it independently scores data freshness (timeout), data quality (noise and valid ratio), and physical consistency (residuals and bias), and composes these across eight-direction spatial sectors and functional capability (perception and localization) layers, publishing the result as a continuous health score.</w:t>
      </w:r>
    </w:p>
    <w:p>
      <w:pPr>
        <w:spacing w:line="501" w:lineRule="exact" w:before="0" w:after="0"/>
        <w:jc w:val="both"/>
      </w:pPr>
      <w:r>
        <w:rPr>
          <w:rFonts w:ascii="Times New Roman" w:hAnsi="Times New Roman" w:eastAsia="HY신명조"/>
          <w:b w:val="0"/>
          <w:sz w:val="22"/>
        </w:rPr>
        <w:t xml:space="preserve">   Second, we propose a risk- and remaining-capability-based MRM supervisor. According to health-score bands, it selects between shoulder/parking-lot evacuation (MRM_MOVE) and deferral to the stock stopping behavior (MRM_DEFER); the evacuation site is chosen by a cost function reflecting degraded-state exposure time, traffic-light observability, and sector deficits; and during evacuation movement, a conservative fixed speed cap (3.0 m/s; below the model-derived upper bound (under nominal parameters) v_max≈3.89 m/s), back-computed from the stopping distance model d=vτ+v²/2a, is imposed on the planning layer. The effect of the cap is verified at the causal level in a dose-response experiment restricted to settled encounters where the cap actually held (Chapter 5, Section 6).</w:t>
      </w:r>
    </w:p>
    <w:p>
      <w:pPr>
        <w:spacing w:line="501" w:lineRule="exact" w:before="0" w:after="0"/>
        <w:jc w:val="both"/>
      </w:pPr>
      <w:r>
        <w:rPr>
          <w:rFonts w:ascii="Times New Roman" w:hAnsi="Times New Roman" w:eastAsia="HY신명조"/>
          <w:b w:val="0"/>
          <w:sz w:val="22"/>
        </w:rPr>
        <w:t xml:space="preserve">   Third, we establish a dual scheme for simulation collision determination as a methodology. It combines a real-time ledger of the ego collision sensor (RAW-HIT) with a pedestrian physics oracle (kinematic anomalies at collision), and identifies the determination pitfalls inherent in the experiment runner's termination labels and the official infraction records.</w:t>
      </w:r>
    </w:p>
    <w:p>
      <w:pPr>
        <w:spacing w:line="501" w:lineRule="exact" w:before="0" w:after="0"/>
        <w:jc w:val="both"/>
      </w:pPr>
      <w:r>
        <w:rPr>
          <w:rFonts w:ascii="Times New Roman" w:hAnsi="Times New Roman" w:eastAsia="HY신명조"/>
          <w:b w:val="0"/>
          <w:sz w:val="22"/>
        </w:rPr>
        <w:t xml:space="preserve">   Fourth, as a validation contribution, we perform encounter-level quantitative validation and large-scale matrix validation. Using a pedestrian dart-out distance ladder, we empirically measure the avoidance/collision boundary by speed (8–11 m at 4.2 m/s, 7–8 m at 3.0 m/s) and compare it against the stopping distance model; through transient-versus-settled encounter observations, we show that the residual risk of evacuation is concentrated in the post-detection transient — a quantitative observation supporting the need to shorten detection and response times (widening the margin within the FTTI); and with a single closed-loop experimental framework totaling 1,862 valid cases — the fault type × severity × traffic density × method campaigns plus the dose-response encounter experiment — we quantify the monitoring and evacuation behavior, the reduction in exposure, and the causal effect of the cap.</w:t>
      </w:r>
    </w:p>
    <w:p>
      <w:pPr>
        <w:spacing w:line="501" w:lineRule="exact" w:before="0" w:after="0"/>
        <w:jc w:val="both"/>
      </w:pPr>
      <w:r>
        <w:rPr>
          <w:rFonts w:ascii="Times New Roman" w:hAnsi="Times New Roman" w:eastAsia="HY신명조"/>
          <w:b w:val="0"/>
          <w:sz w:val="22"/>
        </w:rPr>
        <w:t xml:space="preserve">   The novelty of this study lies not in the individual techniques (CUSUM, residual monitoring, noisy-OR fusion, the stopping distance model, and so on — each is a known technique), but in the system architecture that integrates them into a continuous health score and combines it with remaining maneuvering capability, risk deferral, and movement speed limiting to select MRMs in a graded manner, and in the encounter-level closed-loop demonstration whose determination reliability is secured at the methodological level.</w:t>
      </w:r>
    </w:p>
    <w:p>
      <w:pPr>
        <w:spacing w:line="501" w:lineRule="exact" w:before="0" w:after="0"/>
      </w:pPr>
    </w:p>
    <w:p>
      <w:pPr>
        <w:spacing w:line="501" w:lineRule="exact" w:before="0" w:after="0"/>
      </w:pPr>
      <w:r>
        <w:rPr>
          <w:rFonts w:ascii="Times New Roman" w:hAnsi="Times New Roman" w:eastAsia="HY신명조"/>
          <w:b/>
          <w:sz w:val="28"/>
        </w:rPr>
        <w:t>4. Thesis Organization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Chapter 2 reviews the relevant standards and prior research, and Chapter 3 describes the architecture of the proposed system and each of its components. Chapter 4 presents the experimental environment, the fault model, the collision determination methodology, and the encounter experiment design; Chapter 5 presents the results; Chapter 6 presents the limitations and discussion; and Chapter 7 concludes.</w:t>
      </w:r>
    </w:p>
    <w:p>
      <w:pPr>
        <w:pageBreakBefore/>
        <w:spacing w:line="501" w:lineRule="exact" w:before="0" w:after="0"/>
        <w:jc w:val="center"/>
      </w:pPr>
      <w:r>
        <w:rPr>
          <w:rFonts w:ascii="Times New Roman" w:hAnsi="Times New Roman" w:eastAsia="HY신명조"/>
          <w:b/>
          <w:sz w:val="32"/>
        </w:rPr>
        <w:t>Chapter 2. Background and Related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Related work is organized into six strands (Sections 1-6): standards and regulation, time budgets, detection theory and degradation models, fallback and MRM planning, capability-based self-monitoring, and simulation-based evaluation and fault injection; Section 7 compares them with this study.</w:t>
      </w:r>
    </w:p>
    <w:p>
      <w:pPr>
        <w:spacing w:line="501" w:lineRule="exact" w:before="0" w:after="0"/>
      </w:pPr>
    </w:p>
    <w:p>
      <w:pPr>
        <w:spacing w:line="501" w:lineRule="exact" w:before="0" w:after="0"/>
      </w:pPr>
      <w:r>
        <w:rPr>
          <w:rFonts w:ascii="Times New Roman" w:hAnsi="Times New Roman" w:eastAsia="HY신명조"/>
          <w:b/>
          <w:sz w:val="28"/>
        </w:rPr>
        <w:t>1. Standards and Regulatory Frameworks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foundational frameworks of functional safety, SOTIF, and driving-automation level taxonomy [1-3], together with production-regulation and safety-case standards [4-7], consistently require runtime monitoring and responses to degradation. ISO 23793-1:2024 [51], which addresses MRM directly, specifies a classification framework for MRM types and the principle of "selecting the type according to the situation," but covers only the simplest types (straight-line and in-lane stops); shoulder stops are being standardized as Part 2.</w:t>
      </w:r>
    </w:p>
    <w:p>
      <w:pPr>
        <w:spacing w:line="501" w:lineRule="exact" w:before="0" w:after="0"/>
        <w:jc w:val="both"/>
      </w:pPr>
      <w:r>
        <w:rPr>
          <w:rFonts w:ascii="Times New Roman" w:hAnsi="Times New Roman" w:eastAsia="HY신명조"/>
          <w:b w:val="0"/>
          <w:sz w:val="22"/>
        </w:rPr>
        <w:t xml:space="preserve">   As a reference from an adjacent domain, the industrial driverless truck standard ISO 3691-4 [60], rather than prohibiting movement in a degraded state outright, prescribes the principle of "limited speed for limited capability," combining monitored speed limits with stop functions; the conservative low-speed MRM movement of this study (Chapter 3, Section 6) transfers this principle to autonomous-driving MRM. However, these standards do not provide a method for continuously estimating the kind and degree of a fault and selecting the response and speed accordingly.</w:t>
      </w:r>
    </w:p>
    <w:p>
      <w:pPr>
        <w:spacing w:line="501" w:lineRule="exact" w:before="0" w:after="0"/>
      </w:pPr>
    </w:p>
    <w:p>
      <w:pPr>
        <w:spacing w:line="501" w:lineRule="exact" w:before="0" w:after="0"/>
      </w:pPr>
      <w:r>
        <w:rPr>
          <w:rFonts w:ascii="Times New Roman" w:hAnsi="Times New Roman" w:eastAsia="HY신명조"/>
          <w:b/>
          <w:sz w:val="28"/>
        </w:rPr>
        <w:t>2. FTTI and the Derivation of Time Budgets</w:t>
      </w:r>
    </w:p>
    <w:p>
      <w:pPr>
        <w:spacing w:line="501" w:lineRule="exact" w:before="0" w:after="0"/>
      </w:pPr>
    </w:p>
    <w:p>
      <w:pPr>
        <w:spacing w:line="501" w:lineRule="exact" w:before="0" w:after="0"/>
        <w:jc w:val="both"/>
      </w:pPr>
      <w:r>
        <w:rPr>
          <w:rFonts w:ascii="Times New Roman" w:hAnsi="Times New Roman" w:eastAsia="HY신명조"/>
          <w:b w:val="0"/>
          <w:sz w:val="22"/>
        </w:rPr>
        <w:t xml:space="preserve">   ISO 26262 (2nd edition) defines the FTTI as "the minimum time from the occurrence of a fault to the point at which a hazardous event may occur, assuming the safety mechanisms are not activated," but provides no concrete values; the FTTI must be derived per safety goal from vehicle dynamics and scenarios — Bosch's estimation method [8] is a representative case, deriving 1.4–1.8 s in a lane-keeping-loss scenario. As risk metrics, time-to-collision (TTC) [9] and its extensions [10], and RSS [11], which formalizes safe distances with worst-case kinematics, are standard. This study implements this framework as a dynamic detection budget that ties the detection-time requirement to driving risk (including the FDTI/FRTI and safety-margin decomposition framework, Chapter 3, Section 4), and, by measuring at the encounter level that the residual risk of evacuation-type MRMs concentrates in the post-detection transient (Chapter 5, Sections 5-6), provides an observation supporting the need to shorten detection and response times (widening the margin within the FTTI).</w:t>
      </w:r>
    </w:p>
    <w:p>
      <w:pPr>
        <w:spacing w:line="501" w:lineRule="exact" w:before="0" w:after="0"/>
      </w:pPr>
    </w:p>
    <w:p>
      <w:pPr>
        <w:spacing w:line="501" w:lineRule="exact" w:before="0" w:after="0"/>
      </w:pPr>
      <w:r>
        <w:rPr>
          <w:rFonts w:ascii="Times New Roman" w:hAnsi="Times New Roman" w:eastAsia="HY신명조"/>
          <w:b/>
          <w:sz w:val="28"/>
        </w:rPr>
        <w:t>3. Fault Detection Theory and Sensor Degradation Models</w:t>
      </w:r>
    </w:p>
    <w:p>
      <w:pPr>
        <w:spacing w:line="501" w:lineRule="exact" w:before="0" w:after="0"/>
      </w:pPr>
    </w:p>
    <w:p>
      <w:pPr>
        <w:spacing w:line="501" w:lineRule="exact" w:before="0" w:after="0"/>
      </w:pPr>
      <w:r>
        <w:rPr>
          <w:rFonts w:ascii="Times New Roman" w:hAnsi="Times New Roman" w:eastAsia="HY신명조"/>
          <w:b/>
          <w:sz w:val="22"/>
        </w:rPr>
        <w:t>A. Classical FDI Theory</w:t>
      </w:r>
    </w:p>
    <w:p>
      <w:pPr>
        <w:spacing w:line="501" w:lineRule="exact" w:before="0" w:after="0"/>
        <w:jc w:val="both"/>
      </w:pPr>
      <w:r>
        <w:rPr>
          <w:rFonts w:ascii="Times New Roman" w:hAnsi="Times New Roman" w:eastAsia="HY신명조"/>
          <w:b w:val="0"/>
          <w:sz w:val="22"/>
        </w:rPr>
        <w:t xml:space="preserve">   Classical FDI has developed along two lines: residual generation and decision [12-15] and sequential change detection [16][17]; the lidar quality channel of this study borrows the CUSUM [16] from the latter (Chapter 3, Section 2). These theories cover only up to "detection"; the selection of maneuvers after detection is outside their scope.</w:t>
      </w:r>
    </w:p>
    <w:p>
      <w:pPr>
        <w:spacing w:line="501" w:lineRule="exact" w:before="0" w:after="0"/>
      </w:pPr>
      <w:r>
        <w:rPr>
          <w:rFonts w:ascii="Times New Roman" w:hAnsi="Times New Roman" w:eastAsia="HY신명조"/>
          <w:b/>
          <w:sz w:val="22"/>
        </w:rPr>
        <w:t>B. Empirical Evidence and Models of Lidar Degradation</w:t>
      </w:r>
    </w:p>
    <w:p>
      <w:pPr>
        <w:spacing w:line="501" w:lineRule="exact" w:before="0" w:after="0"/>
        <w:jc w:val="both"/>
      </w:pPr>
      <w:r>
        <w:rPr>
          <w:rFonts w:ascii="Times New Roman" w:hAnsi="Times New Roman" w:eastAsia="HY신명조"/>
          <w:b w:val="0"/>
          <w:sz w:val="22"/>
        </w:rPr>
        <w:t xml:space="preserve">   Lidar degradation is covered by fault taxonomies [57], field measurements and physical models of soiling and rainfall [53-56], and adverse-weather simulation and quantification studies [20-23][58][59]. The sparsification (lidar soiling occlusion, lso) model of this study follows field measurements of soiling-induced detection-range reduction [55], and the clutter (lidar clutter, lcl) model follows the attenuation, jitter, and threshold formulas for rain scattering [53] and near-range-biased clutter [54] (Chapter 4, Section 2). Autoware preprocessing and diagnostics [18] and PCL [19] aim at the "removal" of outliers, a purpose distinct from continuous "scoring" of sensor condition.</w:t>
      </w:r>
    </w:p>
    <w:p>
      <w:pPr>
        <w:spacing w:line="501" w:lineRule="exact" w:before="0" w:after="0"/>
      </w:pPr>
      <w:r>
        <w:rPr>
          <w:rFonts w:ascii="Times New Roman" w:hAnsi="Times New Roman" w:eastAsia="HY신명조"/>
          <w:b/>
          <w:sz w:val="22"/>
        </w:rPr>
        <w:t>C. Camera, IMU, and GNSS</w:t>
      </w:r>
    </w:p>
    <w:p>
      <w:pPr>
        <w:spacing w:line="501" w:lineRule="exact" w:before="0" w:after="0"/>
        <w:jc w:val="both"/>
      </w:pPr>
      <w:r>
        <w:rPr>
          <w:rFonts w:ascii="Times New Roman" w:hAnsi="Times New Roman" w:eastAsia="HY신명조"/>
          <w:b w:val="0"/>
          <w:sz w:val="22"/>
        </w:rPr>
        <w:t xml:space="preserve">   The camera failure-mode taxonomy [24] is the reference for the cn and cf injections of this study; for the IMU, the separate evaluation of measurement white noise and time-accumulating bias [25][26] serves as the reference, and for GNSS, the failure-mode framework [62], urban error measurements [27], and integrity monitoring [28][29]; the multipath-type correlated bias (gm) is injected following a first-order Gauss-Markov model [61].</w:t>
      </w:r>
    </w:p>
    <w:p>
      <w:pPr>
        <w:spacing w:line="501" w:lineRule="exact" w:before="0" w:after="0"/>
      </w:pPr>
    </w:p>
    <w:p>
      <w:pPr>
        <w:spacing w:line="501" w:lineRule="exact" w:before="0" w:after="0"/>
      </w:pPr>
      <w:r>
        <w:rPr>
          <w:rFonts w:ascii="Times New Roman" w:hAnsi="Times New Roman" w:eastAsia="HY신명조"/>
          <w:b/>
          <w:sz w:val="28"/>
        </w:rPr>
        <w:t>4. Fallback and MRM Planning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Among safe-stop planning approaches for faults and performance limits, the trajectory-planning line [30-32] addresses the parallel maintenance of stop trajectories, optimal-control formulations, and online verification, but takes the assessment of the fault and the choice of response as given. In the fallback-strategy line, Emzivat et al. [33] proposed, as a fallback for systems with impaired monitoring capability, virtual obstacles and TTC-based deceleration, and Reschka and Maurer [34] pointed out that the "safe state" of an automated vehicle is situation-dependent and that an in-lane stop is not always safe — the same concern from which this study starts.</w:t>
      </w:r>
    </w:p>
    <w:p>
      <w:pPr>
        <w:spacing w:line="501" w:lineRule="exact" w:before="0" w:after="0"/>
        <w:jc w:val="both"/>
      </w:pPr>
      <w:r>
        <w:rPr>
          <w:rFonts w:ascii="Times New Roman" w:hAnsi="Times New Roman" w:eastAsia="HY신명조"/>
          <w:b w:val="0"/>
          <w:sz w:val="22"/>
        </w:rPr>
        <w:t xml:space="preserve">   The closest prior work is the line of sensor-fault-presupposing evacuation and adaptive MRM. Xue et al. [49][50], presupposing a forward-sensor fault, proposed a safe-zone stop fallback under MPC safety constraints and an adaptive MPC extension based on virtual vehicles in unobserved regions; Tang et al. [48] proposed a method that, under multiple sensor faults, adaptively selects MRM behaviors (deceleration, lane-keeping stop, shoulder-oriented stop, etc.) using HAZOP risk analysis and virtual-object, TTC, and THW evaluation, and validated it in a MATLAB-CARLA closed loop. The differences from this study are as follows. (i) They presuppose that the sensor-fault state is given and address the subsequent maneuvers and selection, whereas this study starts from estimating the occurrence, kind, and severity of the fault through online monitoring of sensor data. (ii) As selection criteria they use TTC/THW with surrounding traffic, whereas this study combines, in addition to risk grace time, the remaining perception and localization capability, and further limits the speed of the evacuation movement itself to match the fault state. (iii) The focus of validation differs: rather than checking whether maneuvers succeed in representative scenarios, this study performed closed-loop behavioral verification of 1,862 valid cases on a real open-source stack (Autoware), together with pedestrian-encounter experiments whose verdict reliability was secured at the methodology level.</w:t>
      </w:r>
    </w:p>
    <w:p>
      <w:pPr>
        <w:spacing w:line="501" w:lineRule="exact" w:before="0" w:after="0"/>
        <w:jc w:val="both"/>
      </w:pPr>
      <w:r>
        <w:rPr>
          <w:rFonts w:ascii="Times New Roman" w:hAnsi="Times New Roman" w:eastAsia="HY신명조"/>
          <w:b w:val="0"/>
          <w:sz w:val="22"/>
        </w:rPr>
        <w:t xml:space="preserve">   The open-source stack Autoware [18] provides stop-type MRMs and shoulder pull-over search (goal_planner), but the version and configuration evaluated (Chapter 4, Section 1) had no supervisory layer that differentially triggers responses and limits speed based on health score and remaining capability — that layer is the contribution of this study.</w:t>
      </w:r>
    </w:p>
    <w:p>
      <w:pPr>
        <w:spacing w:line="501" w:lineRule="exact" w:before="0" w:after="0"/>
      </w:pPr>
    </w:p>
    <w:p>
      <w:pPr>
        <w:spacing w:line="501" w:lineRule="exact" w:before="0" w:after="0"/>
      </w:pPr>
      <w:r>
        <w:rPr>
          <w:rFonts w:ascii="Times New Roman" w:hAnsi="Times New Roman" w:eastAsia="HY신명조"/>
          <w:b/>
          <w:sz w:val="28"/>
        </w:rPr>
        <w:t>5. Capability-Based Self-Monitoring and Runtime Monitoring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skill and ability graphs of Reschka et al. [35] and their development-process extension [36] form a lineage that models functional capabilities as hierarchical graphs for use in online monitoring and decision making; the sector-capability composition of this study (Chapter 3, Section 3) is an implementation that couples capability scores directly to MRM level selection and the movement speed cap. Runtime monitor case studies [37], SMOF [38], and verification challenges [39] are adjacent lines, and behavior trees [40][41] are used as the parallel-composition and execution-tracing structure of the monitoring node based on BehaviorTree.CPP [42] (implementation structure — Chapter 3, Section 1).</w:t>
      </w:r>
    </w:p>
    <w:p>
      <w:pPr>
        <w:spacing w:line="501" w:lineRule="exact" w:before="0" w:after="0"/>
      </w:pPr>
    </w:p>
    <w:p>
      <w:pPr>
        <w:spacing w:line="501" w:lineRule="exact" w:before="0" w:after="0"/>
      </w:pPr>
      <w:r>
        <w:rPr>
          <w:rFonts w:ascii="Times New Roman" w:hAnsi="Times New Roman" w:eastAsia="HY신명조"/>
          <w:b/>
          <w:sz w:val="28"/>
        </w:rPr>
        <w:t>6. Simulation-Based Evaluation and Fault Injection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CARLA [43] is the standard platform for fault-injection research, and stack-targeted fault-injection evaluations — DriveFI [44], resilience evaluation [45], AV-FUZZER [46], and the scenario language Scenic [47] — are studies that "inject faults to find vulnerabilities," the opposite direction from this study, which has the stack itself detect and grade the injected faults and select a response (this study uses the same injection techniques as a means of verification). The experimental infrastructure of this study is built on AWCL [52], the Autoware-CARLA-coupled leaderboard framework (released by the Institute of Automotive Technology at TUM), as a fully automated harness that restarts the simulator for every case (Chapter 4). Furthermore, no report was found that addresses the reliability of simulated collision verdicts — collision-sensor silence, termination-label misclassification — at the methodology level; this study treats it in a formal section (Chapter 4, Section 5).</w:t>
      </w:r>
    </w:p>
    <w:p>
      <w:pPr>
        <w:spacing w:line="501" w:lineRule="exact" w:before="0" w:after="0"/>
      </w:pPr>
    </w:p>
    <w:p>
      <w:pPr>
        <w:spacing w:line="501" w:lineRule="exact" w:before="0" w:after="0"/>
      </w:pPr>
      <w:r>
        <w:rPr>
          <w:rFonts w:ascii="Times New Roman" w:hAnsi="Times New Roman" w:eastAsia="HY신명조"/>
          <w:b/>
          <w:sz w:val="28"/>
        </w:rPr>
        <w:t>7. Comparison with Prior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2-1 compares the related research lines with this study along six axes.</w:t>
      </w:r>
    </w:p>
    <w:p>
      <w:pPr>
        <w:keepNext/>
        <w:spacing w:line="312" w:lineRule="auto" w:before="40" w:after="0"/>
      </w:pPr>
      <w:r>
        <w:rPr>
          <w:rFonts w:ascii="Times New Roman" w:hAnsi="Times New Roman" w:eastAsia="HY신명조"/>
          <w:b/>
          <w:sz w:val="18"/>
        </w:rPr>
        <w:t xml:space="preserve">Table 2-1. </w:t>
      </w:r>
      <w:r>
        <w:rPr>
          <w:rFonts w:ascii="Times New Roman" w:hAnsi="Times New Roman" w:eastAsia="HY신명조"/>
          <w:b w:val="0"/>
          <w:sz w:val="18"/>
        </w:rPr>
        <w:t>Comparison of prior research lines with this study (○ explicitly provided / △ partial or conceptual / × not addressed)</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Times New Roman" w:hAnsi="Times New Roman" w:eastAsia="HY신명조"/>
                <w:b/>
                <w:sz w:val="18"/>
              </w:rPr>
              <w:t>Research line (representative refs.)</w:t>
            </w:r>
          </w:p>
        </w:tc>
        <w:tc>
          <w:tcPr>
            <w:tcW w:type="dxa" w:w="1215"/>
          </w:tcPr>
          <w:p>
            <w:pPr>
              <w:spacing w:line="288" w:lineRule="auto" w:before="20" w:after="20"/>
              <w:jc w:val="center"/>
            </w:pPr>
            <w:r/>
            <w:r>
              <w:rPr>
                <w:rFonts w:ascii="Times New Roman" w:hAnsi="Times New Roman" w:eastAsia="HY신명조"/>
                <w:b/>
                <w:sz w:val="18"/>
              </w:rPr>
              <w:t>Fault</w:t>
            </w:r>
          </w:p>
          <w:p>
            <w:pPr>
              <w:spacing w:line="288" w:lineRule="auto" w:before="20" w:after="20"/>
              <w:jc w:val="center"/>
            </w:pPr>
            <w:r>
              <w:rPr>
                <w:rFonts w:ascii="Times New Roman" w:hAnsi="Times New Roman" w:eastAsia="HY신명조"/>
                <w:b/>
                <w:sz w:val="18"/>
              </w:rPr>
              <w:t>detection</w:t>
            </w:r>
          </w:p>
        </w:tc>
        <w:tc>
          <w:tcPr>
            <w:tcW w:type="dxa" w:w="1215"/>
          </w:tcPr>
          <w:p>
            <w:pPr>
              <w:spacing w:line="288" w:lineRule="auto" w:before="20" w:after="20"/>
              <w:jc w:val="center"/>
            </w:pPr>
            <w:r/>
            <w:r>
              <w:rPr>
                <w:rFonts w:ascii="Times New Roman" w:hAnsi="Times New Roman" w:eastAsia="HY신명조"/>
                <w:b/>
                <w:sz w:val="18"/>
              </w:rPr>
              <w:t>Continuous</w:t>
            </w:r>
          </w:p>
          <w:p>
            <w:pPr>
              <w:spacing w:line="288" w:lineRule="auto" w:before="20" w:after="20"/>
              <w:jc w:val="center"/>
            </w:pPr>
            <w:r>
              <w:rPr>
                <w:rFonts w:ascii="Times New Roman" w:hAnsi="Times New Roman" w:eastAsia="HY신명조"/>
                <w:b/>
                <w:sz w:val="18"/>
              </w:rPr>
              <w:t>health score</w:t>
            </w:r>
          </w:p>
        </w:tc>
        <w:tc>
          <w:tcPr>
            <w:tcW w:type="dxa" w:w="1215"/>
          </w:tcPr>
          <w:p>
            <w:pPr>
              <w:spacing w:line="288" w:lineRule="auto" w:before="20" w:after="20"/>
              <w:jc w:val="center"/>
            </w:pPr>
            <w:r/>
            <w:r>
              <w:rPr>
                <w:rFonts w:ascii="Times New Roman" w:hAnsi="Times New Roman" w:eastAsia="HY신명조"/>
                <w:b/>
                <w:sz w:val="18"/>
              </w:rPr>
              <w:t>Remaining-capability</w:t>
            </w:r>
          </w:p>
          <w:p>
            <w:pPr>
              <w:spacing w:line="288" w:lineRule="auto" w:before="20" w:after="20"/>
              <w:jc w:val="center"/>
            </w:pPr>
            <w:r>
              <w:rPr>
                <w:rFonts w:ascii="Times New Roman" w:hAnsi="Times New Roman" w:eastAsia="HY신명조"/>
                <w:b/>
                <w:sz w:val="18"/>
              </w:rPr>
              <w:t>assessment</w:t>
            </w:r>
          </w:p>
        </w:tc>
        <w:tc>
          <w:tcPr>
            <w:tcW w:type="dxa" w:w="1215"/>
          </w:tcPr>
          <w:p>
            <w:pPr>
              <w:spacing w:line="288" w:lineRule="auto" w:before="20" w:after="20"/>
              <w:jc w:val="center"/>
            </w:pPr>
            <w:r/>
            <w:r>
              <w:rPr>
                <w:rFonts w:ascii="Times New Roman" w:hAnsi="Times New Roman" w:eastAsia="HY신명조"/>
                <w:b/>
                <w:sz w:val="18"/>
              </w:rPr>
              <w:t>Graded</w:t>
            </w:r>
          </w:p>
          <w:p>
            <w:pPr>
              <w:spacing w:line="288" w:lineRule="auto" w:before="20" w:after="20"/>
              <w:jc w:val="center"/>
            </w:pPr>
            <w:r>
              <w:rPr>
                <w:rFonts w:ascii="Times New Roman" w:hAnsi="Times New Roman" w:eastAsia="HY신명조"/>
                <w:b/>
                <w:sz w:val="18"/>
              </w:rPr>
              <w:t>MRM selection</w:t>
            </w:r>
          </w:p>
        </w:tc>
        <w:tc>
          <w:tcPr>
            <w:tcW w:type="dxa" w:w="1215"/>
          </w:tcPr>
          <w:p>
            <w:pPr>
              <w:spacing w:line="288" w:lineRule="auto" w:before="20" w:after="20"/>
              <w:jc w:val="center"/>
            </w:pPr>
            <w:r/>
            <w:r>
              <w:rPr>
                <w:rFonts w:ascii="Times New Roman" w:hAnsi="Times New Roman" w:eastAsia="HY신명조"/>
                <w:b/>
                <w:sz w:val="18"/>
              </w:rPr>
              <w:t>Speed-limited</w:t>
            </w:r>
          </w:p>
          <w:p>
            <w:pPr>
              <w:spacing w:line="288" w:lineRule="auto" w:before="20" w:after="20"/>
              <w:jc w:val="center"/>
            </w:pPr>
            <w:r>
              <w:rPr>
                <w:rFonts w:ascii="Times New Roman" w:hAnsi="Times New Roman" w:eastAsia="HY신명조"/>
                <w:b/>
                <w:sz w:val="18"/>
              </w:rPr>
              <w:t>movement</w:t>
            </w:r>
          </w:p>
        </w:tc>
        <w:tc>
          <w:tcPr>
            <w:tcW w:type="dxa" w:w="1215"/>
          </w:tcPr>
          <w:p>
            <w:pPr>
              <w:spacing w:line="288" w:lineRule="auto" w:before="20" w:after="20"/>
              <w:jc w:val="center"/>
            </w:pPr>
            <w:r/>
            <w:r>
              <w:rPr>
                <w:rFonts w:ascii="Times New Roman" w:hAnsi="Times New Roman" w:eastAsia="HY신명조"/>
                <w:b/>
                <w:sz w:val="18"/>
              </w:rPr>
              <w:t>Encounter-level</w:t>
            </w:r>
          </w:p>
          <w:p>
            <w:pPr>
              <w:spacing w:line="288" w:lineRule="auto" w:before="20" w:after="20"/>
              <w:jc w:val="center"/>
            </w:pPr>
            <w:r>
              <w:rPr>
                <w:rFonts w:ascii="Times New Roman" w:hAnsi="Times New Roman" w:eastAsia="HY신명조"/>
                <w:b/>
                <w:sz w:val="18"/>
              </w:rPr>
              <w:t>closed-loop validation</w:t>
            </w:r>
          </w:p>
        </w:tc>
      </w:tr>
      <w:tr>
        <w:trPr>
          <w:cantSplit/>
        </w:trPr>
        <w:tc>
          <w:tcPr>
            <w:tcW w:type="dxa" w:w="1215"/>
          </w:tcPr>
          <w:p>
            <w:pPr>
              <w:spacing w:line="288" w:lineRule="auto" w:before="20" w:after="20"/>
              <w:jc w:val="left"/>
            </w:pPr>
            <w:r/>
            <w:r>
              <w:rPr>
                <w:rFonts w:ascii="Times New Roman" w:hAnsi="Times New Roman" w:eastAsia="HY신명조"/>
                <w:b w:val="0"/>
                <w:sz w:val="18"/>
              </w:rPr>
              <w:t>Standards and regulation [1-7][51][60]</w:t>
            </w:r>
          </w:p>
        </w:tc>
        <w:tc>
          <w:tcPr>
            <w:tcW w:type="dxa" w:w="1215"/>
          </w:tcPr>
          <w:p>
            <w:pPr>
              <w:spacing w:line="288" w:lineRule="auto" w:before="20" w:after="20"/>
              <w:jc w:val="left"/>
            </w:pPr>
            <w:r/>
            <w:r>
              <w:rPr>
                <w:rFonts w:ascii="Times New Roman" w:hAnsi="Times New Roman" w:eastAsia="HY신명조"/>
                <w:b w:val="0"/>
                <w:sz w:val="18"/>
              </w:rPr>
              <w:t>Requirements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(type taxonomy)</w:t>
            </w:r>
          </w:p>
        </w:tc>
        <w:tc>
          <w:tcPr>
            <w:tcW w:type="dxa" w:w="1215"/>
          </w:tcPr>
          <w:p>
            <w:pPr>
              <w:spacing w:line="288" w:lineRule="auto" w:before="20" w:after="20"/>
              <w:jc w:val="left"/>
            </w:pPr>
            <w:r/>
            <w:r>
              <w:rPr>
                <w:rFonts w:ascii="Times New Roman" w:hAnsi="Times New Roman" w:eastAsia="HY신명조"/>
                <w:b w:val="0"/>
                <w:sz w:val="18"/>
              </w:rPr>
              <w:t>△ (industrial domain)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Classical FDI and change detection [12-17]</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(residual magnitude)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 degradation models [20-29][53-59]</w:t>
            </w:r>
          </w:p>
        </w:tc>
        <w:tc>
          <w:tcPr>
            <w:tcW w:type="dxa" w:w="1215"/>
          </w:tcPr>
          <w:p>
            <w:pPr>
              <w:spacing w:line="288" w:lineRule="auto" w:before="20" w:after="20"/>
              <w:jc w:val="left"/>
            </w:pPr>
            <w:r/>
            <w:r>
              <w:rPr>
                <w:rFonts w:ascii="Times New Roman" w:hAnsi="Times New Roman" w:eastAsia="HY신명조"/>
                <w:b w:val="0"/>
                <w:sz w:val="18"/>
              </w:rPr>
              <w:t>○ (offline)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Fail-safe trajectory planning [30-32]</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trajectories)</w:t>
            </w:r>
          </w:p>
        </w:tc>
        <w:tc>
          <w:tcPr>
            <w:tcW w:type="dxa" w:w="1215"/>
          </w:tcPr>
          <w:p>
            <w:pPr>
              <w:spacing w:line="288" w:lineRule="auto" w:before="20" w:after="20"/>
              <w:jc w:val="left"/>
            </w:pPr>
            <w:r/>
            <w:r>
              <w:rPr>
                <w:rFonts w:ascii="Times New Roman" w:hAnsi="Times New Roman" w:eastAsia="HY신명조"/>
                <w:b w:val="0"/>
                <w:sz w:val="18"/>
              </w:rPr>
              <w:t>△ (deceleration planning)</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Fallback strategy (Emzivat [33])</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(TTC deceleration)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Sensor-fault-presupposing MRM (Xue [49][50]; Tang [48])</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(surviving sensors)</w:t>
            </w:r>
          </w:p>
        </w:tc>
        <w:tc>
          <w:tcPr>
            <w:tcW w:type="dxa" w:w="1215"/>
          </w:tcPr>
          <w:p>
            <w:pPr>
              <w:spacing w:line="288" w:lineRule="auto" w:before="20" w:after="20"/>
              <w:jc w:val="left"/>
            </w:pPr>
            <w:r/>
            <w:r>
              <w:rPr>
                <w:rFonts w:ascii="Times New Roman" w:hAnsi="Times New Roman" w:eastAsia="HY신명조"/>
                <w:b w:val="0"/>
                <w:sz w:val="18"/>
              </w:rPr>
              <w:t>○ (adaptive selection)</w:t>
            </w:r>
          </w:p>
        </w:tc>
        <w:tc>
          <w:tcPr>
            <w:tcW w:type="dxa" w:w="1215"/>
          </w:tcPr>
          <w:p>
            <w:pPr>
              <w:spacing w:line="288" w:lineRule="auto" w:before="20" w:after="20"/>
              <w:jc w:val="left"/>
            </w:pPr>
            <w:r/>
            <w:r>
              <w:rPr>
                <w:rFonts w:ascii="Times New Roman" w:hAnsi="Times New Roman" w:eastAsia="HY신명조"/>
                <w:b w:val="0"/>
                <w:sz w:val="18"/>
              </w:rPr>
              <w:t>△ (deceleration behaviors)</w:t>
            </w:r>
          </w:p>
        </w:tc>
        <w:tc>
          <w:tcPr>
            <w:tcW w:type="dxa" w:w="1215"/>
          </w:tcPr>
          <w:p>
            <w:pPr>
              <w:spacing w:line="288" w:lineRule="auto" w:before="20" w:after="20"/>
              <w:jc w:val="left"/>
            </w:pPr>
            <w:r/>
            <w:r>
              <w:rPr>
                <w:rFonts w:ascii="Times New Roman" w:hAnsi="Times New Roman" w:eastAsia="HY신명조"/>
                <w:b w:val="0"/>
                <w:sz w:val="18"/>
              </w:rPr>
              <w:t>△ (representative scenarios)</w:t>
            </w:r>
          </w:p>
        </w:tc>
      </w:tr>
      <w:tr>
        <w:trPr>
          <w:cantSplit/>
        </w:trPr>
        <w:tc>
          <w:tcPr>
            <w:tcW w:type="dxa" w:w="1215"/>
          </w:tcPr>
          <w:p>
            <w:pPr>
              <w:spacing w:line="288" w:lineRule="auto" w:before="20" w:after="20"/>
              <w:jc w:val="left"/>
            </w:pPr>
            <w:r/>
            <w:r>
              <w:rPr>
                <w:rFonts w:ascii="Times New Roman" w:hAnsi="Times New Roman" w:eastAsia="HY신명조"/>
                <w:b w:val="0"/>
                <w:sz w:val="18"/>
              </w:rPr>
              <w:t>Capability-based self-monitoring [34-36]</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(capability level)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Stock Autoware diagnostics and MRM [18]</w:t>
            </w:r>
          </w:p>
        </w:tc>
        <w:tc>
          <w:tcPr>
            <w:tcW w:type="dxa" w:w="1215"/>
          </w:tcPr>
          <w:p>
            <w:pPr>
              <w:spacing w:line="288" w:lineRule="auto" w:before="20" w:after="20"/>
              <w:jc w:val="left"/>
            </w:pPr>
            <w:r/>
            <w:r>
              <w:rPr>
                <w:rFonts w:ascii="Times New Roman" w:hAnsi="Times New Roman" w:eastAsia="HY신명조"/>
                <w:b w:val="0"/>
                <w:sz w:val="18"/>
              </w:rPr>
              <w:t>△ (timeouts, ranges)</w:t>
            </w:r>
          </w:p>
        </w:tc>
        <w:tc>
          <w:tcPr>
            <w:tcW w:type="dxa" w:w="1215"/>
          </w:tcPr>
          <w:p>
            <w:pPr>
              <w:spacing w:line="288" w:lineRule="auto" w:before="20" w:after="20"/>
              <w:jc w:val="left"/>
            </w:pPr>
            <w:r/>
            <w:r>
              <w:rPr>
                <w:rFonts w:ascii="Times New Roman" w:hAnsi="Times New Roman" w:eastAsia="HY신명조"/>
                <w:b w:val="0"/>
                <w:sz w:val="18"/>
              </w:rPr>
              <w:t>× (binary)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types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Fault-injection evaluation [43-47]</w:t>
            </w:r>
          </w:p>
        </w:tc>
        <w:tc>
          <w:tcPr>
            <w:tcW w:type="dxa" w:w="1215"/>
          </w:tcPr>
          <w:p>
            <w:pPr>
              <w:spacing w:line="288" w:lineRule="auto" w:before="20" w:after="20"/>
              <w:jc w:val="left"/>
            </w:pPr>
            <w:r/>
            <w:r>
              <w:rPr>
                <w:rFonts w:ascii="Times New Roman" w:hAnsi="Times New Roman" w:eastAsia="HY신명조"/>
                <w:b w:val="0"/>
                <w:sz w:val="18"/>
              </w:rPr>
              <w:t>× (injection side)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This study</w:t>
            </w:r>
          </w:p>
        </w:tc>
        <w:tc>
          <w:tcPr>
            <w:tcW w:type="dxa" w:w="1215"/>
          </w:tcPr>
          <w:p>
            <w:pPr>
              <w:spacing w:line="288" w:lineRule="auto" w:before="20" w:after="20"/>
              <w:jc w:val="left"/>
            </w:pPr>
            <w:r/>
            <w:r>
              <w:rPr>
                <w:rFonts w:ascii="Times New Roman" w:hAnsi="Times New Roman" w:eastAsia="HY신명조"/>
                <w:b w:val="0"/>
                <w:sz w:val="18"/>
              </w:rPr>
              <w:t>○ (11 injected types, demonstrated)</w:t>
            </w:r>
          </w:p>
        </w:tc>
        <w:tc>
          <w:tcPr>
            <w:tcW w:type="dxa" w:w="1215"/>
          </w:tcPr>
          <w:p>
            <w:pPr>
              <w:spacing w:line="288" w:lineRule="auto" w:before="20" w:after="20"/>
              <w:jc w:val="left"/>
            </w:pPr>
            <w:r/>
            <w:r>
              <w:rPr>
                <w:rFonts w:ascii="Times New Roman" w:hAnsi="Times New Roman" w:eastAsia="HY신명조"/>
                <w:b w:val="0"/>
                <w:sz w:val="18"/>
              </w:rPr>
              <w:t>○ (freshness × quality)</w:t>
            </w:r>
          </w:p>
        </w:tc>
        <w:tc>
          <w:tcPr>
            <w:tcW w:type="dxa" w:w="1215"/>
          </w:tcPr>
          <w:p>
            <w:pPr>
              <w:spacing w:line="288" w:lineRule="auto" w:before="20" w:after="20"/>
              <w:jc w:val="left"/>
            </w:pPr>
            <w:r/>
            <w:r>
              <w:rPr>
                <w:rFonts w:ascii="Times New Roman" w:hAnsi="Times New Roman" w:eastAsia="HY신명조"/>
                <w:b w:val="0"/>
                <w:sz w:val="18"/>
              </w:rPr>
              <w:t>○ (localization and perception confidence)</w:t>
            </w:r>
          </w:p>
        </w:tc>
        <w:tc>
          <w:tcPr>
            <w:tcW w:type="dxa" w:w="1215"/>
          </w:tcPr>
          <w:p>
            <w:pPr>
              <w:spacing w:line="288" w:lineRule="auto" w:before="20" w:after="20"/>
              <w:jc w:val="left"/>
            </w:pPr>
            <w:r/>
            <w:r>
              <w:rPr>
                <w:rFonts w:ascii="Times New Roman" w:hAnsi="Times New Roman" w:eastAsia="HY신명조"/>
                <w:b w:val="0"/>
                <w:sz w:val="18"/>
              </w:rPr>
              <w:t>○ (evacuation/deferral bands)</w:t>
            </w:r>
          </w:p>
        </w:tc>
        <w:tc>
          <w:tcPr>
            <w:tcW w:type="dxa" w:w="1215"/>
          </w:tcPr>
          <w:p>
            <w:pPr>
              <w:spacing w:line="288" w:lineRule="auto" w:before="20" w:after="20"/>
              <w:jc w:val="left"/>
            </w:pPr>
            <w:r/>
            <w:r>
              <w:rPr>
                <w:rFonts w:ascii="Times New Roman" w:hAnsi="Times New Roman" w:eastAsia="HY신명조"/>
                <w:b w:val="0"/>
                <w:sz w:val="18"/>
              </w:rPr>
              <w:t>○ (cap back-calculated from stopping distance)</w:t>
            </w:r>
          </w:p>
        </w:tc>
        <w:tc>
          <w:tcPr>
            <w:tcW w:type="dxa" w:w="1215"/>
          </w:tcPr>
          <w:p>
            <w:pPr>
              <w:spacing w:line="288" w:lineRule="auto" w:before="20" w:after="20"/>
              <w:jc w:val="left"/>
            </w:pPr>
            <w:r/>
            <w:r>
              <w:rPr>
                <w:rFonts w:ascii="Times New Roman" w:hAnsi="Times New Roman" w:eastAsia="HY신명조"/>
                <w:b w:val="0"/>
                <w:sz w:val="18"/>
              </w:rPr>
              <w:t>○ (ledger-verified encounter ablation)</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As Table 2-1 shows, studies addressing each individual axis do exist. However, no study was found that estimates per-sensor freshness and quality as an online continuous health score, evaluates per-fault risk grace time together with remaining perception and localization capability to distinguish evacuation from an immediate stop, limits the speed of the evacuation movement to a cap back-calculated from a stopping-distance model, and validates this on a real autonomous-driving stack with pedestrian-encounter experiments whose verdict reliability is secured. The position of this study lies not in new algorithms for individual axes but in an integrated supervisory layer spanning detection through selection and speed, and in its empirical demonstration.</w:t>
      </w:r>
    </w:p>
    <w:p>
      <w:pPr>
        <w:pageBreakBefore/>
        <w:spacing w:line="501" w:lineRule="exact" w:before="0" w:after="0"/>
        <w:jc w:val="center"/>
      </w:pPr>
      <w:r>
        <w:rPr>
          <w:rFonts w:ascii="Times New Roman" w:hAnsi="Times New Roman" w:eastAsia="HY신명조"/>
          <w:b/>
          <w:sz w:val="32"/>
        </w:rPr>
        <w:t>Chapter 3. Proposed System</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System Architecture</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2668577"/>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2668577"/>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3-1. </w:t>
      </w:r>
      <w:r>
        <w:rPr>
          <w:rFonts w:ascii="Times New Roman" w:hAnsi="Times New Roman" w:eastAsia="HY신명조"/>
          <w:b w:val="0"/>
          <w:sz w:val="18"/>
        </w:rPr>
        <w:t>Dual-channel structure of the proposed system. Left: the nominal driving channel of unmodified Autoware 0.39.0 (perception &amp; localization → planning → control); right: the proposed supervisory layer. The monitoring stage subscribes read-only to the sensor topics and produces health/capability scores; the decision stage selects MOVE (evacuate — reroute with a speed cap) or DEFER (defer to the stock stop — inject a diagnostic ERROR) via the dual-threshold check and refuge-candidate search, and while moving re-evaluates rear occupancy and stalling, re-selecting candidates or falling back to DEFER when exhausted (diamond branch). The bottom panel is the closed-loop simulation environment (CARLA): the sensor streams feed the stack, the driving state switches between mission and MRM, and refuge-candidate search draws on manually tagged map data (shoulder and parking-lot annotations). Dead-sensor cases are decided through the hard-fail fast path (Chapter 3, Section 5).</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proposed system consists of two independent nodes (Figure 3-1). The monitoring module inspects each sensor at 10 Hz on a behavior-tree basis (the behavior tree is not an algorithmic contribution but an implementation structure for parallel composition, module replacement, and execution tracing), computing and publishing a per-sensor health score (0–1); the detectors comprise three families: timeout (freshness), quality (noise, valid ratio), and physics (residual, bias). The MRM supervisor subscribes to the scores and operates a state machine: for evacuation it changes the route via the Autoware AD API and imposes a speed cap on the planning layer, and for deferral it triggers the stop of the stock mrm_handler through the diagnostic graph. Execution of the stopping maneuver is handled by goal_planner and mrm_handler, and modification of the main stack is minimized by injecting monitoring units into the diagnostic graph.</w:t>
      </w:r>
    </w:p>
    <w:p>
      <w:pPr>
        <w:spacing w:line="501" w:lineRule="exact" w:before="0" w:after="0"/>
        <w:jc w:val="both"/>
      </w:pPr>
      <w:r>
        <w:rPr>
          <w:rFonts w:ascii="Times New Roman" w:hAnsi="Times New Roman" w:eastAsia="HY신명조"/>
          <w:b w:val="0"/>
          <w:sz w:val="22"/>
        </w:rPr>
        <w:t xml:space="preserve">   The reception and evaluation cycles are separated: reception accumulates at each sensor's native rate (LiDAR 20 Hz, IMU 100 Hz, etc.), while evaluation runs at 10 Hz (delay contributed by the evaluation cycle ≤0.1 s). The 100 ms evaluation cycle is consistent with the periodic supervision structure of the AUTOSAR Watchdog Manager [7] and also matches the decision cycle of the Autoware planning layer.</w:t>
      </w:r>
    </w:p>
    <w:p>
      <w:pPr>
        <w:spacing w:line="501" w:lineRule="exact" w:before="0" w:after="0"/>
      </w:pPr>
    </w:p>
    <w:p>
      <w:pPr>
        <w:spacing w:line="501" w:lineRule="exact" w:before="0" w:after="0"/>
      </w:pPr>
      <w:r>
        <w:rPr>
          <w:rFonts w:ascii="Times New Roman" w:hAnsi="Times New Roman" w:eastAsia="HY신명조"/>
          <w:b/>
          <w:sz w:val="28"/>
        </w:rPr>
        <w:t>2. Sensor Scoring</w:t>
      </w:r>
    </w:p>
    <w:p>
      <w:pPr>
        <w:spacing w:line="501" w:lineRule="exact" w:before="0" w:after="0"/>
      </w:pPr>
    </w:p>
    <w:p>
      <w:pPr>
        <w:spacing w:line="501" w:lineRule="exact" w:before="0" w:after="0"/>
      </w:pPr>
      <w:r>
        <w:rPr>
          <w:rFonts w:ascii="Times New Roman" w:hAnsi="Times New Roman" w:eastAsia="HY신명조"/>
          <w:b/>
          <w:sz w:val="22"/>
        </w:rPr>
        <w:t>A. Freshness Score</w:t>
      </w:r>
    </w:p>
    <w:p>
      <w:pPr>
        <w:spacing w:line="501" w:lineRule="exact" w:before="0" w:after="0"/>
        <w:jc w:val="both"/>
      </w:pPr>
      <w:r>
        <w:rPr>
          <w:rFonts w:ascii="Times New Roman" w:hAnsi="Times New Roman" w:eastAsia="HY신명조"/>
          <w:b w:val="0"/>
          <w:sz w:val="22"/>
        </w:rPr>
        <w:t xml:space="preserve">   For the elapsed time age(t) since the last reception,</w:t>
      </w:r>
    </w:p>
    <w:p>
      <w:pPr>
        <w:tabs>
          <w:tab w:pos="8504" w:val="right"/>
        </w:tabs>
        <w:spacing w:line="501" w:lineRule="exact"/>
        <w:ind w:left="567"/>
      </w:pPr>
      <w:r>
        <w:rPr>
          <w:rFonts w:ascii="Times New Roman" w:hAnsi="Times New Roman" w:eastAsia="HY신명조"/>
          <w:b w:val="0"/>
          <w:sz w:val="22"/>
        </w:rPr>
        <w:t>timeout_score = max(0, 1 − age/τ_detect)</w:t>
      </w:r>
      <w:r>
        <w:rPr>
          <w:rFonts w:ascii="Times New Roman" w:hAnsi="Times New Roman" w:eastAsia="HY신명조"/>
          <w:b w:val="0"/>
          <w:sz w:val="22"/>
        </w:rPr>
        <w:tab/>
        <w:t>(3-1)</w:t>
      </w:r>
    </w:p>
    <w:p>
      <w:pPr>
        <w:spacing w:line="501" w:lineRule="exact" w:before="0" w:after="0"/>
        <w:jc w:val="both"/>
      </w:pPr>
      <w:r>
        <w:rPr>
          <w:rFonts w:ascii="Times New Roman" w:hAnsi="Times New Roman" w:eastAsia="HY신명조"/>
          <w:b w:val="0"/>
          <w:sz w:val="22"/>
        </w:rPr>
        <w:t xml:space="preserve">   decays the score linearly. τ_detect is not a detection deadline but the time constant of freshness-score decay, and it is tightened in coupling with driving risk (Section 4). Linear decay is used instead of a step function (0 upon expiry of τ_detect) so that the score can cross the downstream band boundary before it is fully exhausted — under complete silence, the capability score falls below the boundary before τ_detect fully elapses, enabling an early transition. As an auxiliary mechanism, a k-miss rule is employed: if nothing is received for 3 times the moving median of the reception interval, the score is penalized early to a "suspect" stage (consistent with the industry practice of consecutive-miss debouncing).</w:t>
      </w:r>
    </w:p>
    <w:p>
      <w:pPr>
        <w:spacing w:line="501" w:lineRule="exact" w:before="0" w:after="0"/>
      </w:pPr>
      <w:r>
        <w:rPr>
          <w:rFonts w:ascii="Times New Roman" w:hAnsi="Times New Roman" w:eastAsia="HY신명조"/>
          <w:b/>
          <w:sz w:val="22"/>
        </w:rPr>
        <w:t>B. Quality Score</w:t>
      </w:r>
    </w:p>
    <w:p>
      <w:pPr>
        <w:spacing w:line="501" w:lineRule="exact" w:before="0" w:after="0"/>
        <w:jc w:val="both"/>
      </w:pPr>
      <w:r>
        <w:rPr>
          <w:rFonts w:ascii="Times New Roman" w:hAnsi="Times New Roman" w:eastAsia="HY신명조"/>
          <w:b w:val="0"/>
          <w:sz w:val="22"/>
        </w:rPr>
        <w:t xml:space="preserve">   For LiDAR, the standard deviation under a Gaussian assumption is recovered from the mean of the range differences between neighboring points.</w:t>
      </w:r>
    </w:p>
    <w:p>
      <w:pPr>
        <w:tabs>
          <w:tab w:pos="8504" w:val="right"/>
        </w:tabs>
        <w:spacing w:line="501" w:lineRule="exact"/>
        <w:ind w:left="567"/>
      </w:pPr>
      <w:r>
        <w:rPr>
          <w:rFonts w:ascii="Times New Roman" w:hAnsi="Times New Roman" w:eastAsia="HY신명조"/>
          <w:b w:val="0"/>
          <w:sz w:val="22"/>
        </w:rPr>
        <w:t>σ_est = mean(|Δr|) × (√π/2),  using only samples with |Δr| &lt; 1 m</w:t>
      </w:r>
      <w:r>
        <w:rPr>
          <w:rFonts w:ascii="Times New Roman" w:hAnsi="Times New Roman" w:eastAsia="HY신명조"/>
          <w:b w:val="0"/>
          <w:sz w:val="22"/>
        </w:rPr>
        <w:tab/>
        <w:t>(3-2)</w:t>
      </w:r>
    </w:p>
    <w:p>
      <w:pPr>
        <w:spacing w:line="501" w:lineRule="exact" w:before="0" w:after="0"/>
        <w:jc w:val="both"/>
      </w:pPr>
      <w:r>
        <w:rPr>
          <w:rFonts w:ascii="Times New Roman" w:hAnsi="Times New Roman" w:eastAsia="HY신명조"/>
          <w:b w:val="0"/>
          <w:sz w:val="22"/>
        </w:rPr>
        <w:t xml:space="preserve">   (This is the inversion of E|r1−r2| = 2σ/√π; differences exceeding 1 m are excluded as genuine terrain boundaries.) To absorb scene-intrinsic roughness, a baseline is learned during the first 30 frames after boot, but abrupt rises (exceeding 1.5×) are not tracked, preventing the fault itself from becoming the baseline. The score is exp(−max(0, σ_est − base)/0.1) multiplied by a valid (finite) point-ratio score. This metric is not an absolute noise estimator but a relative anomaly score against the baseline. For LiDAR, a CUSUM sequential test (S = max(0, S + excess − k), with a drop when S &gt; h) is run in parallel so that detection delay is inversely proportional to fault magnitude. Camera quality applies the same structure using inter-frame pixel differences, but since pixel difference is a speed-dependent signal that rises naturally with scene motion during driving, the cumulative test is not applied. LiDAR sparsification (reduced point density) is handled by the valid point-ratio channel, and clutter (spurious near-range reflections) by the range-discontinuity channel.</w:t>
      </w:r>
    </w:p>
    <w:p>
      <w:pPr>
        <w:spacing w:line="501" w:lineRule="exact" w:before="0" w:after="0"/>
      </w:pPr>
      <w:r>
        <w:rPr>
          <w:rFonts w:ascii="Times New Roman" w:hAnsi="Times New Roman" w:eastAsia="HY신명조"/>
          <w:b/>
          <w:sz w:val="22"/>
        </w:rPr>
        <w:t>C. Three Localization Channels</w:t>
      </w:r>
    </w:p>
    <w:p>
      <w:pPr>
        <w:spacing w:line="501" w:lineRule="exact" w:before="0" w:after="0"/>
        <w:jc w:val="both"/>
      </w:pPr>
      <w:r>
        <w:rPr>
          <w:rFonts w:ascii="Times New Roman" w:hAnsi="Times New Roman" w:eastAsia="HY신명조"/>
          <w:b w:val="0"/>
          <w:sz w:val="22"/>
        </w:rPr>
        <w:t xml:space="preserve">   Each channel is responsible for a different fault mode. (a) Residual channel: for the distance r between the GNSS measurement and the EKF output, loc_meas = exp(−max(0, r − base − 0.2)/0.55). The static offset between the two coordinate frames is calibrated at boot. It is sensitive to GNSS noise (measurement contamination) and multipath-type correlated bias. (b) Bias channel: the score is penalized when the difference between the 3-second-window mean of the IMU yaw rate and the mean of the EKF yaw rate persists above a threshold for 3 seconds or longer. Normal turning appears in both signals and cancels out, while gyro bias remains only on the IMU side. (c) Silence channel: if GNSS input is interrupted for 1 second or longer while driving, the score is penalized with exponential decay. This compensates for the structural blind spot of the residual channel, which "freezes at the last value when there is no input."</w:t>
      </w:r>
    </w:p>
    <w:p>
      <w:pPr>
        <w:spacing w:line="501" w:lineRule="exact" w:before="0" w:after="0"/>
      </w:pPr>
    </w:p>
    <w:p>
      <w:pPr>
        <w:spacing w:line="501" w:lineRule="exact" w:before="0" w:after="0"/>
      </w:pPr>
      <w:r>
        <w:rPr>
          <w:rFonts w:ascii="Times New Roman" w:hAnsi="Times New Roman" w:eastAsia="HY신명조"/>
          <w:b/>
          <w:sz w:val="28"/>
        </w:rPr>
        <w:t>3. Spatial Sectors and Capability Synthesis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 scores are mapped to eight directional sectors (F, FL, FR, L, R, RL, RR, B) according to each sensor's mounting direction and field of view, and the sector score is fused in the probabilistic-complement form</w:t>
      </w:r>
    </w:p>
    <w:p>
      <w:pPr>
        <w:tabs>
          <w:tab w:pos="8504" w:val="right"/>
        </w:tabs>
        <w:spacing w:line="501" w:lineRule="exact"/>
        <w:ind w:left="567"/>
      </w:pPr>
      <w:r>
        <w:rPr>
          <w:rFonts w:ascii="Times New Roman" w:hAnsi="Times New Roman" w:eastAsia="HY신명조"/>
          <w:b w:val="0"/>
          <w:sz w:val="22"/>
        </w:rPr>
        <w:t>sector = 1 − Π(1 − si)</w:t>
      </w:r>
      <w:r>
        <w:rPr>
          <w:rFonts w:ascii="Times New Roman" w:hAnsi="Times New Roman" w:eastAsia="HY신명조"/>
          <w:b w:val="0"/>
          <w:sz w:val="22"/>
        </w:rPr>
        <w:tab/>
        <w:t>(3-3)</w:t>
      </w:r>
    </w:p>
    <w:p>
      <w:pPr>
        <w:spacing w:line="501" w:lineRule="exact" w:before="0" w:after="0"/>
        <w:jc w:val="both"/>
      </w:pPr>
      <w:r>
        <w:rPr>
          <w:rFonts w:ascii="Times New Roman" w:hAnsi="Times New Roman" w:eastAsia="HY신명조"/>
          <w:b w:val="0"/>
          <w:sz w:val="22"/>
        </w:rPr>
        <w:t xml:space="preserve">   (the more sensors cover the same sector, the more robust it is). Perception capability takes the sector-weighted sum</w:t>
      </w:r>
    </w:p>
    <w:p>
      <w:pPr>
        <w:tabs>
          <w:tab w:pos="8504" w:val="right"/>
        </w:tabs>
        <w:spacing w:line="501" w:lineRule="exact"/>
        <w:ind w:left="567"/>
      </w:pPr>
      <w:r>
        <w:rPr>
          <w:rFonts w:ascii="Times New Roman" w:hAnsi="Times New Roman" w:eastAsia="HY신명조"/>
          <w:b w:val="0"/>
          <w:sz w:val="22"/>
        </w:rPr>
        <w:t>perception = Σ wk·sectork,  w = {F: 0.30, FL/FR: 0.15, L/R/B: 0.10, RL/RR: 0.05}</w:t>
      </w:r>
      <w:r>
        <w:rPr>
          <w:rFonts w:ascii="Times New Roman" w:hAnsi="Times New Roman" w:eastAsia="HY신명조"/>
          <w:b w:val="0"/>
          <w:sz w:val="22"/>
        </w:rPr>
        <w:tab/>
        <w:t>(3-4)</w:t>
      </w:r>
    </w:p>
    <w:p>
      <w:pPr>
        <w:spacing w:line="501" w:lineRule="exact" w:before="0" w:after="0"/>
        <w:jc w:val="both"/>
      </w:pPr>
      <w:r>
        <w:rPr>
          <w:rFonts w:ascii="Times New Roman" w:hAnsi="Times New Roman" w:eastAsia="HY신명조"/>
          <w:b w:val="0"/>
          <w:sz w:val="22"/>
        </w:rPr>
        <w:t xml:space="preserve">   and combines obstacle perception and traffic-light observability at 0.6:0.4. The system health score is</w:t>
      </w:r>
    </w:p>
    <w:p>
      <w:pPr>
        <w:tabs>
          <w:tab w:pos="8504" w:val="right"/>
        </w:tabs>
        <w:spacing w:line="501" w:lineRule="exact"/>
        <w:ind w:left="567"/>
      </w:pPr>
      <w:r>
        <w:rPr>
          <w:rFonts w:ascii="Times New Roman" w:hAnsi="Times New Roman" w:eastAsia="HY신명조"/>
          <w:b w:val="0"/>
          <w:sz w:val="22"/>
        </w:rPr>
        <w:t>health = min(perception, cap_loc)</w:t>
      </w:r>
      <w:r>
        <w:rPr>
          <w:rFonts w:ascii="Times New Roman" w:hAnsi="Times New Roman" w:eastAsia="HY신명조"/>
          <w:b w:val="0"/>
          <w:sz w:val="22"/>
        </w:rPr>
        <w:tab/>
        <w:t>(3-5)</w:t>
      </w:r>
    </w:p>
    <w:p>
      <w:pPr>
        <w:spacing w:line="501" w:lineRule="exact" w:before="0" w:after="0"/>
        <w:jc w:val="both"/>
      </w:pPr>
      <w:r>
        <w:rPr>
          <w:rFonts w:ascii="Times New Roman" w:hAnsi="Times New Roman" w:eastAsia="HY신명조"/>
          <w:b w:val="0"/>
          <w:sz w:val="22"/>
        </w:rPr>
        <w:t xml:space="preserve">   following the worst of the capabilities (weakest-link principle). cap_loc is the minimum over the physical range check, position jump, and the residual, bias, and silence channels. These localization channels reside in the supervisor process as an implementation matter but belong logically to the monitoring layer; throughout this thesis, "monitoring" denotes this logical layer rather than process placement (the boundary in Figure 3-1 is a logical one). The behavior-tree composition of the monitoring module that executes the above scoring and synthesis pipeline is shown in Figure 3-2.</w:t>
      </w:r>
    </w:p>
    <w:p>
      <w:pPr>
        <w:spacing w:line="501" w:lineRule="exact" w:before="0" w:after="0"/>
      </w:pPr>
    </w:p>
    <w:p>
      <w:pPr>
        <w:spacing w:line="501" w:lineRule="exact" w:before="0" w:after="0"/>
      </w:pPr>
      <w:r>
        <w:rPr>
          <w:rFonts w:ascii="Times New Roman" w:hAnsi="Times New Roman" w:eastAsia="HY신명조"/>
          <w:b/>
          <w:sz w:val="28"/>
        </w:rPr>
        <w:t>4. Risk-Coupled Dynamic Detection Budget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time constant of freshness-score decay is coupled to driving risk:</w:t>
      </w:r>
    </w:p>
    <w:p>
      <w:pPr>
        <w:tabs>
          <w:tab w:pos="8504" w:val="right"/>
        </w:tabs>
        <w:spacing w:line="501" w:lineRule="exact"/>
        <w:ind w:left="567"/>
      </w:pPr>
      <w:r>
        <w:rPr>
          <w:rFonts w:ascii="Times New Roman" w:hAnsi="Times New Roman" w:eastAsia="HY신명조"/>
          <w:b w:val="0"/>
          <w:sz w:val="22"/>
        </w:rPr>
        <w:t>τ_detect(t) = min(τ_fresh, TTC_cons(t))</w:t>
      </w:r>
      <w:r>
        <w:rPr>
          <w:rFonts w:ascii="Times New Roman" w:hAnsi="Times New Roman" w:eastAsia="HY신명조"/>
          <w:b w:val="0"/>
          <w:sz w:val="22"/>
        </w:rPr>
        <w:tab/>
        <w:t>(3-6)</w:t>
      </w:r>
    </w:p>
    <w:p>
      <w:pPr>
        <w:spacing w:line="501" w:lineRule="exact" w:before="0" w:after="0"/>
        <w:jc w:val="both"/>
      </w:pPr>
      <w:r>
        <w:rPr>
          <w:rFonts w:ascii="Times New Roman" w:hAnsi="Times New Roman" w:eastAsia="HY신명조"/>
          <w:b w:val="0"/>
          <w:sz w:val="22"/>
        </w:rPr>
        <w:t xml:space="preserve">   In Eq. (3-6), τ_fresh and min(·, TTC_cons) constitute the freshness-decay time constant of Eq. (3-1); the implementation tightens the decay as TTC shortens, conservatively strengthening the detection criterion as risk approaches. TTC_cons is the minimum of the nearest-obstacle TTC and the planned-path/predicted-path crossing time, and if the sensor supplying the TTC measurement is unhealthy, a worst-case propagation (fail-conservative hold) is applied that decays the TTC lower bound using the last observed closing speed.</w:t>
      </w:r>
    </w:p>
    <w:p>
      <w:pPr>
        <w:spacing w:line="501" w:lineRule="exact" w:before="0" w:after="0"/>
        <w:jc w:val="both"/>
      </w:pPr>
      <w:r>
        <w:rPr>
          <w:rFonts w:ascii="Times New Roman" w:hAnsi="Times New Roman" w:eastAsia="HY신명조"/>
          <w:b w:val="0"/>
          <w:sz w:val="22"/>
        </w:rPr>
        <w:t xml:space="preserve">   We clarify the relationship to the formal form of the functional-safety time budget. The design intent is the inequality</w:t>
      </w:r>
    </w:p>
    <w:p>
      <w:pPr>
        <w:tabs>
          <w:tab w:pos="8504" w:val="right"/>
        </w:tabs>
        <w:spacing w:line="501" w:lineRule="exact"/>
        <w:ind w:left="567"/>
      </w:pPr>
      <w:r>
        <w:rPr>
          <w:rFonts w:ascii="Times New Roman" w:hAnsi="Times New Roman" w:eastAsia="HY신명조"/>
          <w:b w:val="0"/>
          <w:sz w:val="22"/>
        </w:rPr>
        <w:t>T_detect + T_response + T_margin ≤ T_hazard</w:t>
      </w:r>
      <w:r>
        <w:rPr>
          <w:rFonts w:ascii="Times New Roman" w:hAnsi="Times New Roman" w:eastAsia="HY신명조"/>
          <w:b w:val="0"/>
          <w:sz w:val="22"/>
        </w:rPr>
        <w:tab/>
        <w:t>(3-7)</w:t>
      </w:r>
    </w:p>
    <w:p>
      <w:pPr>
        <w:spacing w:line="501" w:lineRule="exact" w:before="0" w:after="0"/>
        <w:jc w:val="both"/>
      </w:pPr>
      <w:r>
        <w:rPr>
          <w:rFonts w:ascii="Times New Roman" w:hAnsi="Times New Roman" w:eastAsia="HY신명조"/>
          <w:b w:val="0"/>
          <w:sz w:val="22"/>
        </w:rPr>
        <w:t xml:space="preserve">   and, approximating the hazard time T_hazard by the conservative TTC estimate TTC_cons, the strict detection deadline is TTC_cons − FRTI − margin. Rather than explicitly reserving the reaction time (FRTI) and the margin, the current implementation is a risk-adaptive heuristic approximation that strengthens the freshness decay as TTC shortens, and it does not guarantee formal compliance with this deadline. Explicit reservation of FRTI and margin, and verification of their compliance, are left as future formalization work (Chapter 6, Section 6). Since detection of degradation-type (noise) faults is an accumulation of statistical evidence, the requirement is formalized not as a single value but as a severity curve T_detect(σ) ≤ T_hazard(σ): small faults are caught later, but they also become hazardous later.</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3-2. </w:t>
      </w:r>
      <w:r>
        <w:rPr>
          <w:rFonts w:ascii="Times New Roman" w:hAnsi="Times New Roman" w:eastAsia="HY신명조"/>
          <w:b w:val="0"/>
          <w:sz w:val="18"/>
        </w:rPr>
        <w:t>Behavior-tree structure of the monitoring module. The root Sequence (→) executes, left to right on every 10 Hz tick, a state-subscription Parallel (⇉), driving-state update, risk-coupled detection-budget computation (τ_detect, Eq. 3-6), a per-sensor inspection Parallel, and score publishing (PublishScores). Each sensor leaf computes freshness (timeout) and quality scores; PublishScores maps sensor scores (freshness × quality) to eight directional sectors, fuses them as 1−Π(1−s), and then computes capability scores (obstacle perception, traffic-light observability, localization) by weighted sum, publishing them to /monitor/scores and /diagnostics (Eqs. 3-3, 3-4). Each box shows only the node name and a summary of its role; the per-leaf quality-channel details (LiDAR CUSUM and valid point ratio, camera pixel difference, IMU bias comparison, GNSS three channels) follow the definitions in Section 2 of this chapter.</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5. MRM Supervisor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supervisor switches its response using dual thresholds on the health score (upper 0.7, lower 0.3) (Figure 3-3): from NORMAL, falling below the upper threshold triggers evacuation movement (MRM_MOVE); completion of evacuation triggers evacuation parking (MRM_PARKED); and falling to or below the lower threshold, or a collapse of localization confidence, triggers deferral to the stock stop (MRM_DEFER). As safeguards against false activation, it employs a post-boot health check, a route-change non-response watchdog, a candidate-stagnation blacklist, and a creep guard. The selection is not frozen while moving, either — if a rear vehicle keeps occupying the approach during a parking approach or maneuver (within 10 m for 20 s), the parking-lot candidates that require reversing are penalized and re-selection demotes the target to a shoulder stop; movement stalls and route-change non-responses get a bounded number of retries; and candidate exhaustion or a health collapse en route falls back to DEFER (en-route re-evaluation — Figure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3-3. </w:t>
      </w:r>
      <w:r>
        <w:rPr>
          <w:rFonts w:ascii="Times New Roman" w:hAnsi="Times New Roman" w:eastAsia="HY신명조"/>
          <w:b w:val="0"/>
          <w:sz w:val="18"/>
        </w:rPr>
        <w:t>MRM selection policy matrix by monitoring state. The dual thresholds (upper 0.7, lower 0.3) distinguish NORMAL, DEGRADED, and CRITICAL; ● denotes selection according to the cost ordering, ○ a fallback upon movement failure, and × non-selection. A dead sensor goes directly to the degraded stage regardless of the thresholds, and if no reachable candidate exists, the state is demoted to the critical stage and deferred to the stock stop.</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dual thresholds serve both chattering prevention and grade separation; since the decay constants were designed so that a wide insensitive gap lies between the score under fault and the normal score, the behavior is determined by the three-band structure (normal/evacuation/deferral) rather than by the precise placement of the thresholds.</w:t>
      </w:r>
    </w:p>
    <w:p>
      <w:pPr>
        <w:spacing w:line="501" w:lineRule="exact" w:before="0" w:after="0"/>
        <w:jc w:val="both"/>
      </w:pPr>
      <w:r>
        <w:rPr>
          <w:rFonts w:ascii="Times New Roman" w:hAnsi="Times New Roman" w:eastAsia="HY신명조"/>
          <w:b w:val="0"/>
          <w:sz w:val="22"/>
        </w:rPr>
        <w:t xml:space="preserve">   The timing rules for state transitions are split in two according to the nature of the evidence. Degradation-type (noise) faults are statistical evidence and therefore require sustained confirmation: 1.0 s for band entry; 2.0 s at the floor (≤0.3), because deferral is an irreversible terminal decision; and a 5.0 s recovery grace period when, within the band, localization confidence falls short of the movement minimum (0.5) — this prevents the misjudgment of making a terminal decision on an instantaneous value that dips deeper than the settled value immediately after fault onset (measured 0.44 versus settled 0.58), and in a sensitivity check, varying the grace period over 0.5–5.0 s left the results unchanged (gn-mid, 10 repetitions per condition). In contrast, for hard fails (signal loss — confirmed death past the 850 ms freshness deadline), the persistence of silence is itself already accumulated evidence, so the above confirmations are not redundantly applied: once death is confirmed and at least one live sensor remains (simultaneous silence of all sensors is identified and excluded as a simulation frame-freeze artifact), the band confirmation is skipped, and under visibility/candidate conditions where recovery is impossible, deferral is immediate with no grace period or retry. Route costs of evacuation-site candidates are periodically precomputed during normal driving (cycling one candidate every 2 ticks), eliminating selection latency at decision time. As a result, detection and adjudication of hard fails complete within the 1.5 s deadline (measured in Chapter 5, Section 7).</w:t>
      </w:r>
    </w:p>
    <w:p>
      <w:pPr>
        <w:spacing w:line="501" w:lineRule="exact" w:before="0" w:after="0"/>
        <w:jc w:val="both"/>
      </w:pPr>
      <w:r>
        <w:rPr>
          <w:rFonts w:ascii="Times New Roman" w:hAnsi="Times New Roman" w:eastAsia="HY신명조"/>
          <w:b w:val="0"/>
          <w:sz w:val="22"/>
        </w:rPr>
        <w:t xml:space="preserve">   Evacuation-site selection is performed by cost minimization (the candidate layout is shown in Figure 3-4):</w:t>
      </w:r>
    </w:p>
    <w:p>
      <w:pPr>
        <w:tabs>
          <w:tab w:pos="8504" w:val="right"/>
        </w:tabs>
        <w:spacing w:line="501" w:lineRule="exact"/>
        <w:ind w:left="567"/>
      </w:pPr>
      <w:r>
        <w:rPr>
          <w:rFonts w:ascii="Times New Roman" w:hAnsi="Times New Roman" w:eastAsia="HY신명조"/>
          <w:b w:val="0"/>
          <w:sz w:val="22"/>
        </w:rPr>
        <w:t>J(c) = wt·η(c) + wtl·ntl(c)·g(tl) + wsec·Σ(1 − sector_req) + wloc·η(c)·(1 − loc)</w:t>
      </w:r>
      <w:r>
        <w:rPr>
          <w:rFonts w:ascii="Times New Roman" w:hAnsi="Times New Roman"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3-4. </w:t>
      </w:r>
      <w:r>
        <w:rPr>
          <w:rFonts w:ascii="Times New Roman" w:hAnsi="Times New Roman" w:eastAsia="HY신명조"/>
          <w:b w:val="0"/>
          <w:sz w:val="18"/>
        </w:rPr>
        <w:t>Town07 evacuation candidate map — 16 shoulder candidates extracted from the vector map (lanelet shapes), 4 parking-lot candidates (polygons), and the reference route (dashed line). Candidate route costs are computed on an in-house road-network graph, and signalized intersections are subject to the observability gate.</w:t>
      </w:r>
    </w:p>
    <w:p>
      <w:pPr>
        <w:spacing w:line="501" w:lineRule="exact" w:before="0" w:after="0"/>
      </w:pPr>
    </w:p>
    <w:p>
      <w:pPr>
        <w:spacing w:line="501" w:lineRule="exact" w:before="0" w:after="0"/>
        <w:jc w:val="both"/>
      </w:pPr>
      <w:r>
        <w:rPr>
          <w:rFonts w:ascii="Times New Roman" w:hAnsi="Times New Roman" w:eastAsia="HY신명조"/>
          <w:b w:val="0"/>
          <w:sz w:val="22"/>
        </w:rPr>
        <w:t xml:space="preserve">   η(c) is the exposure time in the degraded state (route time + expected waiting per traffic light); g(tl) is the traffic-light observability penalty (1/cap_tl − 1), sector_req the sector scores required to approach the candidate, loc the localization confidence, and w∗ the per-term weights — the ISO 26262 view that risk accumulates per unit time, not per unit distance. Route time and traffic-light counts are computed on an in-house road-network graph parsed directly from the map (lanelet2), so that the decision layer operates outside the influence of faults in the main stack; traffic lights are counted by clustering stop-line regulatory elements around intersection centers — the discovery of a defect in the initial implementation, its correction, and the re-run are reported in Chapter 4, Section 3. The traffic-light observability gate is the key safeguard: if no healthy camera can observe the traffic lights on a route, that candidate is excluded with J = ∞, and the source of traffic-light state is selected with awareness of the fault type (V2X when the camera is not faulty; route exclusion takes priority when it is). As additional hard constraints, a minimum approach distance and a minimum shoulder length are imposed, and no claim of precise tuning is made for the absolute weight values (discrimination is dominated by the gate and the approach distance).</w:t>
      </w:r>
    </w:p>
    <w:p>
      <w:pPr>
        <w:spacing w:line="501" w:lineRule="exact" w:before="0" w:after="0"/>
      </w:pPr>
    </w:p>
    <w:p>
      <w:pPr>
        <w:spacing w:line="501" w:lineRule="exact" w:before="0" w:after="0"/>
      </w:pPr>
      <w:r>
        <w:rPr>
          <w:rFonts w:ascii="Times New Roman" w:hAnsi="Times New Roman" w:eastAsia="HY신명조"/>
          <w:b/>
          <w:sz w:val="28"/>
        </w:rPr>
        <w:t>6. Remaining-Capability-Based Conservative Low-Speed MRM Movement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Since evacuation movement is movement under a degraded perception state, the ability to stop upon a dart-out matters more than in normal driving. When an obstacle appears at forward distance D while traveling at initial speed v, the distance required to stop without collision, for reaction time τ and deceleration a, is</w:t>
      </w:r>
    </w:p>
    <w:p>
      <w:pPr>
        <w:tabs>
          <w:tab w:pos="8504" w:val="right"/>
        </w:tabs>
        <w:spacing w:line="501" w:lineRule="exact"/>
        <w:ind w:left="567"/>
      </w:pPr>
      <w:r>
        <w:rPr>
          <w:rFonts w:ascii="Times New Roman" w:hAnsi="Times New Roman" w:eastAsia="HY신명조"/>
          <w:b w:val="0"/>
          <w:sz w:val="22"/>
        </w:rPr>
        <w:t>d_safe(v) = v·τ + v²/(2a) + d_margin ≤ D_avail</w:t>
      </w:r>
      <w:r>
        <w:rPr>
          <w:rFonts w:ascii="Times New Roman" w:hAnsi="Times New Roman" w:eastAsia="HY신명조"/>
          <w:b w:val="0"/>
          <w:sz w:val="22"/>
        </w:rPr>
        <w:tab/>
        <w:t>(3-9)</w:t>
      </w:r>
    </w:p>
    <w:p>
      <w:pPr>
        <w:spacing w:line="501" w:lineRule="exact" w:before="0" w:after="0"/>
        <w:jc w:val="both"/>
      </w:pPr>
      <w:r>
        <w:rPr>
          <w:rFonts w:ascii="Times New Roman" w:hAnsi="Times New Roman" w:eastAsia="HY신명조"/>
          <w:b w:val="0"/>
          <w:sz w:val="22"/>
        </w:rPr>
        <w:t xml:space="preserve">   Here τ≈1.5 s and a≈3.5 m/s² are not independently measured values but nominal lumped values calibrated to reproduce the measured ladder boundary (8–11 m); the formula is therefore a design approximation for selecting the cap policy value, not a predictive model of the safety boundary. In a dedicated braking experiment (fault-free stock stack, a pedestrian appearing 14 m ahead during 4.2 m/s cruise, n=5, physics-tick logs), braking onset lagged the spawn by 0.46±0.08 s and the energy-consistent effective deceleration was 2.87±0.20 m/s² over stopping distances of 4.2–5.8 m — the onset delay is encounter-geometry-dependent (early precautionary braking under long preview versus an effective delay of ≈1.5 s in the 8 m near-boundary regime), so a single (τ, a) pair is a lumped approximation; the agreement with the ladder boundary is a self-consistency check of the calibration, not an independent validation, while the dedicated braking experiment is an independent observation showing that (τ, a) are regime-dependent. In the near-boundary regime, τ≈1.5 s remains the effective hazard-response delay (from pedestrian recognition through planning to brake actuation), validated by the agreement between the measured avoid/collide boundary of the distance ladder (8–11 m) and the model-computed value (8.8 m) (Chapter 5, Section 3). Upon entering MRM_MOVE, the supervisor imposes a fixed speed cap of 3.0 m/s on the planning layer (a conservative fixed cap not coupled to fault severity). The value was chosen within the band whose upper end is the model-inverted cap that still stops within the 8 m dart-out (Eq. (3-9), about 3.9 m/s under nominal parameters) and whose lower end is the requirement that evacuation completion time remain bounded; no optimization within this band was performed (a health-proportional cap was implemented but unused — Table 4-5). The cap is delivered to the input side of the Autoware velocity-limit arbiter (the cap-candidate topic), and delivery is verified by the measured vehicle speed rather than by publish records — in the campaign runs the explicit cap turned out not to be delivered due to an interface mismatch, which was corrected, and the effect under an actually holding cap is verified in Chapter 5, Section 6.</w:t>
      </w:r>
    </w:p>
    <w:p>
      <w:pPr>
        <w:spacing w:line="501" w:lineRule="exact" w:before="0" w:after="0"/>
      </w:pPr>
    </w:p>
    <w:p>
      <w:pPr>
        <w:spacing w:line="501" w:lineRule="exact" w:before="0" w:after="0"/>
      </w:pPr>
      <w:r>
        <w:rPr>
          <w:rFonts w:ascii="Times New Roman" w:hAnsi="Times New Roman" w:eastAsia="HY신명조"/>
          <w:b/>
          <w:sz w:val="28"/>
        </w:rPr>
        <w:t>7. MRM Candidate Map Annotation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evacuation candidate layer (shoulders and parking lots) was built by manual annotation of road_shoulder/parking_lot subtypes on the lanelet2 map, with the criteria of a minimum shoulder length sufficient to complete the stopping maneuver, mainline connectivity, and consistency between the entry polygon and the goal point. Shoulder candidates are lanelets sharing a boundary line with the mainline and are connected to the route graph; parking-lot candidates are closed polygonal areas. Manual annotation limits the verification scope to the annotated segments (limitations and automatic-extraction alternatives are discussed in Chapter 6).</w:t>
      </w:r>
    </w:p>
    <w:p>
      <w:pPr>
        <w:spacing w:line="501" w:lineRule="exact" w:before="0" w:after="0"/>
      </w:pPr>
    </w:p>
    <w:p>
      <w:pPr>
        <w:spacing w:line="501" w:lineRule="exact" w:before="0" w:after="0"/>
      </w:pPr>
      <w:r>
        <w:rPr>
          <w:rFonts w:ascii="Times New Roman" w:hAnsi="Times New Roman" w:eastAsia="HY신명조"/>
          <w:b/>
          <w:sz w:val="28"/>
        </w:rPr>
        <w:t>8. Boundary and Interface with the Execution Layer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system's scope of responsibility is detection, decision, candidate selection, and the speed cap ("whether to evacuate, where, when, and how fast"), while execution of the stopping maneuver is delegated to Autoware. In MRM_MOVE, the evacuation goal is delivered via AD API route resetting, and mission_planner's replanning and goal_planner's pull-over maneuver execute it — the shoulder-entry maneuver itself is a stock goal_planner capability and was not modified in this work. In MRM_DEFER, ERROR is injected into the diagnostic graph to trigger the stop of the stock mrm_handler (a boundary established to separate decision from execution).</w:t>
      </w:r>
    </w:p>
    <w:p>
      <w:pPr>
        <w:pageBreakBefore/>
        <w:spacing w:line="501" w:lineRule="exact" w:before="0" w:after="0"/>
        <w:jc w:val="center"/>
      </w:pPr>
      <w:r>
        <w:rPr>
          <w:rFonts w:ascii="Times New Roman" w:hAnsi="Times New Roman" w:eastAsia="HY신명조"/>
          <w:b/>
          <w:sz w:val="32"/>
        </w:rPr>
        <w:t>Chapter 4. Experimental Environment and Design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Experimental Environment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experimental stage is a closed-loop environment coupling the CARLA 0.9.16 simulator with Autoware 0.39.0 (Figure 4-1). The integration infrastructure is based on AWCL [52], the Autoware-CARLA leaderboard framework released by the Institute of Automotive Technology at TUM (C++ bridge, vehicle digital twin, scenario runner); CARLA runs on the host, while the bridge, leaderboard, and Autoware run in independent containers. The map is a custom vector map of CARLA Town07 (a low-speed urban/rural mix) annotated with shoulder and parking-lot candidates, the speed limit is 15 km/h (4.2 m/s), and the simulator was fully restarted for every case to block state accumulation and ensure independence between cases (CARLA_RESTART_EVERY=1, Table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4-1. </w:t>
      </w:r>
      <w:r>
        <w:rPr>
          <w:rFonts w:ascii="Times New Roman" w:hAnsi="Times New Roman" w:eastAsia="HY신명조"/>
          <w:b w:val="0"/>
          <w:sz w:val="18"/>
        </w:rPr>
        <w:t>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p>
    <w:p>
      <w:pPr>
        <w:spacing w:line="501" w:lineRule="exact" w:before="0" w:after="0"/>
      </w:pPr>
    </w:p>
    <w:p>
      <w:pPr>
        <w:spacing w:line="501" w:lineRule="exact" w:before="0" w:after="0"/>
        <w:jc w:val="both"/>
      </w:pPr>
      <w:r>
        <w:rPr>
          <w:rFonts w:ascii="Times New Roman" w:hAnsi="Times New Roman" w:eastAsia="HY신명조"/>
          <w:b w:val="0"/>
          <w:sz w:val="22"/>
        </w:rPr>
        <w:t xml:space="preserve">   Experiment automation is handled by a common runner, and a case is defined by a combination of {method, fault, severity, traffic, repetition, injection time}. There are three methods: ours (the proposed supervisor), baseline (same detection, deferral to Autoware's stop-type MRM), and mrm-off (non-intervention observation — the monitoring module runs in a passive mode publishing scores only, and the supervisor is a dummy). The reason baseline shares the identical detection with the proposal is to separate the effect of the response strategy from detection performance; the "no detection at all" scenario is provided separately by mrm-off. The runner manages process lifetimes and archives per-case logs to support post-hoc re-adjudication.</w:t>
      </w:r>
    </w:p>
    <w:p>
      <w:pPr>
        <w:spacing w:line="501" w:lineRule="exact" w:before="0" w:after="0"/>
        <w:jc w:val="both"/>
      </w:pPr>
      <w:r>
        <w:rPr>
          <w:rFonts w:ascii="Times New Roman" w:hAnsi="Times New Roman" w:eastAsia="HY신명조"/>
          <w:b w:val="0"/>
          <w:sz w:val="22"/>
        </w:rPr>
        <w:t xml:space="preserve">   An automatic adjudicator based on ROS topic subscription classifies each case's termination into the labels of Table 4-1 and records stop coordinates, lane occupancy, detection latency, distance traveled in the faulted state, and official collision records as CSV. The outcome label is only a first-pass classification for management purposes and is not the basis of safety adjudication — the basis of adjudication and the pitfalls of the labels are specified in Section 5.</w:t>
      </w:r>
    </w:p>
    <w:p>
      <w:pPr>
        <w:keepNext/>
        <w:spacing w:line="312" w:lineRule="auto" w:before="40" w:after="0"/>
      </w:pPr>
      <w:r>
        <w:rPr>
          <w:rFonts w:ascii="Times New Roman" w:hAnsi="Times New Roman" w:eastAsia="HY신명조"/>
          <w:b/>
          <w:sz w:val="18"/>
        </w:rPr>
        <w:t xml:space="preserve">Table 4-1. </w:t>
      </w:r>
      <w:r>
        <w:rPr>
          <w:rFonts w:ascii="Times New Roman" w:hAnsi="Times New Roman" w:eastAsia="HY신명조"/>
          <w:b w:val="0"/>
          <w:sz w:val="18"/>
        </w:rPr>
        <w:t>Termination labels of the runner's automatic adjudicator</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Label</w:t>
            </w:r>
          </w:p>
        </w:tc>
        <w:tc>
          <w:tcPr>
            <w:tcW w:type="dxa" w:w="4252"/>
          </w:tcPr>
          <w:p>
            <w:pPr>
              <w:keepNext/>
              <w:spacing w:line="288" w:lineRule="auto" w:before="20" w:after="20"/>
              <w:jc w:val="center"/>
            </w:pPr>
            <w:r/>
            <w:r>
              <w:rPr>
                <w:rFonts w:ascii="Times New Roman" w:hAnsi="Times New Roman" w:eastAsia="HY신명조"/>
                <w:b/>
                <w:sz w:val="18"/>
              </w:rPr>
              <w:t>Meaning</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SHOULDER_SUCCESS / PARKED_SUCCESS</w:t>
            </w:r>
          </w:p>
        </w:tc>
        <w:tc>
          <w:tcPr>
            <w:tcW w:type="dxa" w:w="4252"/>
          </w:tcPr>
          <w:p>
            <w:pPr>
              <w:keepNext/>
              <w:spacing w:line="288" w:lineRule="auto" w:before="20" w:after="20"/>
              <w:jc w:val="left"/>
            </w:pPr>
            <w:r/>
            <w:r>
              <w:rPr>
                <w:rFonts w:ascii="Times New Roman" w:hAnsi="Times New Roman" w:eastAsia="HY신명조"/>
                <w:b w:val="0"/>
                <w:sz w:val="18"/>
              </w:rPr>
              <w:t>Shoulder / parking-lot evacuation completed</w:t>
            </w:r>
          </w:p>
        </w:tc>
      </w:tr>
      <w:tr>
        <w:trPr>
          <w:cantSplit/>
        </w:trPr>
        <w:tc>
          <w:tcPr>
            <w:tcW w:type="dxa" w:w="4252"/>
          </w:tcPr>
          <w:p>
            <w:pPr>
              <w:keepNext/>
              <w:spacing w:line="288" w:lineRule="auto" w:before="20" w:after="20"/>
              <w:jc w:val="left"/>
            </w:pPr>
            <w:r/>
            <w:r>
              <w:rPr>
                <w:rFonts w:ascii="Times New Roman" w:hAnsi="Times New Roman" w:eastAsia="HY신명조"/>
                <w:b w:val="0"/>
                <w:sz w:val="18"/>
              </w:rPr>
              <w:t>AW_COMFORTABLE_STOP_DONE / AW_EMERGENCY_STOP_DONE</w:t>
            </w:r>
          </w:p>
        </w:tc>
        <w:tc>
          <w:tcPr>
            <w:tcW w:type="dxa" w:w="4252"/>
          </w:tcPr>
          <w:p>
            <w:pPr>
              <w:keepNext/>
              <w:spacing w:line="288" w:lineRule="auto" w:before="20" w:after="20"/>
              <w:jc w:val="left"/>
            </w:pPr>
            <w:r/>
            <w:r>
              <w:rPr>
                <w:rFonts w:ascii="Times New Roman" w:hAnsi="Times New Roman" w:eastAsia="HY신명조"/>
                <w:b w:val="0"/>
                <w:sz w:val="18"/>
              </w:rPr>
              <w:t>Stock stop-type MRM completed (deferral path)</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STUCK_IN_MRM_MOVE</w:t>
            </w:r>
          </w:p>
        </w:tc>
        <w:tc>
          <w:tcPr>
            <w:tcW w:type="dxa" w:w="4252"/>
          </w:tcPr>
          <w:p>
            <w:pPr>
              <w:keepNext/>
              <w:spacing w:line="288" w:lineRule="auto" w:before="20" w:after="20"/>
              <w:jc w:val="left"/>
            </w:pPr>
            <w:r/>
            <w:r>
              <w:rPr>
                <w:rFonts w:ascii="Times New Roman" w:hAnsi="Times New Roman" w:eastAsia="HY신명조"/>
                <w:b w:val="0"/>
                <w:sz w:val="18"/>
              </w:rPr>
              <w:t>Stalled during evacuation movement (time limit)</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HAZARD_COLLISION</w:t>
            </w:r>
          </w:p>
        </w:tc>
        <w:tc>
          <w:tcPr>
            <w:tcW w:type="dxa" w:w="4252"/>
          </w:tcPr>
          <w:p>
            <w:pPr>
              <w:keepNext/>
              <w:spacing w:line="288" w:lineRule="auto" w:before="20" w:after="20"/>
              <w:jc w:val="left"/>
            </w:pPr>
            <w:r/>
            <w:r>
              <w:rPr>
                <w:rFonts w:ascii="Times New Roman" w:hAnsi="Times New Roman" w:eastAsia="HY신명조"/>
                <w:b w:val="0"/>
                <w:sz w:val="18"/>
              </w:rPr>
              <w:t>Hazard-event contact (may include endpoint structures — distinguished via the ledger)</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HAZARD_STOPPED</w:t>
            </w:r>
          </w:p>
        </w:tc>
        <w:tc>
          <w:tcPr>
            <w:tcW w:type="dxa" w:w="4252"/>
          </w:tcPr>
          <w:p>
            <w:pPr>
              <w:keepNext/>
              <w:spacing w:line="288" w:lineRule="auto" w:before="20" w:after="20"/>
              <w:jc w:val="left"/>
            </w:pPr>
            <w:r/>
            <w:r>
              <w:rPr>
                <w:rFonts w:ascii="Times New Roman" w:hAnsi="Times New Roman" w:eastAsia="HY신명조"/>
                <w:b w:val="0"/>
                <w:sz w:val="18"/>
              </w:rPr>
              <w:t>Stopped in a hazardous state for 60 s or more (may include post-collision stops)</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HAZARD_SURVIVED</w:t>
            </w:r>
          </w:p>
        </w:tc>
        <w:tc>
          <w:tcPr>
            <w:tcW w:type="dxa" w:w="4252"/>
          </w:tcPr>
          <w:p>
            <w:pPr>
              <w:keepNext/>
              <w:spacing w:line="288" w:lineRule="auto" w:before="20" w:after="20"/>
              <w:jc w:val="left"/>
            </w:pPr>
            <w:r/>
            <w:r>
              <w:rPr>
                <w:rFonts w:ascii="Times New Roman" w:hAnsi="Times New Roman" w:eastAsia="HY신명조"/>
                <w:b w:val="0"/>
                <w:sz w:val="18"/>
              </w:rPr>
              <w:t>Persisted 360 s after the fault without incident</w:t>
            </w:r>
          </w:p>
        </w:tc>
      </w:tr>
      <w:tr>
        <w:trPr>
          <w:cantSplit/>
        </w:trPr>
        <w:tc>
          <w:tcPr>
            <w:tcW w:type="dxa" w:w="4252"/>
          </w:tcPr>
          <w:p>
            <w:pPr>
              <w:spacing w:line="288" w:lineRule="auto" w:before="20" w:after="20"/>
              <w:jc w:val="left"/>
            </w:pPr>
            <w:r/>
            <w:r>
              <w:rPr>
                <w:rFonts w:ascii="Times New Roman" w:hAnsi="Times New Roman" w:eastAsia="HY신명조"/>
                <w:b w:val="0"/>
                <w:sz w:val="18"/>
              </w:rPr>
              <w:t>CARLA_DIED / TIMEOUT</w:t>
            </w:r>
          </w:p>
        </w:tc>
        <w:tc>
          <w:tcPr>
            <w:tcW w:type="dxa" w:w="4252"/>
          </w:tcPr>
          <w:p>
            <w:pPr>
              <w:spacing w:line="288" w:lineRule="auto" w:before="20" w:after="20"/>
              <w:jc w:val="left"/>
            </w:pPr>
            <w:r/>
            <w:r>
              <w:rPr>
                <w:rFonts w:ascii="Times New Roman" w:hAnsi="Times New Roman" w:eastAsia="HY신명조"/>
                <w:b w:val="0"/>
                <w:sz w:val="18"/>
              </w:rPr>
              <w:t>Infrastructure failure (re-collected via the retry chain)</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2. Fault Model</w:t>
      </w:r>
    </w:p>
    <w:p>
      <w:pPr>
        <w:spacing w:line="501" w:lineRule="exact" w:before="0" w:after="0"/>
      </w:pPr>
    </w:p>
    <w:p>
      <w:pPr>
        <w:spacing w:line="501" w:lineRule="exact" w:before="0" w:after="0"/>
        <w:jc w:val="both"/>
      </w:pPr>
      <w:r>
        <w:rPr>
          <w:rFonts w:ascii="Times New Roman" w:hAnsi="Times New Roman" w:eastAsia="HY신명조"/>
          <w:b w:val="0"/>
          <w:sz w:val="22"/>
        </w:rPr>
        <w:t xml:space="preserve">   Faults are injected inside the agent's sensor pipeline (Table 4-2 — the reference literature and physical models are specified in the table's injection-method column). The simple Gaussian range noise of the initial version (ln) was retired because its correspondence to real fault modes was weak, and it was replaced with two physical models (lso and lcl). The injection time is drawn from a deterministic seed derived from the case key and is thus reproducible; in the encounter experiments, even the fault-waveform random numbers were fixed by seed (FAULT_SEED) so that the compared conditions of the same seed experience an identical fault realization. The sensor-level effect of each fault is illustrated in Figure 4-2.</w:t>
      </w:r>
    </w:p>
    <w:p>
      <w:pPr>
        <w:keepNext/>
        <w:spacing w:line="312" w:lineRule="auto" w:before="40" w:after="0"/>
      </w:pPr>
      <w:r>
        <w:rPr>
          <w:rFonts w:ascii="Times New Roman" w:hAnsi="Times New Roman" w:eastAsia="HY신명조"/>
          <w:b/>
          <w:sz w:val="18"/>
        </w:rPr>
        <w:t xml:space="preserve">Table 4-2. </w:t>
      </w:r>
      <w:r>
        <w:rPr>
          <w:rFonts w:ascii="Times New Roman" w:hAnsi="Times New Roman" w:eastAsia="HY신명조"/>
          <w:b w:val="0"/>
          <w:sz w:val="18"/>
        </w:rPr>
        <w:t>Fault model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Abbrev.</w:t>
            </w:r>
          </w:p>
        </w:tc>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Injection method</w:t>
            </w:r>
          </w:p>
        </w:tc>
        <w:tc>
          <w:tcPr>
            <w:tcW w:type="dxa" w:w="2126"/>
          </w:tcPr>
          <w:p>
            <w:pPr>
              <w:keepNext/>
              <w:spacing w:line="288" w:lineRule="auto" w:before="20" w:after="20"/>
              <w:jc w:val="center"/>
            </w:pPr>
            <w:r/>
            <w:r>
              <w:rPr>
                <w:rFonts w:ascii="Times New Roman" w:hAnsi="Times New Roman" w:eastAsia="HY신명조"/>
                <w:b/>
                <w:sz w:val="18"/>
              </w:rPr>
              <w:t>Severity</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Camera death</w:t>
            </w:r>
          </w:p>
        </w:tc>
        <w:tc>
          <w:tcPr>
            <w:tcW w:type="dxa" w:w="2126"/>
          </w:tcPr>
          <w:p>
            <w:pPr>
              <w:keepNext/>
              <w:spacing w:line="288" w:lineRule="auto" w:before="20" w:after="20"/>
              <w:jc w:val="left"/>
            </w:pPr>
            <w:r/>
            <w:r>
              <w:rPr>
                <w:rFonts w:ascii="Times New Roman" w:hAnsi="Times New Roman" w:eastAsia="HY신명조"/>
                <w:b w:val="0"/>
                <w:sz w:val="18"/>
              </w:rPr>
              <w:t>Frame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Camera noise</w:t>
            </w:r>
          </w:p>
        </w:tc>
        <w:tc>
          <w:tcPr>
            <w:tcW w:type="dxa" w:w="2126"/>
          </w:tcPr>
          <w:p>
            <w:pPr>
              <w:keepNext/>
              <w:spacing w:line="288" w:lineRule="auto" w:before="20" w:after="20"/>
              <w:jc w:val="left"/>
            </w:pPr>
            <w:r/>
            <w:r>
              <w:rPr>
                <w:rFonts w:ascii="Times New Roman" w:hAnsi="Times New Roman" w:eastAsia="HY신명조"/>
                <w:b w:val="0"/>
                <w:sz w:val="18"/>
              </w:rPr>
              <w:t>Gaussian pixel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LiDAR death</w:t>
            </w:r>
          </w:p>
        </w:tc>
        <w:tc>
          <w:tcPr>
            <w:tcW w:type="dxa" w:w="2126"/>
          </w:tcPr>
          <w:p>
            <w:pPr>
              <w:keepNext/>
              <w:spacing w:line="288" w:lineRule="auto" w:before="20" w:after="20"/>
              <w:jc w:val="left"/>
            </w:pPr>
            <w:r/>
            <w:r>
              <w:rPr>
                <w:rFonts w:ascii="Times New Roman" w:hAnsi="Times New Roman" w:eastAsia="HY신명조"/>
                <w:b w:val="0"/>
                <w:sz w:val="18"/>
              </w:rPr>
              <w:t>Point-cloud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LiDAR sparsification</w:t>
            </w:r>
          </w:p>
        </w:tc>
        <w:tc>
          <w:tcPr>
            <w:tcW w:type="dxa" w:w="2126"/>
          </w:tcPr>
          <w:p>
            <w:pPr>
              <w:keepNext/>
              <w:spacing w:line="288" w:lineRule="auto" w:before="20" w:after="20"/>
              <w:jc w:val="left"/>
            </w:pPr>
            <w:r/>
            <w:r>
              <w:rPr>
                <w:rFonts w:ascii="Times New Roman" w:hAnsi="Times New Roman" w:eastAsia="HY신명조"/>
                <w:b w:val="0"/>
                <w:sz w:val="18"/>
              </w:rPr>
              <w:t>Contamination-type point dropout (physical model [55])</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LiDAR clutter</w:t>
            </w:r>
          </w:p>
        </w:tc>
        <w:tc>
          <w:tcPr>
            <w:tcW w:type="dxa" w:w="2126"/>
          </w:tcPr>
          <w:p>
            <w:pPr>
              <w:keepNext/>
              <w:spacing w:line="288" w:lineRule="auto" w:before="20" w:after="20"/>
              <w:jc w:val="left"/>
            </w:pPr>
            <w:r/>
            <w:r>
              <w:rPr>
                <w:rFonts w:ascii="Times New Roman" w:hAnsi="Times New Roman" w:eastAsia="HY신명조"/>
                <w:b w:val="0"/>
                <w:sz w:val="18"/>
              </w:rPr>
              <w:t>Rain-scattering-type spurious returns (physical model [53][54])</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GNSS position noise</w:t>
            </w:r>
          </w:p>
        </w:tc>
        <w:tc>
          <w:tcPr>
            <w:tcW w:type="dxa" w:w="2126"/>
          </w:tcPr>
          <w:p>
            <w:pPr>
              <w:keepNext/>
              <w:spacing w:line="288" w:lineRule="auto" w:before="20" w:after="20"/>
              <w:jc w:val="left"/>
            </w:pPr>
            <w:r/>
            <w:r>
              <w:rPr>
                <w:rFonts w:ascii="Times New Roman" w:hAnsi="Times New Roman" w:eastAsia="HY신명조"/>
                <w:b w:val="0"/>
                <w:sz w:val="18"/>
              </w:rPr>
              <w:t>Gaussian position noise (EKF input contamination)</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gb</w:t>
            </w:r>
          </w:p>
        </w:tc>
        <w:tc>
          <w:tcPr>
            <w:tcW w:type="dxa" w:w="2126"/>
          </w:tcPr>
          <w:p>
            <w:pPr>
              <w:keepNext/>
              <w:spacing w:line="288" w:lineRule="auto" w:before="20" w:after="20"/>
              <w:jc w:val="left"/>
            </w:pPr>
            <w:r/>
            <w:r>
              <w:rPr>
                <w:rFonts w:ascii="Times New Roman" w:hAnsi="Times New Roman" w:eastAsia="HY신명조"/>
                <w:b w:val="0"/>
                <w:sz w:val="18"/>
              </w:rPr>
              <w:t>GNSS correlated bias</w:t>
            </w:r>
          </w:p>
        </w:tc>
        <w:tc>
          <w:tcPr>
            <w:tcW w:type="dxa" w:w="2126"/>
          </w:tcPr>
          <w:p>
            <w:pPr>
              <w:keepNext/>
              <w:spacing w:line="288" w:lineRule="auto" w:before="20" w:after="20"/>
              <w:jc w:val="left"/>
            </w:pPr>
            <w:r/>
            <w:r>
              <w:rPr>
                <w:rFonts w:ascii="Times New Roman" w:hAnsi="Times New Roman" w:eastAsia="HY신명조"/>
                <w:b w:val="0"/>
                <w:sz w:val="18"/>
              </w:rPr>
              <w:t>First-order Gauss-Markov bias (multipath-type [61])</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IMU noise</w:t>
            </w:r>
          </w:p>
        </w:tc>
        <w:tc>
          <w:tcPr>
            <w:tcW w:type="dxa" w:w="2126"/>
          </w:tcPr>
          <w:p>
            <w:pPr>
              <w:keepNext/>
              <w:spacing w:line="288" w:lineRule="auto" w:before="20" w:after="20"/>
              <w:jc w:val="left"/>
            </w:pPr>
            <w:r/>
            <w:r>
              <w:rPr>
                <w:rFonts w:ascii="Times New Roman" w:hAnsi="Times New Roman" w:eastAsia="HY신명조"/>
                <w:b w:val="0"/>
                <w:sz w:val="18"/>
              </w:rPr>
              <w:t>Gyro white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imb</w:t>
            </w:r>
          </w:p>
        </w:tc>
        <w:tc>
          <w:tcPr>
            <w:tcW w:type="dxa" w:w="2126"/>
          </w:tcPr>
          <w:p>
            <w:pPr>
              <w:keepNext/>
              <w:spacing w:line="288" w:lineRule="auto" w:before="20" w:after="20"/>
              <w:jc w:val="left"/>
            </w:pPr>
            <w:r/>
            <w:r>
              <w:rPr>
                <w:rFonts w:ascii="Times New Roman" w:hAnsi="Times New Roman" w:eastAsia="HY신명조"/>
                <w:b w:val="0"/>
                <w:sz w:val="18"/>
              </w:rPr>
              <w:t>IMU gyro bias</w:t>
            </w:r>
          </w:p>
        </w:tc>
        <w:tc>
          <w:tcPr>
            <w:tcW w:type="dxa" w:w="2126"/>
          </w:tcPr>
          <w:p>
            <w:pPr>
              <w:keepNext/>
              <w:spacing w:line="288" w:lineRule="auto" w:before="20" w:after="20"/>
              <w:jc w:val="left"/>
            </w:pPr>
            <w:r/>
            <w:r>
              <w:rPr>
                <w:rFonts w:ascii="Times New Roman" w:hAnsi="Times New Roman" w:eastAsia="HY신명조"/>
                <w:b w:val="0"/>
                <w:sz w:val="18"/>
              </w:rPr>
              <w:t>Step-type constant bias</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imd</w:t>
            </w:r>
          </w:p>
        </w:tc>
        <w:tc>
          <w:tcPr>
            <w:tcW w:type="dxa" w:w="2126"/>
          </w:tcPr>
          <w:p>
            <w:pPr>
              <w:keepNext/>
              <w:spacing w:line="288" w:lineRule="auto" w:before="20" w:after="20"/>
              <w:jc w:val="left"/>
            </w:pPr>
            <w:r/>
            <w:r>
              <w:rPr>
                <w:rFonts w:ascii="Times New Roman" w:hAnsi="Times New Roman" w:eastAsia="HY신명조"/>
                <w:b w:val="0"/>
                <w:sz w:val="18"/>
              </w:rPr>
              <w:t>IMU bias drift</w:t>
            </w:r>
          </w:p>
        </w:tc>
        <w:tc>
          <w:tcPr>
            <w:tcW w:type="dxa" w:w="2126"/>
          </w:tcPr>
          <w:p>
            <w:pPr>
              <w:keepNext/>
              <w:spacing w:line="288" w:lineRule="auto" w:before="20" w:after="20"/>
              <w:jc w:val="left"/>
            </w:pPr>
            <w:r/>
            <w:r>
              <w:rPr>
                <w:rFonts w:ascii="Times New Roman" w:hAnsi="Times New Roman" w:eastAsia="HY신명조"/>
                <w:b w:val="0"/>
                <w:sz w:val="18"/>
              </w:rPr>
              <w:t>Time-proportional ramp</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spacing w:line="288" w:lineRule="auto" w:before="20" w:after="20"/>
              <w:jc w:val="left"/>
            </w:pPr>
            <w:r/>
            <w:r>
              <w:rPr>
                <w:rFonts w:ascii="Times New Roman" w:hAnsi="Times New Roman" w:eastAsia="HY신명조"/>
                <w:b w:val="0"/>
                <w:sz w:val="18"/>
              </w:rPr>
              <w:t>gf</w:t>
            </w:r>
          </w:p>
        </w:tc>
        <w:tc>
          <w:tcPr>
            <w:tcW w:type="dxa" w:w="2126"/>
          </w:tcPr>
          <w:p>
            <w:pPr>
              <w:spacing w:line="288" w:lineRule="auto" w:before="20" w:after="20"/>
              <w:jc w:val="left"/>
            </w:pPr>
            <w:r/>
            <w:r>
              <w:rPr>
                <w:rFonts w:ascii="Times New Roman" w:hAnsi="Times New Roman" w:eastAsia="HY신명조"/>
                <w:b w:val="0"/>
                <w:sz w:val="18"/>
              </w:rPr>
              <w:t>GNSS outage</w:t>
            </w:r>
          </w:p>
        </w:tc>
        <w:tc>
          <w:tcPr>
            <w:tcW w:type="dxa" w:w="2126"/>
          </w:tcPr>
          <w:p>
            <w:pPr>
              <w:spacing w:line="288" w:lineRule="auto" w:before="20" w:after="20"/>
              <w:jc w:val="left"/>
            </w:pPr>
            <w:r/>
            <w:r>
              <w:rPr>
                <w:rFonts w:ascii="Times New Roman" w:hAnsi="Times New Roman" w:eastAsia="HY신명조"/>
                <w:b w:val="0"/>
                <w:sz w:val="18"/>
              </w:rPr>
              <w:t>Input silence</w:t>
            </w:r>
          </w:p>
        </w:tc>
        <w:tc>
          <w:tcPr>
            <w:tcW w:type="dxa" w:w="2126"/>
          </w:tcPr>
          <w:p>
            <w:pPr>
              <w:spacing w:line="288" w:lineRule="auto" w:before="20" w:after="20"/>
              <w:jc w:val="left"/>
            </w:pPr>
            <w:r/>
            <w:r>
              <w:rPr>
                <w:rFonts w:ascii="Times New Roman" w:hAnsi="Times New Roman" w:eastAsia="HY신명조"/>
                <w:b w:val="0"/>
                <w:sz w:val="18"/>
              </w:rPr>
              <w:t>-</w:t>
            </w:r>
          </w:p>
        </w:tc>
      </w:tr>
    </w:tbl>
    <w:p>
      <w:pPr>
        <w:spacing w:line="312" w:lineRule="auto" w:before="0" w:after="0"/>
      </w:pPr>
      <w:r>
        <w:rPr>
          <w:rFonts w:ascii="Times New Roman" w:hAnsi="Times New Roman" w:eastAsia="HY신명조"/>
          <w:b w:val="0"/>
          <w:sz w:val="18"/>
        </w:rPr>
        <w:t>Note: The main campaign matrix used cf, cn, lf, lso, lcl, gn, and imn (×mid/high) — for some fault types even medium intensity lies in the tolerated range, so the budget was concentrated on mid/high and the non-execution of the low level is stated explicitly. The four navigation faults (gb, gf, imb, imd) were evaluated in a navigation-extension matrix with the identical matrix structure (Chapter 5, Section 1). In all navigation injections, the covariance fields of the messages retain normal values — this models an overconfident integrity fault in which the receiver is unaware of its own degradation. The abbreviations gb and gf correspond to the tags gm and gb in the raw experimental data (tag renaming).</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4-2. </w:t>
      </w:r>
      <w:r>
        <w:rPr>
          <w:rFonts w:ascii="Times New Roman" w:hAnsi="Times New Roman" w:eastAsia="HY신명조"/>
          <w:b w:val="0"/>
          <w:sz w:val="18"/>
        </w:rPr>
        <w:t>Sensor-level effects of fault injection — before/after applying the same physical equations and parameters as the injector to one measured Town07 LiDAR scan and camera frame. (a) LiDAR sparsification (lso): intensity attenuation (T²) in the front contaminated sector and disappearance below the detection threshold — distant, dark targets vanish first. (b) LiDAR clutter (lcl): long-range dropout from precipitation attenuation, range jitter, and near-range-biased spurious returns (red). (c) Camera pixel noise (cn). (d) GNSS fault waveforms — white noise (gn), correlated bias (gb), outage (gf). (e) Gyro fault waveforms — white noise (imn), fixed bias (imb), bias ramp (imd). Panel parameters are the injector's raw values corresponding to the severity definitions of Table 4-2 (representative values in Table 4-5); outage (gf) and death-type faults have no severity grades.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3. Main Campaign Matrix</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main campaign is a matrix of fault type × severity × traffic density (none/def/agg: no traffic / defensive / aggressive) × method (ours/baseline) × repetition, executed serially by a battery script, with infrastructure-failure cases re-collected via a retry chain. The total number of valid cases is 1,131 (39 short of the planned 1,170, all in lcl-high — accounting in Table 4-3). This includes the results of fully re-running the 450 affected camera- and navigation-family cases after a defect in the evacuation-site cost function that miscounted traffic lights (fixed with the clustering method of Chapter 3, Section 5) was uncovered — the discovery process and scope are stated explicitly so that follow-up research can treat map annotation quality as a hidden confounding variable in evacuation-site selection.</w:t>
      </w:r>
    </w:p>
    <w:p>
      <w:pPr>
        <w:keepNext/>
        <w:spacing w:line="312" w:lineRule="auto" w:before="40" w:after="0"/>
      </w:pPr>
      <w:r>
        <w:rPr>
          <w:rFonts w:ascii="Times New Roman" w:hAnsi="Times New Roman" w:eastAsia="HY신명조"/>
          <w:b/>
          <w:sz w:val="18"/>
        </w:rPr>
        <w:t xml:space="preserve">Table 4-3. </w:t>
      </w:r>
      <w:r>
        <w:rPr>
          <w:rFonts w:ascii="Times New Roman" w:hAnsi="Times New Roman" w:eastAsia="HY신명조"/>
          <w:b w:val="0"/>
          <w:sz w:val="18"/>
        </w:rPr>
        <w:t>Main-campaign case accounting — planned versus final valid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Block</w:t>
            </w:r>
          </w:p>
        </w:tc>
        <w:tc>
          <w:tcPr>
            <w:tcW w:type="dxa" w:w="2126"/>
          </w:tcPr>
          <w:p>
            <w:pPr>
              <w:keepNext/>
              <w:spacing w:line="288" w:lineRule="auto" w:before="20" w:after="20"/>
              <w:jc w:val="center"/>
            </w:pPr>
            <w:r/>
            <w:r>
              <w:rPr>
                <w:rFonts w:ascii="Times New Roman" w:hAnsi="Times New Roman" w:eastAsia="HY신명조"/>
                <w:b/>
                <w:sz w:val="18"/>
              </w:rPr>
              <w:t>Planned</w:t>
            </w:r>
          </w:p>
        </w:tc>
        <w:tc>
          <w:tcPr>
            <w:tcW w:type="dxa" w:w="2126"/>
          </w:tcPr>
          <w:p>
            <w:pPr>
              <w:keepNext/>
              <w:spacing w:line="288" w:lineRule="auto" w:before="20" w:after="20"/>
              <w:jc w:val="center"/>
            </w:pPr>
            <w:r/>
            <w:r>
              <w:rPr>
                <w:rFonts w:ascii="Times New Roman" w:hAnsi="Times New Roman" w:eastAsia="HY신명조"/>
                <w:b/>
                <w:sz w:val="18"/>
              </w:rPr>
              <w:t>Final valid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141</w:t>
            </w:r>
          </w:p>
        </w:tc>
        <w:tc>
          <w:tcPr>
            <w:tcW w:type="dxa" w:w="2126"/>
          </w:tcPr>
          <w:p>
            <w:pPr>
              <w:keepNext/>
              <w:spacing w:line="288" w:lineRule="auto" w:before="20" w:after="20"/>
              <w:jc w:val="left"/>
            </w:pPr>
            <w:r/>
            <w:r>
              <w:rPr>
                <w:rFonts w:ascii="Times New Roman" w:hAnsi="Times New Roman" w:eastAsia="HY신명조"/>
                <w:b w:val="0"/>
                <w:sz w:val="18"/>
              </w:rPr>
              <w:t>39 short in lcl-high — final batch halted (30 aggressive and 9 defensive cases unexecuted); subsequent batches excluded for failing the adoption criteria (traffic density, trigger tolerance)</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 row CARLA_DIED — replaced by a same-condition re-run</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nf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false-activation control</w:t>
            </w:r>
          </w:p>
        </w:tc>
      </w:tr>
      <w:tr>
        <w:trPr>
          <w:cantSplit/>
        </w:trPr>
        <w:tc>
          <w:tcPr>
            <w:tcW w:type="dxa" w:w="2126"/>
          </w:tcPr>
          <w:p>
            <w:pPr>
              <w:spacing w:line="288" w:lineRule="auto" w:before="20" w:after="20"/>
              <w:jc w:val="left"/>
            </w:pPr>
            <w:r/>
            <w:r>
              <w:rPr>
                <w:rFonts w:ascii="Times New Roman" w:hAnsi="Times New Roman" w:eastAsia="HY신명조"/>
                <w:b w:val="0"/>
                <w:sz w:val="18"/>
              </w:rPr>
              <w:t>Total</w:t>
            </w:r>
          </w:p>
        </w:tc>
        <w:tc>
          <w:tcPr>
            <w:tcW w:type="dxa" w:w="2126"/>
          </w:tcPr>
          <w:p>
            <w:pPr>
              <w:spacing w:line="288" w:lineRule="auto" w:before="20" w:after="20"/>
              <w:jc w:val="left"/>
            </w:pPr>
            <w:r/>
            <w:r>
              <w:rPr>
                <w:rFonts w:ascii="Times New Roman" w:hAnsi="Times New Roman" w:eastAsia="HY신명조"/>
                <w:b w:val="0"/>
                <w:sz w:val="18"/>
              </w:rPr>
              <w:t>1,170</w:t>
            </w:r>
          </w:p>
        </w:tc>
        <w:tc>
          <w:tcPr>
            <w:tcW w:type="dxa" w:w="2126"/>
          </w:tcPr>
          <w:p>
            <w:pPr>
              <w:spacing w:line="288" w:lineRule="auto" w:before="20" w:after="20"/>
              <w:jc w:val="left"/>
            </w:pPr>
            <w:r/>
            <w:r>
              <w:rPr>
                <w:rFonts w:ascii="Times New Roman" w:hAnsi="Times New Roman" w:eastAsia="HY신명조"/>
                <w:b w:val="0"/>
                <w:sz w:val="18"/>
              </w:rPr>
              <w:t>1,131</w:t>
            </w:r>
          </w:p>
        </w:tc>
        <w:tc>
          <w:tcPr>
            <w:tcW w:type="dxa" w:w="2126"/>
          </w:tcPr>
          <w:p>
            <w:pPr>
              <w:spacing w:line="288" w:lineRule="auto" w:before="20" w:after="20"/>
              <w:jc w:val="left"/>
            </w:pPr>
            <w:r/>
            <w:r>
              <w:rPr>
                <w:rFonts w:ascii="Times New Roman" w:hAnsi="Times New Roman" w:eastAsia="HY신명조"/>
                <w:b w:val="0"/>
                <w:sz w:val="18"/>
              </w:rPr>
            </w:r>
          </w:p>
        </w:tc>
      </w:tr>
    </w:tbl>
    <w:p>
      <w:pPr>
        <w:spacing w:line="312" w:lineRule="auto" w:before="0" w:after="0"/>
      </w:pPr>
      <w:r>
        <w:rPr>
          <w:rFonts w:ascii="Times New Roman" w:hAnsi="Times New Roman" w:eastAsia="HY신명조"/>
          <w:b w:val="0"/>
          <w:sz w:val="18"/>
        </w:rPr>
        <w:t>Infrastructure failures (CARLA_DIED/SETUP_FAIL) were replaced by same-condition re-runs; the adopted batch per block and the replacement rules are fixed in the merge script (merge_all.py).</w:t>
      </w:r>
    </w:p>
    <w:p>
      <w:pPr>
        <w:spacing w:line="501" w:lineRule="exact" w:before="0" w:after="0"/>
      </w:pPr>
    </w:p>
    <w:p>
      <w:pPr>
        <w:spacing w:line="501" w:lineRule="exact" w:before="0" w:after="0"/>
        <w:jc w:val="both"/>
      </w:pPr>
      <w:r>
        <w:rPr>
          <w:rFonts w:ascii="Times New Roman" w:hAnsi="Times New Roman" w:eastAsia="HY신명조"/>
          <w:b w:val="0"/>
          <w:sz w:val="22"/>
        </w:rPr>
        <w:t xml:space="preserve">   Traffic density has three levels — no traffic (none), defensive (def), and aggressive (agg) — and defensive traffic applies courtesy rules that prevent unrealistic behavior (maintaining a minimum gap of 7 m to stopped vehicles, no respawning near evacuation sites) so that evacuation-completion adjudication is not contaminated by NPC spawn artifacts.</w:t>
      </w:r>
    </w:p>
    <w:p>
      <w:pPr>
        <w:spacing w:line="501" w:lineRule="exact" w:before="0" w:after="0"/>
      </w:pPr>
    </w:p>
    <w:p>
      <w:pPr>
        <w:spacing w:line="501" w:lineRule="exact" w:before="0" w:after="0"/>
      </w:pPr>
      <w:r>
        <w:rPr>
          <w:rFonts w:ascii="Times New Roman" w:hAnsi="Times New Roman" w:eastAsia="HY신명조"/>
          <w:b/>
          <w:sz w:val="28"/>
        </w:rPr>
        <w:t>4. Pedestrian Dart-out Encounter Injector</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encounter-level safety evaluation, an independent process (hazard_injector) that injects pedestrian dart-out crossings runs in the leaderboard container — a decoupled design that modifies neither the agent nor the runner, so defects in the injection logic do not propagate into the driving stack. Encounter fairness was secured through repeated measurement: (i) spawning starts the crossing not from the sidewalk but from the right edge of the driving lane (+0.5 m), eliminating encounter non-formation caused by spawns outside the guardrail; (ii) 1-second-period re-commanding and walking-speed verification (&gt;1 m/s) block stationary-mannequin encounters; (iii) the trigger uses passage of a fixed point along the route (the dose-response experiment uses a settlement-state trigger); (iv) lead correction matched to ego progress and stopping 12 m after crossing prevent contamination from side contacts and late contacts; and (v) the ego position is obtained from the ROS localization topic (a workaround for the unresolved phenomenon in which the CARLA actor list appears empty from an external client, with the coordinate-frame y-sign flip handled).</w:t>
      </w:r>
    </w:p>
    <w:p>
      <w:pPr>
        <w:spacing w:line="501" w:lineRule="exact" w:before="0" w:after="0"/>
        <w:jc w:val="both"/>
      </w:pPr>
      <w:r>
        <w:rPr>
          <w:rFonts w:ascii="Times New Roman" w:hAnsi="Times New Roman" w:eastAsia="HY신명조"/>
          <w:b w:val="0"/>
          <w:sz w:val="22"/>
        </w:rPr>
        <w:t xml:space="preserve">   The v5 injector adds three things. First, a state-establishment trigger: it subscribes to the supervisor state and the measured speed, and launches the pedestrian at the specified distance ahead, at the right lane edge (lateral jitter ± 0.2 m), only at the moment the state under comparison actually holds — the precondition is verified by the manipulation check so that launching does not depend on the policy behavior. Second, fault-waveform seed fixing (FAULT_SEED). Third, CARLA physics-tick-synchronized recording: ego and pedestrian coordinates, speeds, and separation at every physics frame are recorded to a per-case CSV.</w:t>
      </w:r>
    </w:p>
    <w:p>
      <w:pPr>
        <w:spacing w:line="501" w:lineRule="exact" w:before="0" w:after="0"/>
        <w:jc w:val="both"/>
      </w:pPr>
      <w:r>
        <w:rPr>
          <w:rFonts w:ascii="Times New Roman" w:hAnsi="Times New Roman" w:eastAsia="HY신명조"/>
          <w:b w:val="0"/>
          <w:sz w:val="22"/>
        </w:rPr>
        <w:t xml:space="preserve">   The reliability of the injector itself is managed as part of the experimental infrastructure: survival of the recording channel is guaranteed by a watchdog (runs with lost records are invalid — Section 5), and in the 8 m encounter comparison an arming scheme activates the trigger only after the state under comparison has been confirmed, preventing contamination by state-mismatched encounters.</w:t>
      </w:r>
    </w:p>
    <w:p>
      <w:pPr>
        <w:spacing w:line="501" w:lineRule="exact" w:before="0" w:after="0"/>
      </w:pPr>
    </w:p>
    <w:p>
      <w:pPr>
        <w:spacing w:line="501" w:lineRule="exact" w:before="0" w:after="0"/>
      </w:pPr>
      <w:r>
        <w:rPr>
          <w:rFonts w:ascii="Times New Roman" w:hAnsi="Times New Roman" w:eastAsia="HY신명조"/>
          <w:b/>
          <w:sz w:val="28"/>
        </w:rPr>
        <w:t>5. Collision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section formally reports an adjudication-reliability incident that occurred during the experiments and its reconstruction. The initial implementation adjudicated collisions with a collision sensor attached to the pedestrian. However, it was confirmed by measurement that this sensor never fired in CARLA — it remained silent even in cases where the official adjudicator confirmed a collision. On top of this, the death of the injector's ROS listener caused the loss of separation records, so many cases in the non-intervention arm were misjudged as "avoided" without evidence. This misjudgment was uncovered by visual review of the experiment videos, and the affected data were discarded in full and re-run.</w:t>
      </w:r>
    </w:p>
    <w:p>
      <w:pPr>
        <w:spacing w:line="501" w:lineRule="exact" w:before="0" w:after="0"/>
        <w:jc w:val="both"/>
      </w:pPr>
      <w:r>
        <w:rPr>
          <w:rFonts w:ascii="Times New Roman" w:hAnsi="Times New Roman" w:eastAsia="HY신명조"/>
          <w:b w:val="0"/>
          <w:sz w:val="22"/>
        </w:rPr>
        <w:t xml:space="preserve">   The reconstructed adjudication system has two layers. First, the primary adjudication (primary ground truth) is the real-time ledger of the ego vehicle's collision sensor. The callback of the sensor.other.collision that the official leaderboard adjudicator (CollisionTest) attaches to the ego is patched so that, the moment a collision occurs, it is written to a file together with the counterpart actor identifier (the RAW-HIT ledger). Unlike the official infraction tally, it persists regardless of a case's early or forced termination, and grazes of endpoint structures (static.pole) are classified separately. Second, consistency audits comprise the pedestrian physics oracle and the separation stream. In a vehicle-pedestrian collision, the pedestrian is flung 12–28 m, a kinematic anomaly (speed &gt;4.5 m/s or a jump exceeding 5 m within 1 second), which serves as a cross-check by a computation path independent of the ledger (though not fully independent, since it is the same physics engine). We note the history that the initial 2 m jump threshold falsely flagged normal walking speed (about 3 m/s) and was raised. </w:t>
      </w:r>
    </w:p>
    <w:p>
      <w:pPr>
        <w:spacing w:line="501" w:lineRule="exact" w:before="0" w:after="0"/>
        <w:jc w:val="both"/>
      </w:pPr>
      <w:r>
        <w:rPr>
          <w:rFonts w:ascii="Times New Roman" w:hAnsi="Times New Roman" w:eastAsia="HY신명조"/>
          <w:b w:val="0"/>
          <w:sz w:val="22"/>
        </w:rPr>
        <w:t xml:space="preserve">   In addition, we specify the adjudication pitfalls of the experiment runner's termination labels. (i) The collision label may include contact with endpoint structures — it must be distinguished by the counterpart actor in the ledger. (ii) The hazardous-stop label may include post-collision stops — "no collision" cannot be claimed from the label alone. (iii) The simulator's official infractions are saved only on natural termination — a recording gap in an early-terminated case is not evidence of no collision. All encounter-level safety figures in this thesis are ledger-based.</w:t>
      </w:r>
    </w:p>
    <w:p>
      <w:pPr>
        <w:spacing w:line="501" w:lineRule="exact" w:before="0" w:after="0"/>
        <w:jc w:val="both"/>
      </w:pPr>
      <w:r>
        <w:rPr>
          <w:rFonts w:ascii="Times New Roman" w:hAnsi="Times New Roman" w:eastAsia="HY신명조"/>
          <w:b w:val="0"/>
          <w:sz w:val="22"/>
        </w:rPr>
        <w:t xml:space="preserve">   The clock for latency figures is unified to simulation time. When a hardware-death fault is injected, actor destruction causes a processing stall in the simulator (about 1.6 s) during which simulation time stops; since the world (including pedestrians and traffic) stops with it, the correct clock for safety-related latency is simulation time, and wall-clock measurement overestimates latency by including this stall. The adjudicated latency is computed by recording the injection time (injector) and the state-transition time (supervisor) in simulation time to append-only ledgers independent of case termination, and a stop-before-destroy stream halt ensures that residual frames after destruction do not distort the silence onset time.</w:t>
      </w:r>
    </w:p>
    <w:p>
      <w:pPr>
        <w:spacing w:line="501" w:lineRule="exact" w:before="0" w:after="0"/>
      </w:pPr>
    </w:p>
    <w:p>
      <w:pPr>
        <w:spacing w:line="501" w:lineRule="exact" w:before="0" w:after="0"/>
      </w:pPr>
      <w:r>
        <w:rPr>
          <w:rFonts w:ascii="Times New Roman" w:hAnsi="Times New Roman" w:eastAsia="HY신명조"/>
          <w:b/>
          <w:sz w:val="28"/>
        </w:rPr>
        <w:t>6. Distance Ladder and 8 m Encounter Experiment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measure the avoidance/collision boundary by speed, the pedestrian spawn distance was varied as a ladder. (i) Fault-free ladder: fault-free stock stack, spawn distances {14, 11, 8, 6, 5} m × n=4 per distance at a waypoint during normal driving (4.2 m/s). (ii) Blinded ladder: stock under complete LiDAR degradation (lso-high), same distance set (per-distance n as reported in Table 5-3). (iii) 8 m encounter comparison: comparison of the proposed low-speed MRM and stock against an 8 m dart-out under a gn-mid fault (only the EKF localization input contaminated, perception intact) — cf was excluded because traffic-signal reading is impossible and encounters do not form, and gn-high was excluded because most cases end in comfortable stops (the selection process itself corroborates the behavioral differences across faults). (iv) Low-speed ladder: {8, 7, 6, 5} m at the proposed system's nominal 3.0 m/s low-speed cruise (restart cruise; the explicit cap was later found undelivered in these runs — Chapter 5, Sections 7-8). Since the fault-free ladder and the low-speed ladder use different launch protocols, the comparison axis is the encounter speed of "encounters during constant-speed cruising" (specified in Chapter 5, Section 7). (v) Dose-response experiment: after fixing the cap-delivery defect, caps {4.2, 3.6, 3.0} m/s × spawn distances {6, 7, 8, 9} m × 10 seeds (seeds S12–S21, ten in total, with fault waveform, walking speed, lateral jitter, and pedestrian randomness fixed per seed (Table 4-5); gn-mid, injection fixed at 25 s) = 120 runs. Launch uses a settlement trigger rather than a time trigger — the pedestrian is spawned D m ahead at the moment the supervisor is in MRM_MOVE and the measured speed has stayed within the cap-specific band for 1.0 s continuously (bands in Table 4-5) — so that "an encounter under an actually holding cap" is guaranteed at the trigger level. The three cap arms differ only in the value passed through the identical software path (the external velocity-limit interface) (Chapter 5, Section 6). Adjudication follows the ledger standard of Section 5; the exception for runs predating the ledger is stated in Chapter 5, Section 3.</w:t>
      </w:r>
    </w:p>
    <w:p>
      <w:pPr>
        <w:spacing w:line="501" w:lineRule="exact" w:before="0" w:after="0"/>
      </w:pPr>
    </w:p>
    <w:p>
      <w:pPr>
        <w:spacing w:line="501" w:lineRule="exact" w:before="0" w:after="0"/>
      </w:pPr>
      <w:r>
        <w:rPr>
          <w:rFonts w:ascii="Times New Roman" w:hAnsi="Times New Roman" w:eastAsia="HY신명조"/>
          <w:b/>
          <w:sz w:val="28"/>
        </w:rPr>
        <w:t>7. Metrics and Statistics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metric of encounter-level safety is the collision rate, reported up front with Wilson 95% confidence intervals. Inferential testing is pre-specified as the single primary endpoint of the dose-response experiment (Chapter 5, Section 6) — the paired 4.2↔3.0 m/s collision difference at the 8 m spawn (exact McNemar) — with the remaining distance-cap combinations reported only as boundary characterization (in small samples, the p-value of exact McNemar changes discretely: even when discordant pairs occur in only one direction, 5:0 gives p=0.0625, not significant, and 6:0 first falls below 0.05 with p=0.03125). Fisher's exact test is used for unpaired auxiliary comparisons. For the dose-response experiment (Chapter 5, Section 6), a single primary endpoint — the paired collision difference between 4.2 and 3.0 m/s at the 8 m spawn (exact McNemar) — was pre-specified before data collection; the remaining distance-cap combinations are reported only as boundary characterization (descriptive statistics with Wilson CIs). As a precondition check on encounter validity (manipulation check), a run with no launch within 420 s, a first-tick encounter speed outside the band (0.15 m/s tolerance), or a spawn violating the ahead-of-ego geometry is rejected and re-run under identical conditions regardless of its outcome. As the exposure metric, distance traveled in the faulted state, deg_dist (distance moved from fault injection to reaching MRC), is defined. The stop-versus-evacuation trade-off is presented along the two axes of collision rate and lane clearance.</w:t>
      </w:r>
    </w:p>
    <w:p>
      <w:pPr>
        <w:spacing w:line="501" w:lineRule="exact" w:before="0" w:after="0"/>
      </w:pPr>
    </w:p>
    <w:p>
      <w:pPr>
        <w:spacing w:line="501" w:lineRule="exact" w:before="0" w:after="0"/>
      </w:pPr>
      <w:r>
        <w:rPr>
          <w:rFonts w:ascii="Times New Roman" w:hAnsi="Times New Roman" w:eastAsia="HY신명조"/>
          <w:b/>
          <w:sz w:val="28"/>
        </w:rPr>
        <w:t>8. Reproducibility: Key Experimental Parameters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reproducibility, the key parameters across the experiments are summarized in Table 4-5. All values are exactly the configurations used when the experiments were run, and the supporting section is indicated alongside.</w:t>
      </w:r>
    </w:p>
    <w:p>
      <w:pPr>
        <w:keepNext/>
        <w:spacing w:line="312" w:lineRule="auto" w:before="40" w:after="0"/>
      </w:pPr>
      <w:r>
        <w:rPr>
          <w:rFonts w:ascii="Times New Roman" w:hAnsi="Times New Roman" w:eastAsia="HY신명조"/>
          <w:b/>
          <w:sz w:val="18"/>
        </w:rPr>
        <w:t xml:space="preserve">Table 4-5. </w:t>
      </w:r>
      <w:r>
        <w:rPr>
          <w:rFonts w:ascii="Times New Roman" w:hAnsi="Times New Roman" w:eastAsia="HY신명조"/>
          <w:b w:val="0"/>
          <w:sz w:val="18"/>
        </w:rPr>
        <w:t>Summary of key experimental parameters</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Times New Roman" w:hAnsi="Times New Roman" w:eastAsia="HY신명조"/>
                <w:b/>
                <w:sz w:val="18"/>
              </w:rPr>
              <w:t>Item</w:t>
            </w:r>
          </w:p>
        </w:tc>
        <w:tc>
          <w:tcPr>
            <w:tcW w:type="dxa" w:w="2835"/>
          </w:tcPr>
          <w:p>
            <w:pPr>
              <w:spacing w:line="288" w:lineRule="auto" w:before="20" w:after="20"/>
              <w:jc w:val="center"/>
            </w:pPr>
            <w:r/>
            <w:r>
              <w:rPr>
                <w:rFonts w:ascii="Times New Roman" w:hAnsi="Times New Roman" w:eastAsia="HY신명조"/>
                <w:b/>
                <w:sz w:val="18"/>
              </w:rPr>
              <w:t>Value</w:t>
            </w:r>
          </w:p>
        </w:tc>
        <w:tc>
          <w:tcPr>
            <w:tcW w:type="dxa" w:w="2835"/>
          </w:tcPr>
          <w:p>
            <w:pPr>
              <w:spacing w:line="288" w:lineRule="auto" w:before="20" w:after="20"/>
              <w:jc w:val="center"/>
            </w:pPr>
            <w:r/>
            <w:r>
              <w:rPr>
                <w:rFonts w:ascii="Times New Roman" w:hAnsi="Times New Roman" w:eastAsia="HY신명조"/>
                <w:b/>
                <w:sz w:val="18"/>
              </w:rPr>
              <w:t>Remarks</w:t>
            </w:r>
          </w:p>
        </w:tc>
      </w:tr>
      <w:tr>
        <w:trPr>
          <w:cantSplit/>
        </w:trPr>
        <w:tc>
          <w:tcPr>
            <w:tcW w:type="dxa" w:w="2835"/>
          </w:tcPr>
          <w:p>
            <w:pPr>
              <w:spacing w:line="288" w:lineRule="auto" w:before="20" w:after="20"/>
              <w:jc w:val="left"/>
            </w:pPr>
            <w:r/>
            <w:r>
              <w:rPr>
                <w:rFonts w:ascii="Times New Roman" w:hAnsi="Times New Roman" w:eastAsia="HY신명조"/>
                <w:b w:val="0"/>
                <w:sz w:val="18"/>
              </w:rPr>
              <w:t>State-transition thresholds</w:t>
            </w:r>
          </w:p>
        </w:tc>
        <w:tc>
          <w:tcPr>
            <w:tcW w:type="dxa" w:w="2835"/>
          </w:tcPr>
          <w:p>
            <w:pPr>
              <w:spacing w:line="288" w:lineRule="auto" w:before="20" w:after="20"/>
              <w:jc w:val="left"/>
            </w:pPr>
            <w:r/>
            <w:r>
              <w:rPr>
                <w:rFonts w:ascii="Times New Roman" w:hAnsi="Times New Roman" w:eastAsia="HY신명조"/>
                <w:b w:val="0"/>
                <w:sz w:val="18"/>
              </w:rPr>
              <w:t>upper 0.7 / lower 0.3</w:t>
            </w:r>
          </w:p>
        </w:tc>
        <w:tc>
          <w:tcPr>
            <w:tcW w:type="dxa" w:w="2835"/>
          </w:tcPr>
          <w:p>
            <w:pPr>
              <w:spacing w:line="288" w:lineRule="auto" w:before="20" w:after="20"/>
              <w:jc w:val="left"/>
            </w:pPr>
            <w:r/>
            <w:r>
              <w:rPr>
                <w:rFonts w:ascii="Times New Roman" w:hAnsi="Times New Roman" w:eastAsia="HY신명조"/>
                <w:b w:val="0"/>
                <w:sz w:val="18"/>
              </w:rPr>
              <w:t>Dual thresholds — three bands: normal/evacuation/deferral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Freshness deadline τ_fresh</w:t>
            </w:r>
          </w:p>
        </w:tc>
        <w:tc>
          <w:tcPr>
            <w:tcW w:type="dxa" w:w="2835"/>
          </w:tcPr>
          <w:p>
            <w:pPr>
              <w:spacing w:line="288" w:lineRule="auto" w:before="20" w:after="20"/>
              <w:jc w:val="left"/>
            </w:pPr>
            <w:r/>
            <w:r>
              <w:rPr>
                <w:rFonts w:ascii="Times New Roman" w:hAnsi="Times New Roman" w:eastAsia="HY신명조"/>
                <w:b w:val="0"/>
                <w:sz w:val="18"/>
              </w:rPr>
              <w:t>850 ms</w:t>
            </w:r>
          </w:p>
        </w:tc>
        <w:tc>
          <w:tcPr>
            <w:tcW w:type="dxa" w:w="2835"/>
          </w:tcPr>
          <w:p>
            <w:pPr>
              <w:spacing w:line="288" w:lineRule="auto" w:before="20" w:after="20"/>
              <w:jc w:val="left"/>
            </w:pPr>
            <w:r/>
            <w:r>
              <w:rPr>
                <w:rFonts w:ascii="Times New Roman" w:hAnsi="Times New Roman" w:eastAsia="HY신명조"/>
                <w:b w:val="0"/>
                <w:sz w:val="18"/>
              </w:rPr>
              <w:t>Decision criterion of the hard-fail fast path (Chapter 3, Sections 4-5)</w:t>
            </w:r>
          </w:p>
        </w:tc>
      </w:tr>
      <w:tr>
        <w:trPr>
          <w:cantSplit/>
        </w:trPr>
        <w:tc>
          <w:tcPr>
            <w:tcW w:type="dxa" w:w="2835"/>
          </w:tcPr>
          <w:p>
            <w:pPr>
              <w:spacing w:line="288" w:lineRule="auto" w:before="20" w:after="20"/>
              <w:jc w:val="left"/>
            </w:pPr>
            <w:r/>
            <w:r>
              <w:rPr>
                <w:rFonts w:ascii="Times New Roman" w:hAnsi="Times New Roman" w:eastAsia="HY신명조"/>
                <w:b w:val="0"/>
                <w:sz w:val="18"/>
              </w:rPr>
              <w:t>CUSUM parameters</w:t>
            </w:r>
          </w:p>
        </w:tc>
        <w:tc>
          <w:tcPr>
            <w:tcW w:type="dxa" w:w="2835"/>
          </w:tcPr>
          <w:p>
            <w:pPr>
              <w:spacing w:line="288" w:lineRule="auto" w:before="20" w:after="20"/>
              <w:jc w:val="left"/>
            </w:pPr>
            <w:r/>
            <w:r>
              <w:rPr>
                <w:rFonts w:ascii="Times New Roman" w:hAnsi="Times New Roman" w:eastAsia="HY신명조"/>
                <w:b w:val="0"/>
                <w:sz w:val="18"/>
              </w:rPr>
              <w:t>k = 0.5×fault-free baseline (adaptive) ·</w:t>
            </w:r>
          </w:p>
          <w:p>
            <w:pPr>
              <w:spacing w:line="288" w:lineRule="auto" w:before="20" w:after="20"/>
              <w:jc w:val="left"/>
            </w:pPr>
            <w:r>
              <w:rPr>
                <w:rFonts w:ascii="Times New Roman" w:hAnsi="Times New Roman" w:eastAsia="HY신명조"/>
                <w:b w:val="0"/>
                <w:sz w:val="18"/>
              </w:rPr>
              <w:t>h = 0.5 m (LiDAR σ) / 30 (camera σ)</w:t>
            </w:r>
          </w:p>
        </w:tc>
        <w:tc>
          <w:tcPr>
            <w:tcW w:type="dxa" w:w="2835"/>
          </w:tcPr>
          <w:p>
            <w:pPr>
              <w:spacing w:line="288" w:lineRule="auto" w:before="20" w:after="20"/>
              <w:jc w:val="left"/>
            </w:pPr>
            <w:r/>
            <w:r>
              <w:rPr>
                <w:rFonts w:ascii="Times New Roman" w:hAnsi="Times New Roman" w:eastAsia="HY신명조"/>
                <w:b w:val="0"/>
                <w:sz w:val="18"/>
              </w:rPr>
              <w:t>Change test on the quality series (Chapter 3, Section 2)</w:t>
            </w:r>
          </w:p>
        </w:tc>
      </w:tr>
      <w:tr>
        <w:trPr>
          <w:cantSplit/>
        </w:trPr>
        <w:tc>
          <w:tcPr>
            <w:tcW w:type="dxa" w:w="2835"/>
          </w:tcPr>
          <w:p>
            <w:pPr>
              <w:spacing w:line="288" w:lineRule="auto" w:before="20" w:after="20"/>
              <w:jc w:val="left"/>
            </w:pPr>
            <w:r/>
            <w:r>
              <w:rPr>
                <w:rFonts w:ascii="Times New Roman" w:hAnsi="Times New Roman" w:eastAsia="HY신명조"/>
                <w:b w:val="0"/>
                <w:sz w:val="18"/>
              </w:rPr>
              <w:t>Execution environment</w:t>
            </w:r>
          </w:p>
        </w:tc>
        <w:tc>
          <w:tcPr>
            <w:tcW w:type="dxa" w:w="2835"/>
          </w:tcPr>
          <w:p>
            <w:pPr>
              <w:spacing w:line="288" w:lineRule="auto" w:before="20" w:after="20"/>
              <w:jc w:val="left"/>
            </w:pPr>
            <w:r/>
            <w:r>
              <w:rPr>
                <w:rFonts w:ascii="Times New Roman" w:hAnsi="Times New Roman" w:eastAsia="HY신명조"/>
                <w:b w:val="0"/>
                <w:sz w:val="18"/>
              </w:rPr>
              <w:t>Autoware 0.39.0 · CARLA 0.9.16 ·</w:t>
            </w:r>
          </w:p>
          <w:p>
            <w:pPr>
              <w:spacing w:line="288" w:lineRule="auto" w:before="20" w:after="20"/>
              <w:jc w:val="left"/>
            </w:pPr>
            <w:r>
              <w:rPr>
                <w:rFonts w:ascii="Times New Roman" w:hAnsi="Times New Roman" w:eastAsia="HY신명조"/>
                <w:b w:val="0"/>
                <w:sz w:val="18"/>
              </w:rPr>
              <w:t>ROS 2 Humble</w:t>
            </w:r>
          </w:p>
        </w:tc>
        <w:tc>
          <w:tcPr>
            <w:tcW w:type="dxa" w:w="2835"/>
          </w:tcPr>
          <w:p>
            <w:pPr>
              <w:spacing w:line="288" w:lineRule="auto" w:before="20" w:after="20"/>
              <w:jc w:val="left"/>
            </w:pPr>
            <w:r/>
            <w:r>
              <w:rPr>
                <w:rFonts w:ascii="Times New Roman" w:hAnsi="Times New Roman" w:eastAsia="HY신명조"/>
                <w:b w:val="0"/>
                <w:sz w:val="18"/>
              </w:rPr>
              <w:t>Synchronous mode, fixed step 0.05 s, single workstation; implementation modules cdr_monitor and mrm_supervisor</w:t>
            </w:r>
          </w:p>
        </w:tc>
      </w:tr>
      <w:tr>
        <w:trPr>
          <w:cantSplit/>
        </w:trPr>
        <w:tc>
          <w:tcPr>
            <w:tcW w:type="dxa" w:w="2835"/>
          </w:tcPr>
          <w:p>
            <w:pPr>
              <w:spacing w:line="288" w:lineRule="auto" w:before="20" w:after="20"/>
              <w:jc w:val="left"/>
            </w:pPr>
            <w:r/>
            <w:r>
              <w:rPr>
                <w:rFonts w:ascii="Times New Roman" w:hAnsi="Times New Roman" w:eastAsia="HY신명조"/>
                <w:b w:val="0"/>
                <w:sz w:val="18"/>
              </w:rPr>
              <w:t>MRM movement speed cap</w:t>
            </w:r>
          </w:p>
        </w:tc>
        <w:tc>
          <w:tcPr>
            <w:tcW w:type="dxa" w:w="2835"/>
          </w:tcPr>
          <w:p>
            <w:pPr>
              <w:spacing w:line="288" w:lineRule="auto" w:before="20" w:after="20"/>
              <w:jc w:val="left"/>
            </w:pPr>
            <w:r/>
            <w:r>
              <w:rPr>
                <w:rFonts w:ascii="Times New Roman" w:hAnsi="Times New Roman" w:eastAsia="HY신명조"/>
                <w:b w:val="0"/>
                <w:sz w:val="18"/>
              </w:rPr>
              <w:t>3.0 m/s (fixed)</w:t>
            </w:r>
          </w:p>
        </w:tc>
        <w:tc>
          <w:tcPr>
            <w:tcW w:type="dxa" w:w="2835"/>
          </w:tcPr>
          <w:p>
            <w:pPr>
              <w:spacing w:line="288" w:lineRule="auto" w:before="20" w:after="20"/>
              <w:jc w:val="left"/>
            </w:pPr>
            <w:r/>
            <w:r>
              <w:rPr>
                <w:rFonts w:ascii="Times New Roman" w:hAnsi="Times New Roman" w:eastAsia="HY신명조"/>
                <w:b w:val="0"/>
                <w:sz w:val="18"/>
              </w:rPr>
              <w:t>Below the analytically back-calculated v_max≈3.89 m/s; a health-score-proportional cap is implemented but unused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Stopping-distance model</w:t>
            </w:r>
          </w:p>
        </w:tc>
        <w:tc>
          <w:tcPr>
            <w:tcW w:type="dxa" w:w="2835"/>
          </w:tcPr>
          <w:p>
            <w:pPr>
              <w:spacing w:line="288" w:lineRule="auto" w:before="20" w:after="20"/>
              <w:jc w:val="left"/>
            </w:pPr>
            <w:r/>
            <w:r>
              <w:rPr>
                <w:rFonts w:ascii="Times New Roman" w:hAnsi="Times New Roman" w:eastAsia="HY신명조"/>
                <w:b w:val="0"/>
                <w:sz w:val="18"/>
              </w:rPr>
              <w:t>τ=1.5 s, a=3.5 m/s²</w:t>
            </w:r>
          </w:p>
        </w:tc>
        <w:tc>
          <w:tcPr>
            <w:tcW w:type="dxa" w:w="2835"/>
          </w:tcPr>
          <w:p>
            <w:pPr>
              <w:spacing w:line="288" w:lineRule="auto" w:before="20" w:after="20"/>
              <w:jc w:val="left"/>
            </w:pPr>
            <w:r/>
            <w:r>
              <w:rPr>
                <w:rFonts w:ascii="Times New Roman" w:hAnsi="Times New Roman" w:eastAsia="HY신명조"/>
                <w:b w:val="0"/>
                <w:sz w:val="18"/>
              </w:rPr>
              <w:t>d = vτ + v²/2a (Eq. (3-9)); nominal values calibrated to the ladder boundary — a design approximation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Cost-function weights</w:t>
            </w:r>
          </w:p>
        </w:tc>
        <w:tc>
          <w:tcPr>
            <w:tcW w:type="dxa" w:w="2835"/>
          </w:tcPr>
          <w:p>
            <w:pPr>
              <w:spacing w:line="288" w:lineRule="auto" w:before="20" w:after="20"/>
              <w:jc w:val="left"/>
            </w:pPr>
            <w:r/>
            <w:r>
              <w:rPr>
                <w:rFonts w:ascii="Times New Roman" w:hAnsi="Times New Roman" w:eastAsia="HY신명조"/>
                <w:b w:val="0"/>
                <w:sz w:val="18"/>
              </w:rPr>
              <w:t>w_t=7.0/s · w_tl=200 · w_sec=500 · w_loc=14/s</w:t>
            </w:r>
          </w:p>
        </w:tc>
        <w:tc>
          <w:tcPr>
            <w:tcW w:type="dxa" w:w="2835"/>
          </w:tcPr>
          <w:p>
            <w:pPr>
              <w:spacing w:line="288" w:lineRule="auto" w:before="20" w:after="20"/>
              <w:jc w:val="left"/>
            </w:pPr>
            <w:r/>
            <w:r>
              <w:rPr>
                <w:rFonts w:ascii="Times New Roman" w:hAnsi="Times New Roman" w:eastAsia="HY신명조"/>
                <w:b w:val="0"/>
                <w:sz w:val="18"/>
              </w:rPr>
              <w:t>Eq. (3-8); expected wait 15 s per traffic light, shoulder MRC penalty 175 (≈25 s of degraded driving)</w:t>
            </w:r>
          </w:p>
        </w:tc>
      </w:tr>
      <w:tr>
        <w:trPr>
          <w:cantSplit/>
        </w:trPr>
        <w:tc>
          <w:tcPr>
            <w:tcW w:type="dxa" w:w="2835"/>
          </w:tcPr>
          <w:p>
            <w:pPr>
              <w:spacing w:line="288" w:lineRule="auto" w:before="20" w:after="20"/>
              <w:jc w:val="left"/>
            </w:pPr>
            <w:r/>
            <w:r>
              <w:rPr>
                <w:rFonts w:ascii="Times New Roman" w:hAnsi="Times New Roman" w:eastAsia="HY신명조"/>
                <w:b w:val="0"/>
                <w:sz w:val="18"/>
              </w:rPr>
              <w:t>Candidate hard constraints</w:t>
            </w:r>
          </w:p>
        </w:tc>
        <w:tc>
          <w:tcPr>
            <w:tcW w:type="dxa" w:w="2835"/>
          </w:tcPr>
          <w:p>
            <w:pPr>
              <w:spacing w:line="288" w:lineRule="auto" w:before="20" w:after="20"/>
              <w:jc w:val="left"/>
            </w:pPr>
            <w:r/>
            <w:r>
              <w:rPr>
                <w:rFonts w:ascii="Times New Roman" w:hAnsi="Times New Roman" w:eastAsia="HY신명조"/>
                <w:b w:val="0"/>
                <w:sz w:val="18"/>
              </w:rPr>
              <w:t>min approach 25 m · min shoulder length 7.0 m</w:t>
            </w:r>
          </w:p>
        </w:tc>
        <w:tc>
          <w:tcPr>
            <w:tcW w:type="dxa" w:w="2835"/>
          </w:tcPr>
          <w:p>
            <w:pPr>
              <w:spacing w:line="288" w:lineRule="auto" w:before="20" w:after="20"/>
              <w:jc w:val="left"/>
            </w:pPr>
            <w:r/>
            <w:r>
              <w:rPr>
                <w:rFonts w:ascii="Times New Roman" w:hAnsi="Times New Roman" w:eastAsia="HY신명조"/>
                <w:b w:val="0"/>
                <w:sz w:val="18"/>
              </w:rPr>
              <w:t>candidates below these are assigned infinite cost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Pedestrian launch time</w:t>
            </w:r>
          </w:p>
        </w:tc>
        <w:tc>
          <w:tcPr>
            <w:tcW w:type="dxa" w:w="2835"/>
          </w:tcPr>
          <w:p>
            <w:pPr>
              <w:spacing w:line="288" w:lineRule="auto" w:before="20" w:after="20"/>
              <w:jc w:val="left"/>
            </w:pPr>
            <w:r/>
            <w:r>
              <w:rPr>
                <w:rFonts w:ascii="Times New Roman" w:hAnsi="Times New Roman" w:eastAsia="HY신명조"/>
                <w:b w:val="0"/>
                <w:sz w:val="18"/>
              </w:rPr>
              <w:t>t_detect + 3.0 s</w:t>
            </w:r>
          </w:p>
        </w:tc>
        <w:tc>
          <w:tcPr>
            <w:tcW w:type="dxa" w:w="2835"/>
          </w:tcPr>
          <w:p>
            <w:pPr>
              <w:spacing w:line="288" w:lineRule="auto" w:before="20" w:after="20"/>
              <w:jc w:val="left"/>
            </w:pPr>
            <w:r/>
            <w:r>
              <w:rPr>
                <w:rFonts w:ascii="Times New Roman" w:hAnsi="Times New Roman" w:eastAsia="HY신명조"/>
                <w:b w:val="0"/>
                <w:sz w:val="18"/>
              </w:rPr>
              <w:t>Ablation study, behavior-independent time trigger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Launch geometry</w:t>
            </w:r>
          </w:p>
        </w:tc>
        <w:tc>
          <w:tcPr>
            <w:tcW w:type="dxa" w:w="2835"/>
          </w:tcPr>
          <w:p>
            <w:pPr>
              <w:spacing w:line="288" w:lineRule="auto" w:before="20" w:after="20"/>
              <w:jc w:val="left"/>
            </w:pPr>
            <w:r/>
            <w:r>
              <w:rPr>
                <w:rFonts w:ascii="Times New Roman" w:hAnsi="Times New Roman" w:eastAsia="HY신명조"/>
                <w:b w:val="0"/>
                <w:sz w:val="18"/>
              </w:rPr>
              <w:t>8 m ahead, lateral jitter ±0.2 m</w:t>
            </w:r>
          </w:p>
        </w:tc>
        <w:tc>
          <w:tcPr>
            <w:tcW w:type="dxa" w:w="2835"/>
          </w:tcPr>
          <w:p>
            <w:pPr>
              <w:spacing w:line="288" w:lineRule="auto" w:before="20" w:after="20"/>
              <w:jc w:val="left"/>
            </w:pPr>
            <w:r/>
            <w:r>
              <w:rPr>
                <w:rFonts w:ascii="Times New Roman" w:hAnsi="Times New Roman" w:eastAsia="HY신명조"/>
                <w:b w:val="0"/>
                <w:sz w:val="18"/>
              </w:rPr>
              <w:t>Crossing starts at the right edge of the driving lane +0.5 m</w:t>
            </w:r>
          </w:p>
        </w:tc>
      </w:tr>
      <w:tr>
        <w:trPr>
          <w:cantSplit/>
        </w:trPr>
        <w:tc>
          <w:tcPr>
            <w:tcW w:type="dxa" w:w="2835"/>
          </w:tcPr>
          <w:p>
            <w:pPr>
              <w:spacing w:line="288" w:lineRule="auto" w:before="20" w:after="20"/>
              <w:jc w:val="left"/>
            </w:pPr>
            <w:r/>
            <w:r>
              <w:rPr>
                <w:rFonts w:ascii="Times New Roman" w:hAnsi="Times New Roman" w:eastAsia="HY신명조"/>
                <w:b w:val="0"/>
                <w:sz w:val="18"/>
              </w:rPr>
              <w:t>Commanded walking speed</w:t>
            </w:r>
          </w:p>
        </w:tc>
        <w:tc>
          <w:tcPr>
            <w:tcW w:type="dxa" w:w="2835"/>
          </w:tcPr>
          <w:p>
            <w:pPr>
              <w:spacing w:line="288" w:lineRule="auto" w:before="20" w:after="20"/>
              <w:jc w:val="left"/>
            </w:pPr>
            <w:r/>
            <w:r>
              <w:rPr>
                <w:rFonts w:ascii="Times New Roman" w:hAnsi="Times New Roman" w:eastAsia="HY신명조"/>
                <w:b w:val="0"/>
                <w:sz w:val="18"/>
              </w:rPr>
              <w:t>{2.5, 3.0} m/s (blocked by seed)</w:t>
            </w:r>
          </w:p>
        </w:tc>
        <w:tc>
          <w:tcPr>
            <w:tcW w:type="dxa" w:w="2835"/>
          </w:tcPr>
          <w:p>
            <w:pPr>
              <w:spacing w:line="288" w:lineRule="auto" w:before="20" w:after="20"/>
              <w:jc w:val="left"/>
            </w:pPr>
            <w:r/>
            <w:r>
              <w:rPr>
                <w:rFonts w:ascii="Times New Roman" w:hAnsi="Times New Roman" w:eastAsia="HY신명조"/>
                <w:b w:val="0"/>
                <w:sz w:val="18"/>
              </w:rPr>
              <w:t>Measured (tick-instrumented encounter runs, n=90): median 2.46 m/s in the 0.5 s window (1.2–3.0) and 2.50 m/s in the 1 s window — the acceleration transient is discussed in Chapter 6, Section 6</w:t>
            </w:r>
          </w:p>
        </w:tc>
      </w:tr>
      <w:tr>
        <w:trPr>
          <w:cantSplit/>
        </w:trPr>
        <w:tc>
          <w:tcPr>
            <w:tcW w:type="dxa" w:w="2835"/>
          </w:tcPr>
          <w:p>
            <w:pPr>
              <w:spacing w:line="288" w:lineRule="auto" w:before="20" w:after="20"/>
              <w:jc w:val="left"/>
            </w:pPr>
            <w:r/>
            <w:r>
              <w:rPr>
                <w:rFonts w:ascii="Times New Roman" w:hAnsi="Times New Roman" w:eastAsia="HY신명조"/>
                <w:b w:val="0"/>
                <w:sz w:val="18"/>
              </w:rPr>
              <w:t>Ablation seeds</w:t>
            </w:r>
          </w:p>
        </w:tc>
        <w:tc>
          <w:tcPr>
            <w:tcW w:type="dxa" w:w="2835"/>
          </w:tcPr>
          <w:p>
            <w:pPr>
              <w:spacing w:line="288" w:lineRule="auto" w:before="20" w:after="20"/>
              <w:jc w:val="left"/>
            </w:pPr>
            <w:r/>
            <w:r>
              <w:rPr>
                <w:rFonts w:ascii="Times New Roman" w:hAnsi="Times New Roman" w:eastAsia="HY신명조"/>
                <w:b w:val="0"/>
                <w:sz w:val="18"/>
              </w:rPr>
              <w:t>S02–S21 (20 seeds, shared pairwise across the 3 arms;</w:t>
            </w:r>
          </w:p>
          <w:p>
            <w:pPr>
              <w:spacing w:line="288" w:lineRule="auto" w:before="20" w:after="20"/>
              <w:jc w:val="left"/>
            </w:pPr>
            <w:r>
              <w:rPr>
                <w:rFonts w:ascii="Times New Roman" w:hAnsi="Times New Roman" w:eastAsia="HY신명조"/>
                <w:b w:val="0"/>
                <w:sz w:val="18"/>
              </w:rPr>
              <w:t>S01 excluded as development seed)</w:t>
            </w:r>
          </w:p>
        </w:tc>
        <w:tc>
          <w:tcPr>
            <w:tcW w:type="dxa" w:w="2835"/>
          </w:tcPr>
          <w:p>
            <w:pPr>
              <w:spacing w:line="288" w:lineRule="auto" w:before="20" w:after="20"/>
              <w:jc w:val="left"/>
            </w:pPr>
            <w:r/>
            <w:r>
              <w:rPr>
                <w:rFonts w:ascii="Times New Roman" w:hAnsi="Times New Roman" w:eastAsia="HY신명조"/>
                <w:b w:val="0"/>
                <w:sz w:val="18"/>
              </w:rPr>
              <w:t>Fixed: fault onset 11–44 s, walking 2.5/3.0 m/s blocks, lateral jitter,</w:t>
            </w:r>
          </w:p>
          <w:p>
            <w:pPr>
              <w:spacing w:line="288" w:lineRule="auto" w:before="20" w:after="20"/>
              <w:jc w:val="left"/>
            </w:pPr>
            <w:r>
              <w:rPr>
                <w:rFonts w:ascii="Times New Roman" w:hAnsi="Times New Roman" w:eastAsia="HY신명조"/>
                <w:b w:val="0"/>
                <w:sz w:val="18"/>
              </w:rPr>
              <w:t>CARLA, fault waveform (FAULT_SEED), pedestrian random numbers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Fault intensity (SEVERITY, mid/high)</w:t>
            </w:r>
          </w:p>
        </w:tc>
        <w:tc>
          <w:tcPr>
            <w:tcW w:type="dxa" w:w="2835"/>
          </w:tcPr>
          <w:p>
            <w:pPr>
              <w:spacing w:line="288" w:lineRule="auto" w:before="20" w:after="20"/>
              <w:jc w:val="left"/>
            </w:pPr>
            <w:r/>
            <w:r>
              <w:rPr>
                <w:rFonts w:ascii="Times New Roman" w:hAnsi="Times New Roman" w:eastAsia="HY신명조"/>
                <w:b w:val="0"/>
                <w:sz w:val="18"/>
              </w:rPr>
              <w:t>cn 15/30, imn 0.5/1.5, gn 1.0/2.5,</w:t>
            </w:r>
          </w:p>
          <w:p>
            <w:pPr>
              <w:spacing w:line="288" w:lineRule="auto" w:before="20" w:after="20"/>
              <w:jc w:val="left"/>
            </w:pPr>
            <w:r>
              <w:rPr>
                <w:rFonts w:ascii="Times New Roman" w:hAnsi="Times New Roman" w:eastAsia="HY신명조"/>
                <w:b w:val="0"/>
                <w:sz w:val="18"/>
              </w:rPr>
              <w:t>lso "0.33:90"/"0.07:150", lcl "5:1500"/"25:4000"</w:t>
            </w:r>
          </w:p>
        </w:tc>
        <w:tc>
          <w:tcPr>
            <w:tcW w:type="dxa" w:w="2835"/>
          </w:tcPr>
          <w:p>
            <w:pPr>
              <w:spacing w:line="288" w:lineRule="auto" w:before="20" w:after="20"/>
              <w:jc w:val="left"/>
            </w:pPr>
            <w:r/>
            <w:r>
              <w:rPr>
                <w:rFonts w:ascii="Times New Roman" w:hAnsi="Times New Roman" w:eastAsia="HY신명조"/>
                <w:b w:val="0"/>
                <w:sz w:val="18"/>
              </w:rPr>
              <w:t>Raw injector parameter values (cn pixel σ, imn gyro σ,</w:t>
            </w:r>
          </w:p>
          <w:p>
            <w:pPr>
              <w:spacing w:line="288" w:lineRule="auto" w:before="20" w:after="20"/>
              <w:jc w:val="left"/>
            </w:pPr>
            <w:r>
              <w:rPr>
                <w:rFonts w:ascii="Times New Roman" w:hAnsi="Times New Roman" w:eastAsia="HY신명조"/>
                <w:b w:val="0"/>
                <w:sz w:val="18"/>
              </w:rPr>
              <w:t>gn position σ[m], lso/lcl physical parameter pairs)</w:t>
            </w:r>
          </w:p>
        </w:tc>
      </w:tr>
      <w:tr>
        <w:trPr>
          <w:cantSplit/>
        </w:trPr>
        <w:tc>
          <w:tcPr>
            <w:tcW w:type="dxa" w:w="2835"/>
          </w:tcPr>
          <w:p>
            <w:pPr>
              <w:spacing w:line="288" w:lineRule="auto" w:before="20" w:after="20"/>
              <w:jc w:val="left"/>
            </w:pPr>
            <w:r/>
            <w:r>
              <w:rPr>
                <w:rFonts w:ascii="Times New Roman" w:hAnsi="Times New Roman" w:eastAsia="HY신명조"/>
                <w:b w:val="0"/>
                <w:sz w:val="18"/>
              </w:rPr>
              <w:t>Simulator lifetime</w:t>
            </w:r>
          </w:p>
        </w:tc>
        <w:tc>
          <w:tcPr>
            <w:tcW w:type="dxa" w:w="2835"/>
          </w:tcPr>
          <w:p>
            <w:pPr>
              <w:spacing w:line="288" w:lineRule="auto" w:before="20" w:after="20"/>
              <w:jc w:val="left"/>
            </w:pPr>
            <w:r/>
            <w:r>
              <w:rPr>
                <w:rFonts w:ascii="Times New Roman" w:hAnsi="Times New Roman" w:eastAsia="HY신명조"/>
                <w:b w:val="0"/>
                <w:sz w:val="18"/>
              </w:rPr>
              <w:t>CARLA_RESTART_EVERY=1</w:t>
            </w:r>
          </w:p>
        </w:tc>
        <w:tc>
          <w:tcPr>
            <w:tcW w:type="dxa" w:w="2835"/>
          </w:tcPr>
          <w:p>
            <w:pPr>
              <w:spacing w:line="288" w:lineRule="auto" w:before="20" w:after="20"/>
              <w:jc w:val="left"/>
            </w:pPr>
            <w:r/>
            <w:r>
              <w:rPr>
                <w:rFonts w:ascii="Times New Roman" w:hAnsi="Times New Roman" w:eastAsia="HY신명조"/>
                <w:b w:val="0"/>
                <w:sz w:val="18"/>
              </w:rPr>
              <w:t>Full restart for every case — blocks state accumulation</w:t>
            </w:r>
          </w:p>
        </w:tc>
      </w:tr>
      <w:tr>
        <w:trPr>
          <w:cantSplit/>
        </w:trPr>
        <w:tc>
          <w:tcPr>
            <w:tcW w:type="dxa" w:w="2835"/>
          </w:tcPr>
          <w:p>
            <w:pPr>
              <w:spacing w:line="288" w:lineRule="auto" w:before="20" w:after="20"/>
              <w:jc w:val="left"/>
            </w:pPr>
            <w:r/>
            <w:r>
              <w:rPr>
                <w:rFonts w:ascii="Times New Roman" w:hAnsi="Times New Roman" w:eastAsia="HY신명조"/>
                <w:b w:val="0"/>
                <w:sz w:val="18"/>
              </w:rPr>
              <w:t>Dose-response launch bands</w:t>
            </w:r>
          </w:p>
        </w:tc>
        <w:tc>
          <w:tcPr>
            <w:tcW w:type="dxa" w:w="2835"/>
          </w:tcPr>
          <w:p>
            <w:pPr>
              <w:spacing w:line="288" w:lineRule="auto" w:before="20" w:after="20"/>
              <w:jc w:val="left"/>
            </w:pPr>
            <w:r/>
            <w:r>
              <w:rPr>
                <w:rFonts w:ascii="Times New Roman" w:hAnsi="Times New Roman" w:eastAsia="HY신명조"/>
                <w:b w:val="0"/>
                <w:sz w:val="18"/>
              </w:rPr>
              <w:t>4.2→[3.85, 4.45] · 3.6→[3.25, 3.75] ·</w:t>
            </w:r>
          </w:p>
          <w:p>
            <w:pPr>
              <w:spacing w:line="288" w:lineRule="auto" w:before="20" w:after="20"/>
              <w:jc w:val="left"/>
            </w:pPr>
            <w:r>
              <w:rPr>
                <w:rFonts w:ascii="Times New Roman" w:hAnsi="Times New Roman" w:eastAsia="HY신명조"/>
                <w:b w:val="0"/>
                <w:sz w:val="18"/>
              </w:rPr>
              <w:t>3.0→[2.65, 3.15] m/s, 1.0 s continuous, spread ≤0.25</w:t>
            </w:r>
          </w:p>
        </w:tc>
        <w:tc>
          <w:tcPr>
            <w:tcW w:type="dxa" w:w="2835"/>
          </w:tcPr>
          <w:p>
            <w:pPr>
              <w:spacing w:line="288" w:lineRule="auto" w:before="20" w:after="20"/>
              <w:jc w:val="left"/>
            </w:pPr>
            <w:r/>
            <w:r>
              <w:rPr>
                <w:rFonts w:ascii="Times New Roman" w:hAnsi="Times New Roman" w:eastAsia="HY신명조"/>
                <w:b w:val="0"/>
                <w:sz w:val="18"/>
              </w:rPr>
              <w:t>Settlement trigger; reflects the smoother tracking offset (about −0.2), mutually disjoint (Chapter 5, Section 6)</w:t>
            </w:r>
          </w:p>
        </w:tc>
      </w:tr>
      <w:tr>
        <w:trPr>
          <w:cantSplit/>
        </w:trPr>
        <w:tc>
          <w:tcPr>
            <w:tcW w:type="dxa" w:w="2835"/>
          </w:tcPr>
          <w:p>
            <w:pPr>
              <w:spacing w:line="288" w:lineRule="auto" w:before="20" w:after="20"/>
              <w:jc w:val="left"/>
            </w:pPr>
            <w:r/>
            <w:r>
              <w:rPr>
                <w:rFonts w:ascii="Times New Roman" w:hAnsi="Times New Roman" w:eastAsia="HY신명조"/>
                <w:b w:val="0"/>
                <w:sz w:val="18"/>
              </w:rPr>
              <w:t>Traffic-light control</w:t>
            </w:r>
          </w:p>
        </w:tc>
        <w:tc>
          <w:tcPr>
            <w:tcW w:type="dxa" w:w="2835"/>
          </w:tcPr>
          <w:p>
            <w:pPr>
              <w:spacing w:line="288" w:lineRule="auto" w:before="20" w:after="20"/>
              <w:jc w:val="left"/>
            </w:pPr>
            <w:r/>
            <w:r>
              <w:rPr>
                <w:rFonts w:ascii="Times New Roman" w:hAnsi="Times New Roman" w:eastAsia="HY신명조"/>
                <w:b w:val="0"/>
                <w:sz w:val="18"/>
              </w:rPr>
              <w:t>All frozen green</w:t>
            </w:r>
          </w:p>
        </w:tc>
        <w:tc>
          <w:tcPr>
            <w:tcW w:type="dxa" w:w="2835"/>
          </w:tcPr>
          <w:p>
            <w:pPr>
              <w:spacing w:line="288" w:lineRule="auto" w:before="20" w:after="20"/>
              <w:jc w:val="left"/>
            </w:pPr>
            <w:r/>
            <w:r>
              <w:rPr>
                <w:rFonts w:ascii="Times New Roman" w:hAnsi="Times New Roman" w:eastAsia="HY신명조"/>
                <w:b w:val="0"/>
                <w:sz w:val="18"/>
              </w:rPr>
              <w:t>Removes signal-wait confounds in the encounter experiments (experimental control setting)</w:t>
            </w:r>
          </w:p>
        </w:tc>
      </w:tr>
    </w:tbl>
    <w:p>
      <w:pPr>
        <w:pageBreakBefore/>
        <w:spacing w:line="501" w:lineRule="exact" w:before="0" w:after="0"/>
        <w:jc w:val="center"/>
      </w:pPr>
      <w:r>
        <w:rPr>
          <w:rFonts w:ascii="Times New Roman" w:hAnsi="Times New Roman" w:eastAsia="HY신명조"/>
          <w:b/>
          <w:sz w:val="32"/>
        </w:rPr>
        <w:t>Chapter 5. Experimental Results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Main Campaign: Detection Performance and Per-Fault Monitoring and Evacuation Behavior</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begin with detection performance (the premise of RQ1). Table 5-1 summarizes the detection rate and median detection latency for each fault type × severity condition of the main campaign. The proposed detectors achieved detection rates of 96–100% in 11 of the 12 fault conditions — median detection latencies of about 1.0 s for hard fails (cf/lf, ledger re-measurement, simulation time) and 2.1–5.0 s for degradation faults (wall clock — different clock domains, not directly compared), with zero false activations across the 45 fault-free (nf) control cases. The sole exception, mid-severity LiDAR sparsification (lso-mid, detection rate 0.02), falls by design within the tolerated (normal) band above the threshold — even after point dropout at this level, an effective detection range of roughly 55 m remains, the health score does not reach the intervention condition, and the supervisor chooses deliberate non-intervention (continued driving) (Table 5-2). With the present data, however, "tolerance as designed" cannot be separated from "insensitivity of the quality channel," so the detection rate of Table 5-1 should be read as an indicator of intervention eligibility rather than of fault-existence detection. We do not, however, describe this non-intervention purely as a "precise judgment": it overlaps with a detection limitation — the valid-point-ratio channel is insensitive to sparsification at this level — and separating the tolerance judgment from the detection limitation is explicitly stated as future work. The four navigation faults not included in the main campaign (gb correlated bias, gf outage, imb gyro bias, imd bias ramp) were evaluated in a navigation-extension matrix with the same matrix structure (45 cases per condition and method, identical seed pairing): the detection rate was 100% in every condition across the 611/630 valid cases (Table 5-1, bottom, †), and every case converged to localization-confidence-based deferral, exhibiting the same design manifestation as gn-high. We note three observations. (i) The detection latency of imd is inversely related to the ramp slope (median 8.6 s vs. 5.4 s) — an empirical extension of the formulation that small faults are caught later but also become dangerous later. (ii) The detection latency of gf is bimodal: outages while driving are caught at a median of about 3 s, whereas outages coinciding with a stop at a red light are caught only after restarting (21–40 s). This is an intended delay produced by the speed condition of the silence-decay mechanism, which does not treat loss of localization while stationary as an immediate hazard; since the vehicle is stopped, it is not a risk exposure — however, reporting the median alone for a bimodal distribution would be misleading, so we report the two modes separately. (iii) The manner of the deferral stop split along fault type: the GNSS family produced comfortable stops, whereas the IMU family produced hard stops in every case — since even a comfortable stop is trajectory following, the execution layer demotes it to a hard stop when the rotational sense is corrupted.</w:t>
      </w:r>
    </w:p>
    <w:p>
      <w:pPr>
        <w:keepNext/>
        <w:spacing w:line="312" w:lineRule="auto" w:before="40" w:after="0"/>
      </w:pPr>
      <w:r>
        <w:rPr>
          <w:rFonts w:ascii="Times New Roman" w:hAnsi="Times New Roman" w:eastAsia="HY신명조"/>
          <w:b/>
          <w:sz w:val="18"/>
        </w:rPr>
        <w:t xml:space="preserve">Table 5-1. </w:t>
      </w:r>
      <w:r>
        <w:rPr>
          <w:rFonts w:ascii="Times New Roman" w:hAnsi="Times New Roman" w:eastAsia="HY신명조"/>
          <w:b w:val="0"/>
          <w:sz w:val="18"/>
        </w:rPr>
        <w:t>Detection performance: detection rate and median detection latency per fault condition (full campaign; † navigation extension — proposed detectors)</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Fault</w:t>
            </w:r>
          </w:p>
        </w:tc>
        <w:tc>
          <w:tcPr>
            <w:tcW w:type="dxa" w:w="1701"/>
          </w:tcPr>
          <w:p>
            <w:pPr>
              <w:spacing w:line="288" w:lineRule="auto" w:before="20" w:after="20"/>
              <w:jc w:val="center"/>
            </w:pPr>
            <w:r/>
            <w:r>
              <w:rPr>
                <w:rFonts w:ascii="Times New Roman" w:hAnsi="Times New Roman" w:eastAsia="HY신명조"/>
                <w:b/>
                <w:sz w:val="18"/>
              </w:rPr>
              <w:t>Severity</w:t>
            </w:r>
          </w:p>
        </w:tc>
        <w:tc>
          <w:tcPr>
            <w:tcW w:type="dxa" w:w="1701"/>
          </w:tcPr>
          <w:p>
            <w:pPr>
              <w:spacing w:line="288" w:lineRule="auto" w:before="20" w:after="20"/>
              <w:jc w:val="center"/>
            </w:pPr>
            <w:r/>
            <w:r>
              <w:rPr>
                <w:rFonts w:ascii="Times New Roman" w:hAnsi="Times New Roman" w:eastAsia="HY신명조"/>
                <w:b/>
                <w:sz w:val="18"/>
              </w:rPr>
              <w:t>n</w:t>
            </w:r>
          </w:p>
        </w:tc>
        <w:tc>
          <w:tcPr>
            <w:tcW w:type="dxa" w:w="1701"/>
          </w:tcPr>
          <w:p>
            <w:pPr>
              <w:spacing w:line="288" w:lineRule="auto" w:before="20" w:after="20"/>
              <w:jc w:val="center"/>
            </w:pPr>
            <w:r/>
            <w:r>
              <w:rPr>
                <w:rFonts w:ascii="Times New Roman" w:hAnsi="Times New Roman" w:eastAsia="HY신명조"/>
                <w:b/>
                <w:sz w:val="18"/>
              </w:rPr>
              <w:t>Detection rate</w:t>
            </w:r>
          </w:p>
        </w:tc>
        <w:tc>
          <w:tcPr>
            <w:tcW w:type="dxa" w:w="1701"/>
          </w:tcPr>
          <w:p>
            <w:pPr>
              <w:spacing w:line="288" w:lineRule="auto" w:before="20" w:after="20"/>
              <w:jc w:val="center"/>
            </w:pPr>
            <w:r/>
            <w:r>
              <w:rPr>
                <w:rFonts w:ascii="Times New Roman" w:hAnsi="Times New Roman" w:eastAsia="HY신명조"/>
                <w:b/>
                <w:sz w:val="18"/>
              </w:rPr>
              <w:t>Median detection latency (s)</w:t>
            </w:r>
          </w:p>
        </w:tc>
      </w:tr>
      <w:tr>
        <w:trPr>
          <w:cantSplit/>
        </w:trPr>
        <w:tc>
          <w:tcPr>
            <w:tcW w:type="dxa" w:w="1701"/>
          </w:tcPr>
          <w:p>
            <w:pPr>
              <w:spacing w:line="288" w:lineRule="auto" w:before="20" w:after="20"/>
              <w:jc w:val="left"/>
            </w:pPr>
            <w:r/>
            <w:r>
              <w:rPr>
                <w:rFonts w:ascii="Times New Roman" w:hAnsi="Times New Roman" w:eastAsia="HY신명조"/>
                <w:b w:val="0"/>
                <w:sz w:val="18"/>
              </w:rPr>
              <w:t>cf camera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0.98*</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3.3</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4.4</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2.1</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3.7</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26</w:t>
            </w:r>
          </w:p>
        </w:tc>
        <w:tc>
          <w:tcPr>
            <w:tcW w:type="dxa" w:w="1701"/>
          </w:tcPr>
          <w:p>
            <w:pPr>
              <w:spacing w:line="288" w:lineRule="auto" w:before="20" w:after="20"/>
              <w:jc w:val="left"/>
            </w:pPr>
            <w:r/>
            <w:r>
              <w:rPr>
                <w:rFonts w:ascii="Times New Roman" w:hAnsi="Times New Roman" w:eastAsia="HY신명조"/>
                <w:b w:val="0"/>
                <w:sz w:val="18"/>
              </w:rPr>
              <w:t>0.96</w:t>
            </w:r>
          </w:p>
        </w:tc>
        <w:tc>
          <w:tcPr>
            <w:tcW w:type="dxa" w:w="1701"/>
          </w:tcPr>
          <w:p>
            <w:pPr>
              <w:spacing w:line="288" w:lineRule="auto" w:before="20" w:after="20"/>
              <w:jc w:val="left"/>
            </w:pPr>
            <w:r/>
            <w:r>
              <w:rPr>
                <w:rFonts w:ascii="Times New Roman" w:hAnsi="Times New Roman" w:eastAsia="HY신명조"/>
                <w:b w:val="0"/>
                <w:sz w:val="18"/>
              </w:rPr>
              <w:t>4.5</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lf LiDAR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1.00*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5.0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0.02</w:t>
            </w:r>
          </w:p>
        </w:tc>
        <w:tc>
          <w:tcPr>
            <w:tcW w:type="dxa" w:w="1701"/>
          </w:tcPr>
          <w:p>
            <w:pPr>
              <w:spacing w:line="288" w:lineRule="auto" w:before="20" w:after="20"/>
              <w:jc w:val="left"/>
            </w:pPr>
            <w:r/>
            <w:r>
              <w:rPr>
                <w:rFonts w:ascii="Times New Roman" w:hAnsi="Times New Roman" w:eastAsia="HY신명조"/>
                <w:b w:val="0"/>
                <w:sz w:val="18"/>
              </w:rPr>
              <w:t>- (tolerated band; deliberate non-intervention)</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2.3</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3.0</w:t>
            </w:r>
          </w:p>
        </w:tc>
      </w:tr>
      <w:tr>
        <w:trPr>
          <w:cantSplit/>
        </w:trPr>
        <w:tc>
          <w:tcPr>
            <w:tcW w:type="dxa" w:w="1701"/>
          </w:tcPr>
          <w:p>
            <w:pPr>
              <w:spacing w:line="288" w:lineRule="auto" w:before="20" w:after="20"/>
              <w:jc w:val="left"/>
            </w:pPr>
            <w:r/>
            <w:r>
              <w:rPr>
                <w:rFonts w:ascii="Times New Roman" w:hAnsi="Times New Roman" w:eastAsia="HY신명조"/>
                <w:b w:val="0"/>
                <w:sz w:val="18"/>
              </w:rPr>
              <w:t>gf† GNSS outage</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 (while driving; bimodal — see text)</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3.6</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44</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5.4</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8.6</w:t>
            </w:r>
          </w:p>
        </w:tc>
      </w:tr>
    </w:tbl>
    <w:p>
      <w:pPr>
        <w:spacing w:line="312" w:lineRule="auto" w:before="0" w:after="0"/>
      </w:pPr>
      <w:r>
        <w:rPr>
          <w:rFonts w:ascii="Times New Roman" w:hAnsi="Times New Roman" w:eastAsia="HY신명조"/>
          <w:b w:val="0"/>
          <w:sz w:val="18"/>
        </w:rPr>
        <w:t>Zero false activations in the 45 fault-free (nf) control cases (0/45). The "-" for lso-mid indicates that no median latency is reported due to an insufficient detection sample (1/45). †Navigation-extension matrix (four navigation faults, same matrix structure and identical seed pairing; valid n based on the proposed arm — the baseline arm also achieved 100% detection in all conditions). *Latencies for cf and lf (hard fails) are ledger-based, in simulation time; detailed distributions are reported in Table 5-6, Section 7. Latencies for the other conditions are wall-clock based.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8" name="Picture 8"/>
            <wp:cNvGraphicFramePr>
              <a:graphicFrameLocks noChangeAspect="1"/>
            </wp:cNvGraphicFramePr>
            <a:graphic>
              <a:graphicData uri="http://schemas.openxmlformats.org/drawingml/2006/picture">
                <pic:pic>
                  <pic:nvPicPr>
                    <pic:cNvPr id="0" name="fig7_latency.png"/>
                    <pic:cNvPicPr/>
                  </pic:nvPicPr>
                  <pic:blipFill>
                    <a:blip r:embed="rId22"/>
                    <a:stretch>
                      <a:fillRect/>
                    </a:stretch>
                  </pic:blipFill>
                  <pic:spPr>
                    <a:xfrm>
                      <a:off x="0" y="0"/>
                      <a:ext cx="4320000" cy="4942641"/>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5-1. </w:t>
      </w:r>
      <w:r>
        <w:rPr>
          <w:rFonts w:ascii="Times New Roman" w:hAnsi="Times New Roman" w:eastAsia="HY신명조"/>
          <w:b w:val="0"/>
          <w:sz w:val="18"/>
        </w:rPr>
        <w:t>Detection latency distributions per fault condition (proposed arm, measured from injection time). The upper panel shows the main campaign and the lower panel the navigation-extension matrix (navigation extension, Table 5-1 †); camera and LiDAR death (*) are ledger-based simulation-time re-measurements of the hard-fail fast path (Chapter 5, Section 7). Thick horizontal bars are medians, and the right tail of GNSS outage (gf) corresponds to cases injected during a red-light stop and detected after restart. The hard-fail rows (simulation time) and the remaining rows (wall clock) live in different clock domains; absolute latency values must not be compared directly across them.</w:t>
      </w:r>
    </w:p>
    <w:p>
      <w:pPr>
        <w:spacing w:line="501" w:lineRule="exact" w:before="0" w:after="0"/>
      </w:pPr>
    </w:p>
    <w:p>
      <w:pPr>
        <w:spacing w:line="501" w:lineRule="exact" w:before="0" w:after="0"/>
        <w:jc w:val="both"/>
      </w:pPr>
      <w:r>
        <w:rPr>
          <w:rFonts w:ascii="Times New Roman" w:hAnsi="Times New Roman" w:eastAsia="HY신명조"/>
          <w:b w:val="0"/>
          <w:sz w:val="22"/>
        </w:rPr>
        <w:t xml:space="preserve">   Behind the binary detection rates in the table lies a continuous health-score signal (Figure 5-2). What actually feeds the supervisor's state transitions (0.7/0.3) is the perception channel — under LiDAR degradation the localization capability remains intact, so the decision variable of health = min(perception, cap_loc) is perception. This decision variable separates into distinct bands by fault intensity: fault-free runs stay in the normal band and do not drop below the upper threshold of 0.7 after warm-up (measured minimum 0.71 — consistent with zero false activations in the 45 fault-free cases); mid severity stays in the tolerated (normal) band above the threshold (the intended non-intervention of lso-mid rests on this); and high severity departs into a low band below the threshold immediately after fault injection, triggering intervention. This band separation is the basis of the low/mid/high grading and the three-regime state transition (normal/evacuation/deferral). The obstacle channel is dedicated to the MRM movement gate and is not a state-transition trigger channel; its fluctuations below 0.7 (sector-coverage changes in open terrain and during turns) are not triggering events and therefore do not contradict the zero false activations. Note, however, that the health score for the navigation family (gn, imn) is produced not from the /monitor/scores topic but by the localization channels of the monitoring layer (the residual detectors loc_meas/loc_jump, which reside in the supervisor process as an implementation matter), so this observation applies to the LiDAR-degradation channels of /monitor/scores.</w:t>
      </w:r>
    </w:p>
    <w:p>
      <w:pPr>
        <w:keepNext/>
        <w:spacing w:line="240" w:lineRule="auto"/>
        <w:jc w:val="center"/>
      </w:pPr>
      <w:r>
        <w:drawing>
          <wp:inline xmlns:a="http://schemas.openxmlformats.org/drawingml/2006/main" xmlns:pic="http://schemas.openxmlformats.org/drawingml/2006/picture">
            <wp:extent cx="5220000" cy="3132678"/>
            <wp:docPr id="9" name="Picture 9"/>
            <wp:cNvGraphicFramePr>
              <a:graphicFrameLocks noChangeAspect="1"/>
            </wp:cNvGraphicFramePr>
            <a:graphic>
              <a:graphicData uri="http://schemas.openxmlformats.org/drawingml/2006/picture">
                <pic:pic>
                  <pic:nvPicPr>
                    <pic:cNvPr id="0" name="fig12_health.png"/>
                    <pic:cNvPicPr/>
                  </pic:nvPicPr>
                  <pic:blipFill>
                    <a:blip r:embed="rId23"/>
                    <a:stretch>
                      <a:fillRect/>
                    </a:stretch>
                  </pic:blipFill>
                  <pic:spPr>
                    <a:xfrm>
                      <a:off x="0" y="0"/>
                      <a:ext cx="5220000" cy="313267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5-2. </w:t>
      </w:r>
      <w:r>
        <w:rPr>
          <w:rFonts w:ascii="Times New Roman" w:hAnsi="Times New Roman" w:eastAsia="HY신명조"/>
          <w:b w:val="0"/>
          <w:sz w:val="18"/>
        </w:rPr>
        <w:t>Injection-aligned continuous health traces — (top) the perception capability score that feeds the state transitions (dual thresholds 0.7/0.3) and (bottom) the affected sensor's raw score: (a) LiDAR sparsification (lso), (b) camera pixel noise (cn). Time zero is the fault-injection instant (simulation time of the ledger's FAULT_ACTIVE event); the injection schedule is identical across runs. The shaded band is the P5–P95 range of the fault-free run's settled interval (fault-free runs have no injection anchor, so a range replaces a time-aligned curve). One representative run per condition. lso-mid is tolerated — despite the level drop of the raw score, capability never crosses the upper threshold, and the run continues to route completion — whereas lso-high and both cn severities cross the threshold and trigger intervention. The navigation family (gn, imn) is out of scope by design — its decision variables come from the localization channels of the monitoring layer (outside the /monitor/scores topic).</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turn next to evacuation behavior. Table 5-2 summarizes the evacuation behavior of the 1,131 valid cases of the main matrix (all combinations: fault-severity × method). For faults that preserve the capability to move, the proposed method performed shoulder evacuation while the baseline came to an in-lane stop in every case — the baseline's zero evacuations are not failures but the definitional consequence of its in-lane stop policy by design. Under camera death (cf), the proposed method completed shoulder evacuation in 16 of 45 cases; the remaining 29 comprise 27 stop deferrals (MRM_DEFER) in which no evacuation was attempted and 2 incompletions during the evacuation maneuver — deferral is not a system failure but the supervisor's intended policy choice that "moving in this state is dangerous," and the actual maneuver incompletions are the 2 cases above. One factor lowering the evacuation completion rate is the reduction of candidates due to the intended conservatism of the traffic-light observability gate. For camera noise (cn), 25 of 90 cases reached the shoulder.</w:t>
      </w:r>
    </w:p>
    <w:p>
      <w:pPr>
        <w:keepNext/>
        <w:spacing w:line="312" w:lineRule="auto" w:before="40" w:after="0"/>
      </w:pPr>
      <w:r>
        <w:rPr>
          <w:rFonts w:ascii="Times New Roman" w:hAnsi="Times New Roman" w:eastAsia="HY신명조"/>
          <w:b/>
          <w:sz w:val="18"/>
        </w:rPr>
        <w:t xml:space="preserve">Table 5-2. </w:t>
      </w:r>
      <w:r>
        <w:rPr>
          <w:rFonts w:ascii="Times New Roman" w:hAnsi="Times New Roman" w:eastAsia="HY신명조"/>
          <w:b w:val="0"/>
          <w:sz w:val="18"/>
        </w:rPr>
        <w:t>Summary of evacuation behavior in the main campaign (proposed method)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Cases</w:t>
            </w:r>
          </w:p>
        </w:tc>
        <w:tc>
          <w:tcPr>
            <w:tcW w:type="dxa" w:w="2126"/>
          </w:tcPr>
          <w:p>
            <w:pPr>
              <w:keepNext/>
              <w:spacing w:line="288" w:lineRule="auto" w:before="20" w:after="20"/>
              <w:jc w:val="center"/>
            </w:pPr>
            <w:r/>
            <w:r>
              <w:rPr>
                <w:rFonts w:ascii="Times New Roman" w:hAnsi="Times New Roman" w:eastAsia="HY신명조"/>
                <w:b/>
                <w:sz w:val="18"/>
              </w:rPr>
              <w:t>Shoulder/parking reached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 camera death</w:t>
            </w:r>
          </w:p>
        </w:tc>
        <w:tc>
          <w:tcPr>
            <w:tcW w:type="dxa" w:w="2126"/>
          </w:tcPr>
          <w:p>
            <w:pPr>
              <w:keepNext/>
              <w:spacing w:line="288" w:lineRule="auto" w:before="20" w:after="20"/>
              <w:jc w:val="left"/>
            </w:pPr>
            <w:r/>
            <w:r>
              <w:rPr>
                <w:rFonts w:ascii="Times New Roman" w:hAnsi="Times New Roman" w:eastAsia="HY신명조"/>
                <w:b w:val="0"/>
                <w:sz w:val="18"/>
              </w:rPr>
              <w:t>45</w:t>
            </w:r>
          </w:p>
        </w:tc>
        <w:tc>
          <w:tcPr>
            <w:tcW w:type="dxa" w:w="2126"/>
          </w:tcPr>
          <w:p>
            <w:pPr>
              <w:keepNext/>
              <w:spacing w:line="288" w:lineRule="auto" w:before="20" w:after="20"/>
              <w:jc w:val="left"/>
            </w:pPr>
            <w:r/>
            <w:r>
              <w:rPr>
                <w:rFonts w:ascii="Times New Roman" w:hAnsi="Times New Roman" w:eastAsia="HY신명조"/>
                <w:b w:val="0"/>
                <w:sz w:val="18"/>
              </w:rPr>
              <w:t>Shoulder 16</w:t>
            </w:r>
          </w:p>
        </w:tc>
        <w:tc>
          <w:tcPr>
            <w:tcW w:type="dxa" w:w="2126"/>
          </w:tcPr>
          <w:p>
            <w:pPr>
              <w:keepNext/>
              <w:spacing w:line="288" w:lineRule="auto" w:before="20" w:after="20"/>
              <w:jc w:val="left"/>
            </w:pPr>
            <w:r/>
            <w:r>
              <w:rPr>
                <w:rFonts w:ascii="Times New Roman" w:hAnsi="Times New Roman" w:eastAsia="HY신명조"/>
                <w:b w:val="0"/>
                <w:sz w:val="18"/>
              </w:rPr>
              <w:t>baseline: in-lane stop in all cases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 camera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25</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gn GNSS position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41 + parking 1</w:t>
            </w:r>
          </w:p>
        </w:tc>
        <w:tc>
          <w:tcPr>
            <w:tcW w:type="dxa" w:w="2126"/>
          </w:tcPr>
          <w:p>
            <w:pPr>
              <w:keepNext/>
              <w:spacing w:line="288" w:lineRule="auto" w:before="20" w:after="20"/>
              <w:jc w:val="left"/>
            </w:pPr>
            <w:r/>
            <w:r>
              <w:rPr>
                <w:rFonts w:ascii="Times New Roman" w:hAnsi="Times New Roman" w:eastAsia="HY신명조"/>
                <w:b w:val="0"/>
                <w:sz w:val="18"/>
              </w:rPr>
              <w:t>Severity determines behavior (see text)</w:t>
            </w:r>
          </w:p>
        </w:tc>
      </w:tr>
      <w:tr>
        <w:trPr>
          <w:cantSplit/>
        </w:trPr>
        <w:tc>
          <w:tcPr>
            <w:tcW w:type="dxa" w:w="2126"/>
          </w:tcPr>
          <w:p>
            <w:pPr>
              <w:spacing w:line="288" w:lineRule="auto" w:before="20" w:after="20"/>
              <w:jc w:val="left"/>
            </w:pPr>
            <w:r/>
            <w:r>
              <w:rPr>
                <w:rFonts w:ascii="Times New Roman" w:hAnsi="Times New Roman" w:eastAsia="HY신명조"/>
                <w:b w:val="0"/>
                <w:sz w:val="18"/>
              </w:rPr>
              <w:t>lso-mid LiDAR sparsification (mid)</w:t>
            </w:r>
          </w:p>
        </w:tc>
        <w:tc>
          <w:tcPr>
            <w:tcW w:type="dxa" w:w="2126"/>
          </w:tcPr>
          <w:p>
            <w:pPr>
              <w:spacing w:line="288" w:lineRule="auto" w:before="20" w:after="20"/>
              <w:jc w:val="left"/>
            </w:pPr>
            <w:r/>
            <w:r>
              <w:rPr>
                <w:rFonts w:ascii="Times New Roman" w:hAnsi="Times New Roman" w:eastAsia="HY신명조"/>
                <w:b w:val="0"/>
                <w:sz w:val="18"/>
              </w:rPr>
              <w:t>-</w:t>
            </w:r>
          </w:p>
        </w:tc>
        <w:tc>
          <w:tcPr>
            <w:tcW w:type="dxa" w:w="2126"/>
          </w:tcPr>
          <w:p>
            <w:pPr>
              <w:spacing w:line="288" w:lineRule="auto" w:before="20" w:after="20"/>
              <w:jc w:val="left"/>
            </w:pPr>
            <w:r/>
            <w:r>
              <w:rPr>
                <w:rFonts w:ascii="Times New Roman" w:hAnsi="Times New Roman" w:eastAsia="HY신명조"/>
                <w:b w:val="0"/>
                <w:sz w:val="18"/>
              </w:rPr>
              <w:t>Deliberate continued driving</w:t>
            </w:r>
          </w:p>
        </w:tc>
        <w:tc>
          <w:tcPr>
            <w:tcW w:type="dxa" w:w="2126"/>
          </w:tcPr>
          <w:p>
            <w:pPr>
              <w:spacing w:line="288" w:lineRule="auto" w:before="20" w:after="20"/>
              <w:jc w:val="left"/>
            </w:pPr>
            <w:r/>
            <w:r>
              <w:rPr>
                <w:rFonts w:ascii="Times New Roman" w:hAnsi="Times New Roman" w:eastAsia="HY신명조"/>
                <w:b w:val="0"/>
                <w:sz w:val="18"/>
              </w:rPr>
              <w:t>Judged not hazardous; deg_dist 255 m</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graded response in which severity determines behavior was most pronounced in the navigation family. Mid-severity GNSS position noise (gn-mid) accounted for the bulk of shoulder evacuations with 40 of 45 cases, whereas high severity (gn-high) converged to a comfort stop (deferral) in 42 of 45 cases — a manifestation of the design that abandons movement when localization confidence falls below the minimum required for motion. Conversely, under mid-severity LiDAR sparsification (lso-mid), the supervisor chose to continue driving without intervention because the health score did not enter the hazard band (degraded-state driving distance 255 m) — "response proportional to degree," not "stop at every anomaly." As an honest caveat, the main-matrix cases contain no pedestrian dart-out injections, and the case-level "zero collisions" claim rests on data predating the ledger introduced in Chapter 4, Section 5, so we do not use it as evidence for a safety claim (Chapter 6, Section 6).</w:t>
      </w:r>
    </w:p>
    <w:p>
      <w:pPr>
        <w:spacing w:line="501" w:lineRule="exact" w:before="0" w:after="0"/>
      </w:pPr>
    </w:p>
    <w:p>
      <w:pPr>
        <w:spacing w:line="501" w:lineRule="exact" w:before="0" w:after="0"/>
      </w:pPr>
      <w:r>
        <w:rPr>
          <w:rFonts w:ascii="Times New Roman" w:hAnsi="Times New Roman" w:eastAsia="HY신명조"/>
          <w:b/>
          <w:sz w:val="28"/>
        </w:rPr>
        <w:t>2. Exposure Metric: Degraded-State Driving Distance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utility of monitoring is shortening the exposure of driving in a degraded state. In the non-intervention (mrm-off) observations (one run per fault type), the stock stack effectively completed the route without detecting the injected fault: degraded-state driving distances were 238 m for camera death, 240 m for camera noise, 251 m for GNSS position noise, 264 m for LiDAR sparsification, and 275 m for LiDAR clutter (only under IMU noise did the stack stop on its own, at 71 m). Excluding lso-mid, the deliberate non-intervention case, the degraded-state driving distance in the camera and navigation families was 32–58 m for the proposed method (detection + evacuation) and 9–18 m for detection + in-lane stop; for LiDAR clutter and IMU noise it was 11–12 m and 8–9 m, respectively. In short, without monitoring the exposure is "the entire route," whereas with monitoring the exposure becomes a choice variable of the response strategy — the in-lane stop minimizes exposure at the cost of leaving lane occupancy behind, while evacuation accepts tens of meters of controlled exposure in exchange for the possibility of lane clearance and reaching a safe position. The safety-side cost of this trade-off is quantified by the encounter experiments in Sections 4–6.</w:t>
      </w:r>
    </w:p>
    <w:p>
      <w:pPr>
        <w:spacing w:line="501" w:lineRule="exact" w:before="0" w:after="0"/>
      </w:pPr>
    </w:p>
    <w:p>
      <w:pPr>
        <w:spacing w:line="501" w:lineRule="exact" w:before="0" w:after="0"/>
      </w:pPr>
      <w:r>
        <w:rPr>
          <w:rFonts w:ascii="Times New Roman" w:hAnsi="Times New Roman" w:eastAsia="HY신명조"/>
          <w:b/>
          <w:sz w:val="28"/>
        </w:rPr>
        <w:t>3. Distance Ladder: Measuring the Avoidance/Collision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With the fault-free stock stack driving at 4.2 m/s, the results by pedestrian dart-out spawn distance showed a clear staircase: at 14 m and 11 m, all 4/4 per distance were avoided (of each 4, 2 are post-ledger runs adjudicated by the ledger and physics oracle, and the other 2 are pre-ledger runs adjudicated by the runner and video), while at 8, 6, and 5 m all 4/4 at each distance collided (Table 5-3, Figure 5-3). The avoidance/collision boundary thus lies in the 8–11 m interval. This agrees with the stopping-distance model d = vτ + v²/2a (τ≈1.5 s, a≈3.5 m/s²), which predicts d(4.2)=8.8 m, and establishes two things: (i) the choice of 8 m as the dart-out distance in subsequent experiments is a grounded choice of "just below the boundary where avoidance becomes physically impossible," and (ii) the speed→boundary design approximation is self-consistent in the near-boundary regime (same data as its calibration source — not an independent validation; Chapter 3, Section 6), so the effect of the speed cap can be interpreted within the same approximation.</w:t>
      </w:r>
    </w:p>
    <w:p>
      <w:pPr>
        <w:keepNext/>
        <w:spacing w:line="312" w:lineRule="auto" w:before="40" w:after="0"/>
      </w:pPr>
      <w:r>
        <w:rPr>
          <w:rFonts w:ascii="Times New Roman" w:hAnsi="Times New Roman" w:eastAsia="HY신명조"/>
          <w:b/>
          <w:sz w:val="18"/>
        </w:rPr>
        <w:t xml:space="preserve">Table 5-3. </w:t>
      </w:r>
      <w:r>
        <w:rPr>
          <w:rFonts w:ascii="Times New Roman" w:hAnsi="Times New Roman" w:eastAsia="HY신명조"/>
          <w:b w:val="0"/>
          <w:sz w:val="18"/>
        </w:rPr>
        <w:t>Distance ladder results (ledger and video adjudication)</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8"/>
              </w:rPr>
              <w:t>Spawn distance</w:t>
            </w:r>
          </w:p>
        </w:tc>
        <w:tc>
          <w:tcPr>
            <w:tcW w:type="dxa" w:w="2835"/>
          </w:tcPr>
          <w:p>
            <w:pPr>
              <w:keepNext/>
              <w:spacing w:line="288" w:lineRule="auto" w:before="20" w:after="20"/>
              <w:jc w:val="center"/>
            </w:pPr>
            <w:r/>
            <w:r>
              <w:rPr>
                <w:rFonts w:ascii="Times New Roman" w:hAnsi="Times New Roman" w:eastAsia="HY신명조"/>
                <w:b/>
                <w:sz w:val="18"/>
              </w:rPr>
              <w:t>Fault-free stock 4.2 m/s (n=4/distance)</w:t>
            </w:r>
          </w:p>
        </w:tc>
        <w:tc>
          <w:tcPr>
            <w:tcW w:type="dxa" w:w="2835"/>
          </w:tcPr>
          <w:p>
            <w:pPr>
              <w:keepNext/>
              <w:spacing w:line="288" w:lineRule="auto" w:before="20" w:after="20"/>
              <w:jc w:val="center"/>
            </w:pPr>
            <w:r/>
            <w:r>
              <w:rPr>
                <w:rFonts w:ascii="Times New Roman" w:hAnsi="Times New Roman" w:eastAsia="HY신명조"/>
                <w:b/>
                <w:sz w:val="18"/>
              </w:rPr>
              <w:t>Blinded (lso-high) stock</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14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11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8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keepNext/>
              <w:spacing w:line="288" w:lineRule="auto" w:before="20" w:after="20"/>
              <w:jc w:val="left"/>
            </w:pPr>
            <w:r/>
            <w:r>
              <w:rPr>
                <w:rFonts w:ascii="Times New Roman" w:hAnsi="Times New Roman" w:eastAsia="HY신명조"/>
                <w:b w:val="0"/>
                <w:sz w:val="18"/>
              </w:rPr>
              <w:t>6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spacing w:line="288" w:lineRule="auto" w:before="20" w:after="20"/>
              <w:jc w:val="left"/>
            </w:pPr>
            <w:r/>
            <w:r>
              <w:rPr>
                <w:rFonts w:ascii="Times New Roman" w:hAnsi="Times New Roman" w:eastAsia="HY신명조"/>
                <w:b w:val="0"/>
                <w:sz w:val="18"/>
              </w:rPr>
              <w:t>5 m</w:t>
            </w:r>
          </w:p>
        </w:tc>
        <w:tc>
          <w:tcPr>
            <w:tcW w:type="dxa" w:w="2835"/>
          </w:tcPr>
          <w:p>
            <w:pPr>
              <w:spacing w:line="288" w:lineRule="auto" w:before="20" w:after="20"/>
              <w:jc w:val="left"/>
            </w:pPr>
            <w:r/>
            <w:r>
              <w:rPr>
                <w:rFonts w:ascii="Times New Roman" w:hAnsi="Times New Roman" w:eastAsia="HY신명조"/>
                <w:b w:val="0"/>
                <w:sz w:val="18"/>
              </w:rPr>
              <w:t>Collision 4/4</w:t>
            </w:r>
          </w:p>
        </w:tc>
        <w:tc>
          <w:tcPr>
            <w:tcW w:type="dxa" w:w="2835"/>
          </w:tcPr>
          <w:p>
            <w:pPr>
              <w:spacing w:line="288" w:lineRule="auto" w:before="20" w:after="20"/>
              <w:jc w:val="left"/>
            </w:pPr>
            <w:r/>
            <w:r>
              <w:rPr>
                <w:rFonts w:ascii="Times New Roman" w:hAnsi="Times New Roman" w:eastAsia="HY신명조"/>
                <w:b w:val="0"/>
                <w:sz w:val="18"/>
              </w:rPr>
              <w:t>Collision (6/6 total at 8 m and below)</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0" name="Picture 10"/>
            <wp:cNvGraphicFramePr>
              <a:graphicFrameLocks noChangeAspect="1"/>
            </wp:cNvGraphicFramePr>
            <a:graphic>
              <a:graphicData uri="http://schemas.openxmlformats.org/drawingml/2006/picture">
                <pic:pic>
                  <pic:nvPicPr>
                    <pic:cNvPr id="0" name="fig8_stopdist.png"/>
                    <pic:cNvPicPr/>
                  </pic:nvPicPr>
                  <pic:blipFill>
                    <a:blip r:embed="rId24"/>
                    <a:stretch>
                      <a:fillRect/>
                    </a:stretch>
                  </pic:blipFill>
                  <pic:spPr>
                    <a:xfrm>
                      <a:off x="0" y="0"/>
                      <a:ext cx="4140000" cy="32729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5-3. </w:t>
      </w:r>
      <w:r>
        <w:rPr>
          <w:rFonts w:ascii="Times New Roman" w:hAnsi="Times New Roman" w:eastAsia="HY신명조"/>
          <w:b w:val="0"/>
          <w:sz w:val="18"/>
        </w:rPr>
        <w:t>Stopping-distance model d = vτ + v²/2a (τ=1.5 s, a=3.5 m/s²) and the measured avoidance/collision boundaries from the distance ladder (shaded bands). The measured boundary at 4.2 m/s (8–11 m) matches the model prediction of 8.8 m, and at 3.0 m/s the model is optimistic — the prediction of 5.79 m underestimates the measured boundary of 7–8 m (planner reaction variance), consistent with reading the 3.0 m/s cap as a conservative policy value below the model bound (3.89 m/s). The dashed line marks the dart-out spawn distance of 8 m used in subsequent experiments.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same ladder with the stock stack under complete LiDAR degradation (lso-high) showed a different form of failure. At the 14 and 11 m conditions, a freeze caused by empty point clouds occurred before reaching the encounter point, leaving the vehicle stopped in the middle of the road (4/4), and at 8 m and below every case collided (6/6). In summary, "a blinded vehicle either stands still or strikes" — unmonitored driving in a degraded state resolves into a binary choice between collision and lane blocking, and neither is an MRC.</w:t>
      </w:r>
    </w:p>
    <w:p>
      <w:pPr>
        <w:spacing w:line="501" w:lineRule="exact" w:before="0" w:after="0"/>
      </w:pPr>
    </w:p>
    <w:p>
      <w:pPr>
        <w:spacing w:line="501" w:lineRule="exact" w:before="0" w:after="0"/>
      </w:pPr>
      <w:r>
        <w:rPr>
          <w:rFonts w:ascii="Times New Roman" w:hAnsi="Times New Roman" w:eastAsia="HY신명조"/>
          <w:b/>
          <w:sz w:val="28"/>
        </w:rPr>
        <w:t>4. The 8 m Encounter: Low-Speed MRM versus Stock</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now present the comparison for a pedestrian dart-out 8 m ahead under the GNSS position noise (gn-mid) fault state. Since gn is a navigation fault that corrupts the EKF localization input while the perception sensors (LiDAR, camera) remain intact, all three conditions share the same pedestrian-detection capability, and only the effects of speed and policy are compared. The stock stack (holding 4.2 m/s) collided in all 10 runs (0/10 avoided). In contrast, the condition in which the proposed system was in low-speed settled cruise (measured encounter speed about 3.0 m/s; Section 6) avoided the pedestrian in all 8 runs and subsequently completed shoulder evacuation (8/8; auxiliary Fisher's exact test p=2.3×10⁻⁵). Because 8 m is shorter than the required stopping distance at 4.2 m/s (8.8 m) — an unavoidable region — but longer than that at 3.0 m/s (5.79 m) — an avoidable region — not outside the required stopping distance at 3.0 m/s (5.79 m), this outcome is exactly what the physics model of Section 3 predicts. The important finding is the third condition: even the same proposed system collided in both of its runs during the transient immediately after fault detection, while deceleration was still in progress (speed at encounter 3.5–3.8 m/s). That is, the protection of the low-speed MRM is effective only after deceleration completes, and residual risk concentrates in the post-detection transient from detection to reaching the settled speed. This transient observation is the starting point of the discussion in Chapter 6, Section 2.</w:t>
      </w:r>
    </w:p>
    <w:p>
      <w:pPr>
        <w:spacing w:line="501" w:lineRule="exact" w:before="0" w:after="0"/>
      </w:pPr>
    </w:p>
    <w:p>
      <w:pPr>
        <w:spacing w:line="501" w:lineRule="exact" w:before="0" w:after="0"/>
      </w:pPr>
      <w:r>
        <w:rPr>
          <w:rFonts w:ascii="Times New Roman" w:hAnsi="Times New Roman" w:eastAsia="HY신명조"/>
          <w:b/>
          <w:sz w:val="28"/>
        </w:rPr>
        <w:t>5. Low-Speed Ladder: Shift of the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In low-speed settled cruise (nominal 3.0 m/s cap configured), the boundary was measured empirically by lowering the spawn distance (Table 5-4). At 8 m the outcome was 8/8 avoidance (Section 4), while at 7, 6, and 5 m the vehicle collided in 2/2 runs at each distance, so the avoidance/collision boundary at 3.0 m/s lies in the 7–8 m interval. Compared with the 8–11 m boundary at 4.2 m/s, the measurements confirm that the reduction of encounter speed moved the boundary inward. Three points are stated explicitly, however. First, the low speed of this ladder stems from the restart profile rather than the explicit cap (Section 6), and the comparison axis is the measured encounter speed. Second, the launch protocols differ — the 4.2 ladder launches into the path of normal driving, whereas the 3.0 ladder launches during restart cruise, and the axis of comparison is the encounter speed of an "encounter during constant-speed cruise." Third, the measured boundary (7–8 m) lies farther out than the pure prediction of the physics model (5.79 m). The difference is explained by the margin required against a moving target and by the off-nominal segment of the acceleration profile immediately after restart, and the model should be interpreted as a lower-bound approximation. Taken together, the per-speed boundaries are 4.2 m/s → 8–11 m and 3.0 m/s → 7–8 m: low-speed encounters physically narrow the range of "unavoidable dart-outs," and its effect and its limit (the transient) are consistently explained by stopping-distance physics.</w:t>
      </w:r>
    </w:p>
    <w:p>
      <w:pPr>
        <w:keepNext/>
        <w:spacing w:line="312" w:lineRule="auto" w:before="40" w:after="0"/>
      </w:pPr>
      <w:r>
        <w:rPr>
          <w:rFonts w:ascii="Times New Roman" w:hAnsi="Times New Roman" w:eastAsia="HY신명조"/>
          <w:b/>
          <w:sz w:val="18"/>
        </w:rPr>
        <w:t xml:space="preserve">Table 5-4. </w:t>
      </w:r>
      <w:r>
        <w:rPr>
          <w:rFonts w:ascii="Times New Roman" w:hAnsi="Times New Roman" w:eastAsia="HY신명조"/>
          <w:b w:val="0"/>
          <w:sz w:val="18"/>
        </w:rPr>
        <w:t>Low-speed (3.0 m/s) ladder results (ledger adjudication)</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Spawn distance</w:t>
            </w:r>
          </w:p>
        </w:tc>
        <w:tc>
          <w:tcPr>
            <w:tcW w:type="dxa" w:w="4252"/>
          </w:tcPr>
          <w:p>
            <w:pPr>
              <w:keepNext/>
              <w:spacing w:line="288" w:lineRule="auto" w:before="20" w:after="20"/>
              <w:jc w:val="center"/>
            </w:pPr>
            <w:r/>
            <w:r>
              <w:rPr>
                <w:rFonts w:ascii="Times New Roman" w:hAnsi="Times New Roman" w:eastAsia="HY신명조"/>
                <w:b/>
                <w:sz w:val="18"/>
              </w:rPr>
              <w:t>Outcome</w:t>
            </w:r>
          </w:p>
        </w:tc>
      </w:tr>
      <w:tr>
        <w:trPr>
          <w:cantSplit/>
        </w:trPr>
        <w:tc>
          <w:tcPr>
            <w:tcW w:type="dxa" w:w="4252"/>
          </w:tcPr>
          <w:p>
            <w:pPr>
              <w:keepNext/>
              <w:spacing w:line="288" w:lineRule="auto" w:before="20" w:after="20"/>
              <w:jc w:val="left"/>
            </w:pPr>
            <w:r/>
            <w:r>
              <w:rPr>
                <w:rFonts w:ascii="Times New Roman" w:hAnsi="Times New Roman" w:eastAsia="HY신명조"/>
                <w:b w:val="0"/>
                <w:sz w:val="18"/>
              </w:rPr>
              <w:t>8 m</w:t>
            </w:r>
          </w:p>
        </w:tc>
        <w:tc>
          <w:tcPr>
            <w:tcW w:type="dxa" w:w="4252"/>
          </w:tcPr>
          <w:p>
            <w:pPr>
              <w:keepNext/>
              <w:spacing w:line="288" w:lineRule="auto" w:before="20" w:after="20"/>
              <w:jc w:val="left"/>
            </w:pPr>
            <w:r/>
            <w:r>
              <w:rPr>
                <w:rFonts w:ascii="Times New Roman" w:hAnsi="Times New Roman" w:eastAsia="HY신명조"/>
                <w:b w:val="0"/>
                <w:sz w:val="18"/>
              </w:rPr>
              <w:t>Avoidance 8/8 (settled cruise, Section 6)</w:t>
            </w:r>
          </w:p>
        </w:tc>
      </w:tr>
      <w:tr>
        <w:trPr>
          <w:cantSplit/>
        </w:trPr>
        <w:tc>
          <w:tcPr>
            <w:tcW w:type="dxa" w:w="4252"/>
          </w:tcPr>
          <w:p>
            <w:pPr>
              <w:keepNext/>
              <w:spacing w:line="288" w:lineRule="auto" w:before="20" w:after="20"/>
              <w:jc w:val="left"/>
            </w:pPr>
            <w:r/>
            <w:r>
              <w:rPr>
                <w:rFonts w:ascii="Times New Roman" w:hAnsi="Times New Roman" w:eastAsia="HY신명조"/>
                <w:b w:val="0"/>
                <w:sz w:val="18"/>
              </w:rPr>
              <w:t>7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keepNext/>
              <w:spacing w:line="288" w:lineRule="auto" w:before="20" w:after="20"/>
              <w:jc w:val="left"/>
            </w:pPr>
            <w:r/>
            <w:r>
              <w:rPr>
                <w:rFonts w:ascii="Times New Roman" w:hAnsi="Times New Roman" w:eastAsia="HY신명조"/>
                <w:b w:val="0"/>
                <w:sz w:val="18"/>
              </w:rPr>
              <w:t>6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spacing w:line="288" w:lineRule="auto" w:before="20" w:after="20"/>
              <w:jc w:val="left"/>
            </w:pPr>
            <w:r/>
            <w:r>
              <w:rPr>
                <w:rFonts w:ascii="Times New Roman" w:hAnsi="Times New Roman" w:eastAsia="HY신명조"/>
                <w:b w:val="0"/>
                <w:sz w:val="18"/>
              </w:rPr>
              <w:t>5 m</w:t>
            </w:r>
          </w:p>
        </w:tc>
        <w:tc>
          <w:tcPr>
            <w:tcW w:type="dxa" w:w="4252"/>
          </w:tcPr>
          <w:p>
            <w:pPr>
              <w:spacing w:line="288" w:lineRule="auto" w:before="20" w:after="20"/>
              <w:jc w:val="left"/>
            </w:pPr>
            <w:r/>
            <w:r>
              <w:rPr>
                <w:rFonts w:ascii="Times New Roman" w:hAnsi="Times New Roman" w:eastAsia="HY신명조"/>
                <w:b w:val="0"/>
                <w:sz w:val="18"/>
              </w:rPr>
              <w:t>Collision 2/2</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6. Causal Verification of the Speed Cap: A Dose-Response Experiment on Settled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two ladders of Sections 3 and 5 used different launch protocols, limiting direct cross-speed comparison. A controlled dose-response experiment was therefore performed, on the corrected implementation, exclusively on settled-state encounters in which the cap actually held.</w:t>
      </w:r>
    </w:p>
    <w:p>
      <w:pPr>
        <w:spacing w:line="501" w:lineRule="exact" w:before="0" w:after="0"/>
        <w:jc w:val="both"/>
      </w:pPr>
      <w:r>
        <w:rPr>
          <w:rFonts w:ascii="Times New Roman" w:hAnsi="Times New Roman" w:eastAsia="HY신명조"/>
          <w:b w:val="0"/>
          <w:sz w:val="22"/>
        </w:rPr>
        <w:t xml:space="preserve">   The design is a paired matrix of caps {4.2, 3.6, 3.0} m/s × spawn distances {6, 7, 8, 9} m × 10 seeds = 120 runs (Chapter 4, Section 6 (v)). The 4.2 m/s arm is a high-cap control practically equivalent to the road speed limit (15 km/h ≈ 4.17 m/s), and the three arms use the identical external velocity-limit interface differing only in the value, so there is no software-path difference. Launch uses the settlement trigger — the pedestrian is spawned D m ahead at the moment the supervisor is in MRM_MOVE and the measured speed has stayed within the cap-specific band for 1.0 s continuously (spread ≤ 0.25 m/s) — which, unlike time-based launching, guarantees at the trigger level that the cap holds at the encounter. The primary endpoint (8 m, paired 4.2 vs 3.0 exact McNemar) and the manipulation-check adoption rule were pre-specified in a plan before data collection (Chapter 4, Section 7). The 120 runs passing the manipulation check are analyzed (5 failing runs were rejected before their outcomes were examined and replaced by identical-condition re-runs); adjudication is based on the ego ledger (RAW-HIT).</w:t>
      </w:r>
    </w:p>
    <w:p>
      <w:pPr>
        <w:keepNext/>
        <w:spacing w:line="312" w:lineRule="auto" w:before="40" w:after="0"/>
      </w:pPr>
      <w:r>
        <w:rPr>
          <w:rFonts w:ascii="Times New Roman" w:hAnsi="Times New Roman" w:eastAsia="HY신명조"/>
          <w:b/>
          <w:sz w:val="18"/>
        </w:rPr>
        <w:t xml:space="preserve">Table 5-5. </w:t>
      </w:r>
      <w:r>
        <w:rPr>
          <w:rFonts w:ascii="Times New Roman" w:hAnsi="Times New Roman" w:eastAsia="HY신명조"/>
          <w:b w:val="0"/>
          <w:sz w:val="18"/>
        </w:rPr>
        <w:t>Dose-response experiment — collisions in settled encounters (n=10 seeds per cell, ledger adjudication)</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Times New Roman" w:hAnsi="Times New Roman" w:eastAsia="HY신명조"/>
                <w:b/>
                <w:sz w:val="18"/>
              </w:rPr>
              <w:t>Speed cap</w:t>
            </w:r>
          </w:p>
        </w:tc>
        <w:tc>
          <w:tcPr>
            <w:tcW w:type="dxa" w:w="1417"/>
          </w:tcPr>
          <w:p>
            <w:pPr>
              <w:keepNext/>
              <w:spacing w:line="288" w:lineRule="auto" w:before="20" w:after="20"/>
              <w:jc w:val="center"/>
            </w:pPr>
            <w:r/>
            <w:r>
              <w:rPr>
                <w:rFonts w:ascii="Times New Roman" w:hAnsi="Times New Roman" w:eastAsia="HY신명조"/>
                <w:b/>
                <w:sz w:val="18"/>
              </w:rPr>
              <w:t>6 m</w:t>
            </w:r>
          </w:p>
        </w:tc>
        <w:tc>
          <w:tcPr>
            <w:tcW w:type="dxa" w:w="1417"/>
          </w:tcPr>
          <w:p>
            <w:pPr>
              <w:keepNext/>
              <w:spacing w:line="288" w:lineRule="auto" w:before="20" w:after="20"/>
              <w:jc w:val="center"/>
            </w:pPr>
            <w:r/>
            <w:r>
              <w:rPr>
                <w:rFonts w:ascii="Times New Roman" w:hAnsi="Times New Roman" w:eastAsia="HY신명조"/>
                <w:b/>
                <w:sz w:val="18"/>
              </w:rPr>
              <w:t>7 m</w:t>
            </w:r>
          </w:p>
        </w:tc>
        <w:tc>
          <w:tcPr>
            <w:tcW w:type="dxa" w:w="1417"/>
          </w:tcPr>
          <w:p>
            <w:pPr>
              <w:keepNext/>
              <w:spacing w:line="288" w:lineRule="auto" w:before="20" w:after="20"/>
              <w:jc w:val="center"/>
            </w:pPr>
            <w:r/>
            <w:r>
              <w:rPr>
                <w:rFonts w:ascii="Times New Roman" w:hAnsi="Times New Roman" w:eastAsia="HY신명조"/>
                <w:b/>
                <w:sz w:val="18"/>
              </w:rPr>
              <w:t>8 m</w:t>
            </w:r>
          </w:p>
        </w:tc>
        <w:tc>
          <w:tcPr>
            <w:tcW w:type="dxa" w:w="1417"/>
          </w:tcPr>
          <w:p>
            <w:pPr>
              <w:keepNext/>
              <w:spacing w:line="288" w:lineRule="auto" w:before="20" w:after="20"/>
              <w:jc w:val="center"/>
            </w:pPr>
            <w:r/>
            <w:r>
              <w:rPr>
                <w:rFonts w:ascii="Times New Roman" w:hAnsi="Times New Roman" w:eastAsia="HY신명조"/>
                <w:b/>
                <w:sz w:val="18"/>
              </w:rPr>
              <w:t>9 m</w:t>
            </w:r>
          </w:p>
        </w:tc>
        <w:tc>
          <w:tcPr>
            <w:tcW w:type="dxa" w:w="1417"/>
          </w:tcPr>
          <w:p>
            <w:pPr>
              <w:keepNext/>
              <w:spacing w:line="288" w:lineRule="auto" w:before="20" w:after="20"/>
              <w:jc w:val="center"/>
            </w:pPr>
            <w:r/>
            <w:r>
              <w:rPr>
                <w:rFonts w:ascii="Times New Roman" w:hAnsi="Times New Roman" w:eastAsia="HY신명조"/>
                <w:b/>
                <w:sz w:val="18"/>
              </w:rPr>
              <w:t>Estimated boundary</w:t>
            </w:r>
          </w:p>
        </w:tc>
      </w:tr>
      <w:tr>
        <w:trPr>
          <w:cantSplit/>
        </w:trPr>
        <w:tc>
          <w:tcPr>
            <w:tcW w:type="dxa" w:w="1417"/>
          </w:tcPr>
          <w:p>
            <w:pPr>
              <w:keepNext/>
              <w:spacing w:line="288" w:lineRule="auto" w:before="20" w:after="20"/>
              <w:jc w:val="left"/>
            </w:pPr>
            <w:r/>
            <w:r>
              <w:rPr>
                <w:rFonts w:ascii="Times New Roman" w:hAnsi="Times New Roman" w:eastAsia="HY신명조"/>
                <w:b w:val="0"/>
                <w:sz w:val="18"/>
              </w:rPr>
              <w:t>4.2 m/s (high-cap control)</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beyond 9 m</w:t>
            </w:r>
          </w:p>
        </w:tc>
      </w:tr>
      <w:tr>
        <w:trPr>
          <w:cantSplit/>
        </w:trPr>
        <w:tc>
          <w:tcPr>
            <w:tcW w:type="dxa" w:w="1417"/>
          </w:tcPr>
          <w:p>
            <w:pPr>
              <w:keepNext/>
              <w:spacing w:line="288" w:lineRule="auto" w:before="20" w:after="20"/>
              <w:jc w:val="left"/>
            </w:pPr>
            <w:r/>
            <w:r>
              <w:rPr>
                <w:rFonts w:ascii="Times New Roman" w:hAnsi="Times New Roman" w:eastAsia="HY신명조"/>
                <w:b w:val="0"/>
                <w:sz w:val="18"/>
              </w:rPr>
              <w:t>3.6 m/s</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2/10</w:t>
            </w:r>
          </w:p>
        </w:tc>
        <w:tc>
          <w:tcPr>
            <w:tcW w:type="dxa" w:w="1417"/>
          </w:tcPr>
          <w:p>
            <w:pPr>
              <w:keepNext/>
              <w:spacing w:line="288" w:lineRule="auto" w:before="20" w:after="20"/>
              <w:jc w:val="left"/>
            </w:pPr>
            <w:r/>
            <w:r>
              <w:rPr>
                <w:rFonts w:ascii="Times New Roman" w:hAnsi="Times New Roman" w:eastAsia="HY신명조"/>
                <w:b w:val="0"/>
                <w:sz w:val="18"/>
              </w:rPr>
              <w:t>about 9 m</w:t>
            </w:r>
          </w:p>
        </w:tc>
      </w:tr>
      <w:tr>
        <w:trPr>
          <w:cantSplit/>
        </w:trPr>
        <w:tc>
          <w:tcPr>
            <w:tcW w:type="dxa" w:w="1417"/>
          </w:tcPr>
          <w:p>
            <w:pPr>
              <w:spacing w:line="288" w:lineRule="auto" w:before="20" w:after="20"/>
              <w:jc w:val="left"/>
            </w:pPr>
            <w:r/>
            <w:r>
              <w:rPr>
                <w:rFonts w:ascii="Times New Roman" w:hAnsi="Times New Roman" w:eastAsia="HY신명조"/>
                <w:b w:val="0"/>
                <w:sz w:val="18"/>
              </w:rPr>
              <w:t>3.0 m/s (policy value)</w:t>
            </w:r>
          </w:p>
        </w:tc>
        <w:tc>
          <w:tcPr>
            <w:tcW w:type="dxa" w:w="1417"/>
          </w:tcPr>
          <w:p>
            <w:pPr>
              <w:spacing w:line="288" w:lineRule="auto" w:before="20" w:after="20"/>
              <w:jc w:val="left"/>
            </w:pPr>
            <w:r/>
            <w:r>
              <w:rPr>
                <w:rFonts w:ascii="Times New Roman" w:hAnsi="Times New Roman" w:eastAsia="HY신명조"/>
                <w:b w:val="0"/>
                <w:sz w:val="18"/>
              </w:rPr>
              <w:t>8/10</w:t>
            </w:r>
          </w:p>
        </w:tc>
        <w:tc>
          <w:tcPr>
            <w:tcW w:type="dxa" w:w="1417"/>
          </w:tcPr>
          <w:p>
            <w:pPr>
              <w:spacing w:line="288" w:lineRule="auto" w:before="20" w:after="20"/>
              <w:jc w:val="left"/>
            </w:pPr>
            <w:r/>
            <w:r>
              <w:rPr>
                <w:rFonts w:ascii="Times New Roman" w:hAnsi="Times New Roman" w:eastAsia="HY신명조"/>
                <w:b w:val="0"/>
                <w:sz w:val="18"/>
              </w:rPr>
              <w:t>5/10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about 7 m</w:t>
            </w:r>
          </w:p>
        </w:tc>
      </w:tr>
    </w:tbl>
    <w:p>
      <w:pPr>
        <w:spacing w:line="312" w:lineRule="auto" w:before="0" w:after="0"/>
      </w:pPr>
      <w:r>
        <w:rPr>
          <w:rFonts w:ascii="Times New Roman" w:hAnsi="Times New Roman" w:eastAsia="HY신명조"/>
          <w:b w:val="0"/>
          <w:sz w:val="18"/>
        </w:rPr>
        <w:t>Manipulation check (measured speed at the first encounter tick): 4.2 arm 4.05–4.13 (median 4.08), 3.6 arm 3.37–3.58 (median 3.52), 3.0 arm 2.60–3.07 (median 2.81) m/s — every run within the required band ± 0.15 m/s tolerance. Minimum pedestrian gaps in avoidance runs are 1.8–5.4 m, i.e., all genuine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results are monotone along both axes (Table 5-5, Figure 5-4). At the pre-specified primary endpoint — the 8 m encounter — cap 4.2 collided in all ten seeds and cap 3.0 avoided in all ten, giving discordant pairs 10:0 and an exact McNemar two-sided p=0.002: the collision-reduction effect of the explicit cap is detected with unanimous seed-level directionality once the cap actually holds at the encounter. In the boundary characterization, the avoid/collide boundary is beyond 9 m at 4.2 m/s (consistent with the 8–11 m ladder of Section 3), about 9 m at 3.6 m/s (2/10 at 9 m), and about 7 m at 3.0 m/s (5/10 at 7 m, 0/10 at 8 m and beyond) — moving inward monotonically as the cap is lowered. In particular, the 5/10 of the 3.0 arm at 7 m falls at the lower end of the boundary interval (7–8 m) estimated by the Section 5 low-speed ladder (about 7 m as the 50% collision point), a mutual corroboration.</w:t>
      </w:r>
    </w:p>
    <w:p>
      <w:pPr>
        <w:keepNext/>
        <w:spacing w:line="240" w:lineRule="auto"/>
        <w:jc w:val="center"/>
      </w:pPr>
      <w:r>
        <w:drawing>
          <wp:inline xmlns:a="http://schemas.openxmlformats.org/drawingml/2006/main" xmlns:pic="http://schemas.openxmlformats.org/drawingml/2006/picture">
            <wp:extent cx="5040000" cy="2072027"/>
            <wp:docPr id="11" name="Picture 11"/>
            <wp:cNvGraphicFramePr>
              <a:graphicFrameLocks noChangeAspect="1"/>
            </wp:cNvGraphicFramePr>
            <a:graphic>
              <a:graphicData uri="http://schemas.openxmlformats.org/drawingml/2006/picture">
                <pic:pic>
                  <pic:nvPicPr>
                    <pic:cNvPr id="0" name="fig13_speeddose.png"/>
                    <pic:cNvPicPr/>
                  </pic:nvPicPr>
                  <pic:blipFill>
                    <a:blip r:embed="rId25"/>
                    <a:stretch>
                      <a:fillRect/>
                    </a:stretch>
                  </pic:blipFill>
                  <pic:spPr>
                    <a:xfrm>
                      <a:off x="0" y="0"/>
                      <a:ext cx="5040000" cy="2072027"/>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5-4. </w:t>
      </w:r>
      <w:r>
        <w:rPr>
          <w:rFonts w:ascii="Times New Roman" w:hAnsi="Times New Roman" w:eastAsia="HY신명조"/>
          <w:b w:val="0"/>
          <w:sz w:val="18"/>
        </w:rPr>
        <w:t>Dose-response experiment (120 runs, ledger adjudication). (a) Collision rate vs spawn distance per cap (Wilson 95% CI) — the avoid/collide boundary moves inward monotonically as the cap is lowered. (b) Pre-specified primary contrast (8 m): cap 4.2 m/s collided in 10/10, cap 3.0 m/s in 0/10 — discordant pairs 10:0, exact McNemar p=0.002.</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limits of interpretation are stated explicitly. This causal conclusion is restricted to the settled regime in which the cap holds; the transient risk before deceleration completes (the transient-encounter observation of Section 4) is outside the scope of this experiment — the cap does not remove the transient, it creates the physical safety margin after settling. No optimality claim is made for the 3.0 m/s value (the onset of collapse of the 3.6 arm at 9 m only locates the boundary of an intermediate dose), and the restrictions of n=10 per cell and a single fault (gn-mid) on a single evacuation corridor also remain.</w:t>
      </w:r>
    </w:p>
    <w:p>
      <w:pPr>
        <w:spacing w:line="501" w:lineRule="exact" w:before="0" w:after="0"/>
      </w:pPr>
    </w:p>
    <w:p>
      <w:pPr>
        <w:spacing w:line="501" w:lineRule="exact" w:before="0" w:after="0"/>
      </w:pPr>
      <w:r>
        <w:rPr>
          <w:rFonts w:ascii="Times New Roman" w:hAnsi="Times New Roman" w:eastAsia="HY신명조"/>
          <w:b/>
          <w:sz w:val="28"/>
        </w:rPr>
        <w:t>7. Hard-Fail Decision Latency: Verifying the 1.5 s Deadline</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the detection and decision of hard fails (signal loss), a 1.5 s deadline is set as the design specification (an internal requirement) — not a claim of FTTI compliance for a specific safety goal (Chapter 3, Section 4). The latency budget consists of the freshness deadline of 0.85 s and roughly 0.15 s for score propagation and state transition (the fast decision path of Chapter 3, Section 5: skipping persistence confirmation once death is confirmed, skipping grace and retry for unrecoverable conditions, pre-computing candidate paths), for a budget total of about 1.0 s, leaving margin against the deadline. Compliance was verified in ledger-based simulation time over the full cf and lf matrices (90 executed cases each, same structure as the main campaign; the latency n counts runs with parsable ledger latencies and the MRM denominators count runs judgeable after the ledger introduction, both below 90 after simulator-failure exclusion) (Table 5-6, Figure 5-1): across all subtypes the median was about 1.0 s and the maximum 1.20 s with no violations, and MRM attainment was maintained in full. This deadline is limited to hard fails — the decision for degradation-type faults is inherently a matter of statistical evidence accumulation and thus follows the severity-proportional principle (Chapter 3, Section 4).</w:t>
      </w:r>
    </w:p>
    <w:p>
      <w:pPr>
        <w:keepNext/>
        <w:spacing w:line="312" w:lineRule="auto" w:before="40" w:after="0"/>
      </w:pPr>
      <w:r>
        <w:rPr>
          <w:rFonts w:ascii="Times New Roman" w:hAnsi="Times New Roman" w:eastAsia="HY신명조"/>
          <w:b/>
          <w:sz w:val="18"/>
        </w:rPr>
        <w:t xml:space="preserve">Table 5-6. </w:t>
      </w:r>
      <w:r>
        <w:rPr>
          <w:rFonts w:ascii="Times New Roman" w:hAnsi="Times New Roman" w:eastAsia="HY신명조"/>
          <w:b w:val="0"/>
          <w:sz w:val="18"/>
        </w:rPr>
        <w:t>Hard-fail detection and decision latency (simulation time, ledger basis) and 1.5 s deadline compliance</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Times New Roman" w:hAnsi="Times New Roman" w:eastAsia="HY신명조"/>
                <w:b/>
                <w:sz w:val="18"/>
              </w:rPr>
              <w:t>Subtype</w:t>
            </w:r>
          </w:p>
        </w:tc>
        <w:tc>
          <w:tcPr>
            <w:tcW w:type="dxa" w:w="1215"/>
          </w:tcPr>
          <w:p>
            <w:pPr>
              <w:keepNext/>
              <w:spacing w:line="288" w:lineRule="auto" w:before="20" w:after="20"/>
              <w:jc w:val="center"/>
            </w:pPr>
            <w:r/>
            <w:r>
              <w:rPr>
                <w:rFonts w:ascii="Times New Roman" w:hAnsi="Times New Roman" w:eastAsia="HY신명조"/>
                <w:b/>
                <w:sz w:val="18"/>
              </w:rPr>
              <w:t>n</w:t>
            </w:r>
          </w:p>
        </w:tc>
        <w:tc>
          <w:tcPr>
            <w:tcW w:type="dxa" w:w="1215"/>
          </w:tcPr>
          <w:p>
            <w:pPr>
              <w:keepNext/>
              <w:spacing w:line="288" w:lineRule="auto" w:before="20" w:after="20"/>
              <w:jc w:val="center"/>
            </w:pPr>
            <w:r/>
            <w:r>
              <w:rPr>
                <w:rFonts w:ascii="Times New Roman" w:hAnsi="Times New Roman" w:eastAsia="HY신명조"/>
                <w:b/>
                <w:sz w:val="18"/>
              </w:rPr>
              <w:t>Median [s]</w:t>
            </w:r>
          </w:p>
        </w:tc>
        <w:tc>
          <w:tcPr>
            <w:tcW w:type="dxa" w:w="1215"/>
          </w:tcPr>
          <w:p>
            <w:pPr>
              <w:keepNext/>
              <w:spacing w:line="288" w:lineRule="auto" w:before="20" w:after="20"/>
              <w:jc w:val="center"/>
            </w:pPr>
            <w:r/>
            <w:r>
              <w:rPr>
                <w:rFonts w:ascii="Times New Roman" w:hAnsi="Times New Roman" w:eastAsia="HY신명조"/>
                <w:b/>
                <w:sz w:val="18"/>
              </w:rPr>
              <w:t>P95 [s]</w:t>
            </w:r>
          </w:p>
        </w:tc>
        <w:tc>
          <w:tcPr>
            <w:tcW w:type="dxa" w:w="1215"/>
          </w:tcPr>
          <w:p>
            <w:pPr>
              <w:keepNext/>
              <w:spacing w:line="288" w:lineRule="auto" w:before="20" w:after="20"/>
              <w:jc w:val="center"/>
            </w:pPr>
            <w:r/>
            <w:r>
              <w:rPr>
                <w:rFonts w:ascii="Times New Roman" w:hAnsi="Times New Roman" w:eastAsia="HY신명조"/>
                <w:b/>
                <w:sz w:val="18"/>
              </w:rPr>
              <w:t>Max [s]</w:t>
            </w:r>
          </w:p>
        </w:tc>
        <w:tc>
          <w:tcPr>
            <w:tcW w:type="dxa" w:w="1215"/>
          </w:tcPr>
          <w:p>
            <w:pPr>
              <w:keepNext/>
              <w:spacing w:line="288" w:lineRule="auto" w:before="20" w:after="20"/>
              <w:jc w:val="center"/>
            </w:pPr>
            <w:r/>
            <w:r>
              <w:rPr>
                <w:rFonts w:ascii="Times New Roman" w:hAnsi="Times New Roman" w:eastAsia="HY신명조"/>
                <w:b/>
                <w:sz w:val="18"/>
              </w:rPr>
              <w:t>&gt;1.5 s</w:t>
            </w:r>
          </w:p>
        </w:tc>
        <w:tc>
          <w:tcPr>
            <w:tcW w:type="dxa" w:w="1215"/>
          </w:tcPr>
          <w:p>
            <w:pPr>
              <w:keepNext/>
              <w:spacing w:line="288" w:lineRule="auto" w:before="20" w:after="20"/>
              <w:jc w:val="center"/>
            </w:pPr>
            <w:r/>
            <w:r>
              <w:rPr>
                <w:rFonts w:ascii="Times New Roman" w:hAnsi="Times New Roman" w:eastAsia="HY신명조"/>
                <w:b/>
                <w:sz w:val="18"/>
              </w:rPr>
              <w:t>MRM reached</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cf-proposed</w:t>
            </w:r>
          </w:p>
        </w:tc>
        <w:tc>
          <w:tcPr>
            <w:tcW w:type="dxa" w:w="1215"/>
          </w:tcPr>
          <w:p>
            <w:pPr>
              <w:keepNext/>
              <w:spacing w:line="288" w:lineRule="auto" w:before="20" w:after="20"/>
              <w:jc w:val="left"/>
            </w:pPr>
            <w:r/>
            <w:r>
              <w:rPr>
                <w:rFonts w:ascii="Times New Roman" w:hAnsi="Times New Roman" w:eastAsia="HY신명조"/>
                <w:b w:val="0"/>
                <w:sz w:val="18"/>
              </w:rPr>
              <w:t>38</w:t>
            </w:r>
          </w:p>
        </w:tc>
        <w:tc>
          <w:tcPr>
            <w:tcW w:type="dxa" w:w="1215"/>
          </w:tcPr>
          <w:p>
            <w:pPr>
              <w:keepNext/>
              <w:spacing w:line="288" w:lineRule="auto" w:before="20" w:after="20"/>
              <w:jc w:val="left"/>
            </w:pPr>
            <w:r/>
            <w:r>
              <w:rPr>
                <w:rFonts w:ascii="Times New Roman" w:hAnsi="Times New Roman" w:eastAsia="HY신명조"/>
                <w:b w:val="0"/>
                <w:sz w:val="18"/>
              </w:rPr>
              <w:t>0.98</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cf-baseline</w:t>
            </w:r>
          </w:p>
        </w:tc>
        <w:tc>
          <w:tcPr>
            <w:tcW w:type="dxa" w:w="1215"/>
          </w:tcPr>
          <w:p>
            <w:pPr>
              <w:keepNext/>
              <w:spacing w:line="288" w:lineRule="auto" w:before="20" w:after="20"/>
              <w:jc w:val="left"/>
            </w:pPr>
            <w:r/>
            <w:r>
              <w:rPr>
                <w:rFonts w:ascii="Times New Roman" w:hAnsi="Times New Roman" w:eastAsia="HY신명조"/>
                <w:b w:val="0"/>
                <w:sz w:val="18"/>
              </w:rPr>
              <w:t>40</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lf-proposed</w:t>
            </w:r>
          </w:p>
        </w:tc>
        <w:tc>
          <w:tcPr>
            <w:tcW w:type="dxa" w:w="1215"/>
          </w:tcPr>
          <w:p>
            <w:pPr>
              <w:keepNext/>
              <w:spacing w:line="288" w:lineRule="auto" w:before="20" w:after="20"/>
              <w:jc w:val="left"/>
            </w:pPr>
            <w:r/>
            <w:r>
              <w:rPr>
                <w:rFonts w:ascii="Times New Roman" w:hAnsi="Times New Roman" w:eastAsia="HY신명조"/>
                <w:b w:val="0"/>
                <w:sz w:val="18"/>
              </w:rPr>
              <w:t>41</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1.15</w:t>
            </w:r>
          </w:p>
        </w:tc>
        <w:tc>
          <w:tcPr>
            <w:tcW w:type="dxa" w:w="1215"/>
          </w:tcPr>
          <w:p>
            <w:pPr>
              <w:keepNext/>
              <w:spacing w:line="288" w:lineRule="auto" w:before="20" w:after="20"/>
              <w:jc w:val="left"/>
            </w:pPr>
            <w:r/>
            <w:r>
              <w:rPr>
                <w:rFonts w:ascii="Times New Roman" w:hAnsi="Times New Roman" w:eastAsia="HY신명조"/>
                <w:b w:val="0"/>
                <w:sz w:val="18"/>
              </w:rPr>
              <w:t>1.20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33/33</w:t>
            </w:r>
          </w:p>
        </w:tc>
      </w:tr>
      <w:tr>
        <w:trPr>
          <w:cantSplit/>
        </w:trPr>
        <w:tc>
          <w:tcPr>
            <w:tcW w:type="dxa" w:w="1215"/>
          </w:tcPr>
          <w:p>
            <w:pPr>
              <w:spacing w:line="288" w:lineRule="auto" w:before="20" w:after="20"/>
              <w:jc w:val="left"/>
            </w:pPr>
            <w:r/>
            <w:r>
              <w:rPr>
                <w:rFonts w:ascii="Times New Roman" w:hAnsi="Times New Roman" w:eastAsia="HY신명조"/>
                <w:b w:val="0"/>
                <w:sz w:val="18"/>
              </w:rPr>
              <w:t>lf-baseline</w:t>
            </w:r>
          </w:p>
        </w:tc>
        <w:tc>
          <w:tcPr>
            <w:tcW w:type="dxa" w:w="1215"/>
          </w:tcPr>
          <w:p>
            <w:pPr>
              <w:spacing w:line="288" w:lineRule="auto" w:before="20" w:after="20"/>
              <w:jc w:val="left"/>
            </w:pPr>
            <w:r/>
            <w:r>
              <w:rPr>
                <w:rFonts w:ascii="Times New Roman" w:hAnsi="Times New Roman" w:eastAsia="HY신명조"/>
                <w:b w:val="0"/>
                <w:sz w:val="18"/>
              </w:rPr>
              <w:t>40</w:t>
            </w:r>
          </w:p>
        </w:tc>
        <w:tc>
          <w:tcPr>
            <w:tcW w:type="dxa" w:w="1215"/>
          </w:tcPr>
          <w:p>
            <w:pPr>
              <w:spacing w:line="288" w:lineRule="auto" w:before="20" w:after="20"/>
              <w:jc w:val="left"/>
            </w:pPr>
            <w:r/>
            <w:r>
              <w:rPr>
                <w:rFonts w:ascii="Times New Roman" w:hAnsi="Times New Roman" w:eastAsia="HY신명조"/>
                <w:b w:val="0"/>
                <w:sz w:val="18"/>
              </w:rPr>
              <w:t>1.00</w:t>
            </w:r>
          </w:p>
        </w:tc>
        <w:tc>
          <w:tcPr>
            <w:tcW w:type="dxa" w:w="1215"/>
          </w:tcPr>
          <w:p>
            <w:pPr>
              <w:spacing w:line="288" w:lineRule="auto" w:before="20" w:after="20"/>
              <w:jc w:val="left"/>
            </w:pPr>
            <w:r/>
            <w:r>
              <w:rPr>
                <w:rFonts w:ascii="Times New Roman" w:hAnsi="Times New Roman" w:eastAsia="HY신명조"/>
                <w:b w:val="0"/>
                <w:sz w:val="18"/>
              </w:rPr>
              <w:t>1.15</w:t>
            </w:r>
          </w:p>
        </w:tc>
        <w:tc>
          <w:tcPr>
            <w:tcW w:type="dxa" w:w="1215"/>
          </w:tcPr>
          <w:p>
            <w:pPr>
              <w:spacing w:line="288" w:lineRule="auto" w:before="20" w:after="20"/>
              <w:jc w:val="left"/>
            </w:pPr>
            <w:r/>
            <w:r>
              <w:rPr>
                <w:rFonts w:ascii="Times New Roman" w:hAnsi="Times New Roman" w:eastAsia="HY신명조"/>
                <w:b w:val="0"/>
                <w:sz w:val="18"/>
              </w:rPr>
              <w:t>1.20</w:t>
            </w:r>
          </w:p>
        </w:tc>
        <w:tc>
          <w:tcPr>
            <w:tcW w:type="dxa" w:w="1215"/>
          </w:tcPr>
          <w:p>
            <w:pPr>
              <w:spacing w:line="288" w:lineRule="auto" w:before="20" w:after="20"/>
              <w:jc w:val="left"/>
            </w:pPr>
            <w:r/>
            <w:r>
              <w:rPr>
                <w:rFonts w:ascii="Times New Roman" w:hAnsi="Times New Roman" w:eastAsia="HY신명조"/>
                <w:b w:val="0"/>
                <w:sz w:val="18"/>
              </w:rPr>
              <w:t>0 cases</w:t>
            </w:r>
          </w:p>
        </w:tc>
        <w:tc>
          <w:tcPr>
            <w:tcW w:type="dxa" w:w="1215"/>
          </w:tcPr>
          <w:p>
            <w:pPr>
              <w:spacing w:line="288" w:lineRule="auto" w:before="20" w:after="20"/>
              <w:jc w:val="left"/>
            </w:pPr>
            <w:r/>
            <w:r>
              <w:rPr>
                <w:rFonts w:ascii="Times New Roman" w:hAnsi="Times New Roman" w:eastAsia="HY신명조"/>
                <w:b w:val="0"/>
                <w:sz w:val="18"/>
              </w:rPr>
              <w:t>35/35</w:t>
            </w:r>
          </w:p>
        </w:tc>
      </w:tr>
    </w:tbl>
    <w:p>
      <w:pPr>
        <w:spacing w:line="312" w:lineRule="auto" w:before="0" w:after="0"/>
      </w:pPr>
      <w:r>
        <w:rPr>
          <w:rFonts w:ascii="Times New Roman" w:hAnsi="Times New Roman" w:eastAsia="HY신명조"/>
          <w:b w:val="0"/>
          <w:sz w:val="18"/>
        </w:rPr>
        <w:t>Decision latency = from fault activation (injector ledger) to the first MRM state transition (supervisor ledger), in simulation time.</w:t>
      </w:r>
    </w:p>
    <w:p>
      <w:pPr>
        <w:pageBreakBefore/>
        <w:spacing w:line="501" w:lineRule="exact" w:before="0" w:after="0"/>
        <w:jc w:val="center"/>
      </w:pPr>
      <w:r>
        <w:rPr>
          <w:rFonts w:ascii="Times New Roman" w:hAnsi="Times New Roman" w:eastAsia="HY신명조"/>
          <w:b/>
          <w:sz w:val="32"/>
        </w:rPr>
        <w:t>Chapter 6. Limitations and Discussion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The Temporal Trade-off Between Stopping and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running through the entire experiment is the temporal trade-off between stop-type and evacuation-type MRMs. In this sample, the in-lane stop showed the lowest collision rate even under the worst-case condition of transient-window launches (Chapter 5, Section 5), but its price is sustained lane occupancy (Chapter 5, Section 2); evacuation accepts controlled moving exposure and residual transient risk, but on success clears the lane and moves to an off-lane refuge position. Lane clearance is an indicator of relinquishing lane occupancy, not proof that the final position is safer — secondary risks at the shoulder (e.g., approaching rear traffic) were not directly compared in this study. Neither is unconditionally superior, and the choice should follow the temporal structure of the fault (hazard grace, remaining capability, and time to complete deceleration) — a result that supplies concrete selection variables to the ISO 23793-1 framework, which calls for principles of MRM type selection.</w:t>
      </w:r>
    </w:p>
    <w:p>
      <w:pPr>
        <w:spacing w:line="501" w:lineRule="exact" w:before="0" w:after="0"/>
      </w:pPr>
    </w:p>
    <w:p>
      <w:pPr>
        <w:spacing w:line="501" w:lineRule="exact" w:before="0" w:after="0"/>
      </w:pPr>
      <w:r>
        <w:rPr>
          <w:rFonts w:ascii="Times New Roman" w:hAnsi="Times New Roman" w:eastAsia="HY신명조"/>
          <w:b/>
          <w:sz w:val="28"/>
        </w:rPr>
        <w:t>2. The Post-Detection Transient, the Overall Fault-Response Risk Window, and FTTI</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fact that all collisions in the evacuation arm occurred in the segment where deceleration was not yet complete, with none during settled cruise (Chapter 5, Section 4: transient 2/2 collisions vs. settled 0/8; Chapter 5, Section 6: all settled encounters avoided), signifies the temporal localization of residual risk — even under the same policy, "when the encounter occurs" dominates the outcome. To distinguish the timeline terms: the post-detection transient runs from the detection instant (t_detect) to reaching the settled speed, whereas the overall fault-response risk window runs from fault onset to reaching the settled speed (T_detect + T_deceleration), the interval governed by Eq. (3-7). The present results concretize this general point into a measurable proposition: "earlier detection (shortening T_detect) and faster deceleration (shortening T_deceleration — in tension with ride comfort and rear-end risk) are experimentally supported as means of shrinking the overall fault-response risk window" — however, since this is an observational comparison rather than a causal experiment in which the detection instant was independently manipulated, it must not be read as an estimate of causal effect size.</w:t>
      </w:r>
    </w:p>
    <w:p>
      <w:pPr>
        <w:spacing w:line="501" w:lineRule="exact" w:before="0" w:after="0"/>
      </w:pPr>
    </w:p>
    <w:p>
      <w:pPr>
        <w:spacing w:line="501" w:lineRule="exact" w:before="0" w:after="0"/>
      </w:pPr>
      <w:r>
        <w:rPr>
          <w:rFonts w:ascii="Times New Roman" w:hAnsi="Times New Roman" w:eastAsia="HY신명조"/>
          <w:b/>
          <w:sz w:val="28"/>
        </w:rPr>
        <w:t>3. The Role of the Speed Cap: Causal Effect and Limits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dose-response experiment on settled encounters in which the cap actually holds (Chapter 5, Section 6) detected the causal effect of the cap: paired discordance 10:0 at 8 m (p=0.002) and a monotone inward shift of the boundary (beyond 9 m to about 7 m). The cap's role is thus twofold — in the settled regime it verifiably moves the avoidance boundary inward, while in the transient it does not yet hold (encounter speeds 3.5–3.8 m/s measured in the Section 4 transient runs). That is, the cap's value is an explicit re-acceleration-suppressing upper bound that does not depend on natural deceleration, but its protection is effective only after deceleration completes. The 3.0 m/s value is grounded but not claimed optimal (the 9 m boundary of the 3.6 arm only locates an intermediate dose), nor is it a formal closed-loop speed guarantee; the verification is further restricted to the gn-mid single fault on a single evacuation corridor (Chapter 5, Section 6).</w:t>
      </w:r>
    </w:p>
    <w:p>
      <w:pPr>
        <w:spacing w:line="501" w:lineRule="exact" w:before="0" w:after="0"/>
      </w:pPr>
    </w:p>
    <w:p>
      <w:pPr>
        <w:spacing w:line="501" w:lineRule="exact" w:before="0" w:after="0"/>
      </w:pPr>
      <w:r>
        <w:rPr>
          <w:rFonts w:ascii="Times New Roman" w:hAnsi="Times New Roman" w:eastAsia="HY신명조"/>
          <w:b/>
          <w:sz w:val="28"/>
        </w:rPr>
        <w:t>4. Lessons for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lesson of the collision-sensor silence incident (Chapter 4, Section 5) is a general one. In simulation-based safety evaluation, "zero collisions" is meaningful only after the adjudication channel has been proven alive; this study addressed this through positive-control verification of the adjudication sensor, cross-checking against the physics oracle, and explicit statement of the pitfalls of termination labels and official infractions. The undelivered speed cap (Chapter 3, Section 6) carries the same lesson — a publish record is not evidence of delivery, and actuation commands must be verified by their downstream effect (measured vehicle speed). In particular, the error of reading "absence of a record" as "absence of an event" arises structurally in automated large-scale experiments, and the real-time ledger was the effective remedy. The availability of the adjudication infrastructure itself belongs to the same lesson — a watchdog was placed on the recording channel, and data from intervals in which channel liveness was not confirmed were not used for adjudication (watch the watchers).</w:t>
      </w:r>
    </w:p>
    <w:p>
      <w:pPr>
        <w:spacing w:line="501" w:lineRule="exact" w:before="0" w:after="0"/>
      </w:pPr>
    </w:p>
    <w:p>
      <w:pPr>
        <w:spacing w:line="501" w:lineRule="exact" w:before="0" w:after="0"/>
      </w:pPr>
      <w:r>
        <w:rPr>
          <w:rFonts w:ascii="Times New Roman" w:hAnsi="Times New Roman" w:eastAsia="HY신명조"/>
          <w:b/>
          <w:sz w:val="28"/>
        </w:rPr>
        <w:t>5. The Cost of Design Conservatism and the Execution and Map Layers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One of the factors limiting the evacuation completion rate (Chapter 5, Section 1) is the cost of intended conservatism. The traffic-light observability gate ("do not send a vehicle that cannot read signals to candidates routed through signalized intersections") shrinks the candidate set under camera-family faults and limits the evacuation completion rate (cf 16/45) — since mitigations (detour search, relaxed V2X trust) would introduce new trust assumptions, the conservative default was retained. The dependence on the execution layer is also stated explicitly: the shoulder-entry maneuver is delegated to the stock goal_planner, so evacuation-incomplete cases mix the decision layer's choice to defer with the execution layer's failure to complete the maneuver (in cf, 27 deferrals vs. 2 incompletions during the maneuver). Deferral is not a system failure but an intended policy choice of the supervisor, and the decision layer's deferral and the execution layer's maneuver incompletion are distinguished at the log level (Chapter 3, Section 8). At the map layer, manual annotation limits the scope of verification, and the traffic-light miscount (Chapter 4, Section 3) showed that map annotation quality is a hidden confounding variable — the fundamental remedy is automated extraction and verification of HD map attributes.</w:t>
      </w:r>
    </w:p>
    <w:p>
      <w:pPr>
        <w:spacing w:line="501" w:lineRule="exact" w:before="0" w:after="0"/>
      </w:pPr>
    </w:p>
    <w:p>
      <w:pPr>
        <w:spacing w:line="501" w:lineRule="exact" w:before="0" w:after="0"/>
      </w:pPr>
      <w:r>
        <w:rPr>
          <w:rFonts w:ascii="Times New Roman" w:hAnsi="Times New Roman" w:eastAsia="HY신명조"/>
          <w:b/>
          <w:sz w:val="28"/>
        </w:rPr>
        <w:t>6. Limitations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numerical results of this study are limited to the following scope. (i) This is a case study with a single map (Town07), a single speed limit (15 km/h), and two pedestrian launch corridors. The per-speed boundaries (8–11 m, 7–8 m) and the dose-response results (Chapter 5, Section 6) are values for the low-speed ODD; in high-speed environments the boundaries, the post-detection transient, and the overall fault-response risk window all grow — generalizable claims are restricted to structure (the stopping-distance dependence of the boundary, the concentration of risk in the transient, and the stop/evacuation trade-off), not to the numbers. (ii) Observations about Autoware (non-detection by its own diagnostics, stop-only fallback) are limited to the evaluated 0.39.0 version and this execution configuration, and are not claims about Autoware in general. (iii) The dose-response experiment has n=10 per cell, so the confidence intervals of the boundary characterization are wide and small-sample point estimates can shift with larger samples — this is why collision rates and confidence intervals are reported up front and testing was restricted to the single pre-specified test. (iv) The case-level collision-free status of the campaign matrix (Table 4-3) comes from data predating the introduction of the ledger, and re-verification against the ledger was not performed (the risk is low since these cases have no pedestrian injection, but this is stated explicitly as a gap in methodological consistency). (v) The threshold of the minimum-separation (min-gap) metric recorded as an auxiliary encounter-proximity measure (1.25 m) is a lateral-approach criterion and may be an overestimate for longitudinal approaches. (vi) The gap between the commanded pedestrian speed ({2.5, 3.0} m/s) and the measured speed stems from the walker controller's post-spawn acceleration transient — in the tick-instrumented encounter runs (n=90), the median is 2.46 m/s in the 0.5 s window (1.2–3.0) and 2.50 m/s in the 1 s window, reaching about 95% of the command thereafter. In the encounter experiments, the commanded speed is fixed per seed and measured speeds are logged at physics-tick rate; physical interpretation of the boundary should rest on the measured distribution, not the command. (vii) The phenomenon in which the CARLA actor list appears empty from an external client remains of unknown root cause and is being worked around. (viii) The risk-linked dynamic detection budget (τ_detect) was not directly ablated against a fixed freshness deadline — what this study demonstrates are the effects of continuous health, graded selection, and settled low speed; verifying the increment of the dynamic budget itself is left to future work. (ix) Quantification of the detection latency's margin relative to the hazard time (T_hazard − T_detect), i.e., detection deadline compliance, could not be performed because the hazard event time (T_hazard) cannot be derived within the present measurement structure — this remains future work requiring an instrumentation extension for hazard event timing, and is left together with the explicit FRTI-and-margin reservation deferred as future work in Chapter 3, Section 4. (x) Real-vehicle validation was not performed.</w:t>
      </w:r>
    </w:p>
    <w:p>
      <w:pPr>
        <w:pageBreakBefore/>
        <w:spacing w:line="501" w:lineRule="exact" w:before="0" w:after="0"/>
        <w:jc w:val="center"/>
      </w:pPr>
      <w:r>
        <w:rPr>
          <w:rFonts w:ascii="Times New Roman" w:hAnsi="Times New Roman" w:eastAsia="HY신명조"/>
          <w:b/>
          <w:sz w:val="32"/>
        </w:rPr>
        <w:t>Chapter 7. Conclusion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study proposed a behavior-tree-based monitoring scheme that estimates sensor faults as continuous health scores, together with an MRM supervision layer that selectively chooses between evacuation and stop deferral according to the fault's type, severity, and remaining capability, and that imposes a conservative fixed speed cap (3.0 m/s), back-calculated from stopping distance, on evacuation movement; both were validated in an Autoware-CARLA closed loop. Across the 1,862 valid cases of the experiments, the proposed detectors achieved detection rates of 96–100% in every fault condition except mid-severity LiDAR sparsification, a tolerated band by design — median detection latencies of about 1.0 s for hard fails (cf/lf, ledger re-measurement) and 2.1–5.0 s for degradation faults, with no false activations in the 45 fault-free cases; monitoring shortened faulted-state exposure — a representative unmonitored observation, one run per fault type — from 238–251 m to 32–58 m for the camera and navigation families (LiDAR clutter: 275 m to 11–12 m), and the severity-based evacuation/deferral branching and continued driving under low-risk faults emerged as designed. Safety was quantified through pedestrian-encounter experiments whose adjudication reliability was secured at the methodological level: the avoidance/collision boundary was 8–11 m at 4.2 m/s (model 8.8 m, consistent) and 7–8 m at 3.0 m/s (model 5.79 m — a lower-bound approximation); in fault-state 8 m encounter reproductions, native continuation collided in every run while the proposed low-speed settled cruise avoided in every run (0/10 vs 8/8), and the same policy collided when encountered during the deceleration transient (2/2). A dose-response experiment on settled encounters where the cap actually held (3 caps × 4 distances × 10 seeds = 120 runs, pre-specified) detected the collision-reduction effect of cap 4.2 vs 3.0 m/s with paired discordance 10:0 at 8 m (exact McNemar p=0.002; settled regime, single fault type gn-mid), and the avoid/collide boundary moved inward monotonically as the cap was lowered (beyond 9 m to about 7 m). Hard fails (signal loss) are detected and adjudicated within a 1.5 s design deadline via a fast decision path that distinguishes the nature of the evidence (measured maximum 1.20 s across the full matrix, Chapter 5, Section 7).</w:t>
      </w:r>
    </w:p>
    <w:p>
      <w:pPr>
        <w:spacing w:line="501" w:lineRule="exact" w:before="0" w:after="0"/>
        <w:jc w:val="both"/>
      </w:pPr>
      <w:r>
        <w:rPr>
          <w:rFonts w:ascii="Times New Roman" w:hAnsi="Times New Roman" w:eastAsia="HY신명조"/>
          <w:b w:val="0"/>
          <w:sz w:val="22"/>
        </w:rPr>
        <w:t xml:space="preserve">   The conclusions can be summarized in three sentences. First, shoulder evacuation is not a panacea — stopping and evacuation constitute a temporal trade-off between immediate collision risk and lane clearance / a safe position, and the choice must follow the temporal structure of the fault. Second, the residual risk of evacuation is concentrated in the post-detection transient (from detection until the settled speed is reached), while low speed after settling verifiably moves the avoidance boundary inward (transient encounters 2/2 collided vs settled 0/8; dose-response 10:0, p=0.002) — a transient/settled observational comparison — the experiments support that earlier detection and faster deceleration would shrink the overall fault-response risk window (detection latency + deceleration time) (this is not a causal manipulation experiment), and an encounter-level quantitative observation supporting the need to shorten detection and response times (widening the margin within the FTTI) is presented. Third, simulation-based safety claims hold only on top of a validated adjudication framework — the dual adjudication of the real-time ledger and the physics oracle, together with the explicit identification of recording pitfalls, is the methodological contribution that underpins the figures in this study.</w:t>
      </w:r>
    </w:p>
    <w:p>
      <w:pPr>
        <w:spacing w:line="501" w:lineRule="exact" w:before="0" w:after="0"/>
        <w:jc w:val="both"/>
      </w:pPr>
      <w:r>
        <w:rPr>
          <w:rFonts w:ascii="Times New Roman" w:hAnsi="Times New Roman" w:eastAsia="HY신명조"/>
          <w:b w:val="0"/>
          <w:sz w:val="22"/>
        </w:rPr>
        <w:t xml:space="preserve">   Future work includes extension to high-speed ODDs and multiple maps; introducing survival analysis of lane-clearance time; formalizing the detection budget (explicit reservation of FRTI and margin, and quantification of deadline compliance based on T_hazard measurement); validating the health-score-proportional variable speed cap (implemented, not yet evaluated); designing early-detection and deceleration profiles that reduce the overall fault-response risk window; automatic extraction of HD-map candidates; searching for detour routes without traffic lights; extending the dose-response experiment to multiple faults and corridors; and real-vehicle validation.</w:t>
      </w:r>
    </w:p>
    <w:p>
      <w:pPr>
        <w:spacing w:line="501" w:lineRule="exact" w:before="0" w:after="0"/>
        <w:jc w:val="both"/>
      </w:pPr>
      <w:r>
        <w:rPr>
          <w:rFonts w:ascii="Times New Roman" w:hAnsi="Times New Roman" w:eastAsia="HY신명조"/>
          <w:b w:val="0"/>
          <w:sz w:val="22"/>
        </w:rPr>
        <w:t xml:space="preserve">   Finally, we note a methodological implication. The adjudication framework of this study (real-time ledger, physics oracle) and the encounter-experiment protocol (same-seed pairing, settlement triggers that confirm the state under comparison, pre-specified endpoints, manipulation-check adoption rules) are not tied to any particular system. Follow-up studies that compare MRM and fallback policies in simulation can reuse this protocol regardless of policy implementation; in particular, the principle of "never reading the absence of a record as the absence of an event" and the launch design that prevents the policy from determining whether an encounter occurs remain valid in any comparative experiment.</w:t>
      </w:r>
    </w:p>
    <w:p>
      <w:pPr>
        <w:pageBreakBefore/>
        <w:spacing w:line="501" w:lineRule="exact" w:before="0" w:after="0"/>
        <w:jc w:val="center"/>
      </w:pPr>
      <w:r>
        <w:rPr>
          <w:rFonts w:ascii="Times New Roman" w:hAnsi="Times New Roman" w:eastAsia="HY신명조"/>
          <w:b/>
          <w:sz w:val="32"/>
        </w:rPr>
        <w:t>References</w:t>
      </w:r>
    </w:p>
    <w:p>
      <w:pPr>
        <w:spacing w:line="501" w:lineRule="exact" w:before="0" w:after="0"/>
      </w:pPr>
    </w:p>
    <w:p>
      <w:pPr>
        <w:spacing w:line="360" w:lineRule="auto" w:after="80"/>
        <w:ind w:left="510" w:hanging="510"/>
      </w:pPr>
      <w:r>
        <w:rPr>
          <w:rFonts w:ascii="Times New Roman" w:hAnsi="Times New Roman" w:eastAsia="HY신명조"/>
          <w:b w:val="0"/>
          <w:sz w:val="22"/>
        </w:rPr>
        <w:t>[1] ISO 26262:2018, Road vehicles — Functional safety.</w:t>
      </w:r>
    </w:p>
    <w:p>
      <w:pPr>
        <w:spacing w:line="360" w:lineRule="auto" w:after="80"/>
        <w:ind w:left="510" w:hanging="510"/>
      </w:pPr>
      <w:r>
        <w:rPr>
          <w:rFonts w:ascii="Times New Roman" w:hAnsi="Times New Roman" w:eastAsia="HY신명조"/>
          <w:b w:val="0"/>
          <w:sz w:val="22"/>
        </w:rPr>
        <w:t>[2] ISO 21448:2022, Road vehicles — Safety of the intended functionality.</w:t>
      </w:r>
    </w:p>
    <w:p>
      <w:pPr>
        <w:spacing w:line="360" w:lineRule="auto" w:after="80"/>
        <w:ind w:left="510" w:hanging="510"/>
      </w:pPr>
      <w:r>
        <w:rPr>
          <w:rFonts w:ascii="Times New Roman" w:hAnsi="Times New Roman"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Times New Roman" w:hAnsi="Times New Roman"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Times New Roman" w:hAnsi="Times New Roman" w:eastAsia="HY신명조"/>
          <w:b w:val="0"/>
          <w:sz w:val="22"/>
        </w:rPr>
        <w:t>[5] UL 4600, Standard for Safety for the Evaluation of Autonomous Products, 3rd ed., 2023.</w:t>
      </w:r>
    </w:p>
    <w:p>
      <w:pPr>
        <w:spacing w:line="360" w:lineRule="auto" w:after="80"/>
        <w:ind w:left="510" w:hanging="510"/>
      </w:pPr>
      <w:r>
        <w:rPr>
          <w:rFonts w:ascii="Times New Roman" w:hAnsi="Times New Roman"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Times New Roman" w:hAnsi="Times New Roman" w:eastAsia="HY신명조"/>
          <w:b w:val="0"/>
          <w:sz w:val="22"/>
        </w:rPr>
        <w:t>[7] AUTOSAR, Specification of Watchdog Manager, R23-11.</w:t>
      </w:r>
    </w:p>
    <w:p>
      <w:pPr>
        <w:spacing w:line="360" w:lineRule="auto" w:after="80"/>
        <w:ind w:left="510" w:hanging="510"/>
      </w:pPr>
      <w:r>
        <w:rPr>
          <w:rFonts w:ascii="Times New Roman" w:hAnsi="Times New Roman"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Times New Roman" w:hAnsi="Times New Roman" w:eastAsia="HY신명조"/>
          <w:b w:val="0"/>
          <w:sz w:val="22"/>
        </w:rPr>
        <w:t>[9] J. C. Hayward, "Near-miss determination through use of a scale of danger," Highway Research Record, no. 384, 1972.</w:t>
      </w:r>
    </w:p>
    <w:p>
      <w:pPr>
        <w:spacing w:line="360" w:lineRule="auto" w:after="80"/>
        <w:ind w:left="510" w:hanging="510"/>
      </w:pPr>
      <w:r>
        <w:rPr>
          <w:rFonts w:ascii="Times New Roman" w:hAnsi="Times New Roman"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Times New Roman" w:hAnsi="Times New Roman" w:eastAsia="HY신명조"/>
          <w:b w:val="0"/>
          <w:sz w:val="22"/>
        </w:rPr>
        <w:t>[11] S. Shalev-Shwartz, S. Shammah, and A. Shashua, "On a formal model of safe and scalable self-driving cars," arXiv:1708.06374, 2017.</w:t>
      </w:r>
    </w:p>
    <w:p>
      <w:pPr>
        <w:spacing w:line="360" w:lineRule="auto" w:after="80"/>
        <w:ind w:left="510" w:hanging="510"/>
      </w:pPr>
      <w:r>
        <w:rPr>
          <w:rFonts w:ascii="Times New Roman" w:hAnsi="Times New Roman" w:eastAsia="HY신명조"/>
          <w:b w:val="0"/>
          <w:sz w:val="22"/>
        </w:rPr>
        <w:t>[12] A. S. Willsky, "A survey of design methods for failure detection in dynamic systems," Automatica, vol. 12, no. 6, 1976.</w:t>
      </w:r>
    </w:p>
    <w:p>
      <w:pPr>
        <w:spacing w:line="360" w:lineRule="auto" w:after="80"/>
        <w:ind w:left="510" w:hanging="510"/>
      </w:pPr>
      <w:r>
        <w:rPr>
          <w:rFonts w:ascii="Times New Roman" w:hAnsi="Times New Roman"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Times New Roman" w:hAnsi="Times New Roman" w:eastAsia="HY신명조"/>
          <w:b w:val="0"/>
          <w:sz w:val="22"/>
        </w:rPr>
        <w:t>[14] R. Isermann, Fault-Diagnosis Systems: An Introduction from Fault Detection to Fault Tolerance, Springer, 2006.</w:t>
      </w:r>
    </w:p>
    <w:p>
      <w:pPr>
        <w:spacing w:line="360" w:lineRule="auto" w:after="80"/>
        <w:ind w:left="510" w:hanging="510"/>
      </w:pPr>
      <w:r>
        <w:rPr>
          <w:rFonts w:ascii="Times New Roman" w:hAnsi="Times New Roman"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Times New Roman" w:hAnsi="Times New Roman" w:eastAsia="HY신명조"/>
          <w:b w:val="0"/>
          <w:sz w:val="22"/>
        </w:rPr>
        <w:t>[16] E. S. Page, "Continuous inspection schemes," Biometrika, vol. 41, no. 1/2, 1954.</w:t>
      </w:r>
    </w:p>
    <w:p>
      <w:pPr>
        <w:spacing w:line="360" w:lineRule="auto" w:after="80"/>
        <w:ind w:left="510" w:hanging="510"/>
      </w:pPr>
      <w:r>
        <w:rPr>
          <w:rFonts w:ascii="Times New Roman" w:hAnsi="Times New Roman" w:eastAsia="HY신명조"/>
          <w:b w:val="0"/>
          <w:sz w:val="22"/>
        </w:rPr>
        <w:t>[17] M. Basseville and I. V. Nikiforov, Detection of Abrupt Changes: Theory and Application, Prentice Hall, 1993.</w:t>
      </w:r>
    </w:p>
    <w:p>
      <w:pPr>
        <w:spacing w:line="360" w:lineRule="auto" w:after="80"/>
        <w:ind w:left="510" w:hanging="510"/>
      </w:pPr>
      <w:r>
        <w:rPr>
          <w:rFonts w:ascii="Times New Roman" w:hAnsi="Times New Roman" w:eastAsia="HY신명조"/>
          <w:b w:val="0"/>
          <w:sz w:val="22"/>
        </w:rPr>
        <w:t>[18] Autoware Foundation, "autoware.universe documentation: ring_outlier_filter, blockage_diag, mrm_handler, goal_planner," autowarefoundation/autoware.universe (evaluated version 0.39.0). https://autowarefoundation.github.io/autoware.universe/</w:t>
      </w:r>
    </w:p>
    <w:p>
      <w:pPr>
        <w:spacing w:line="360" w:lineRule="auto" w:after="80"/>
        <w:ind w:left="510" w:hanging="510"/>
      </w:pPr>
      <w:r>
        <w:rPr>
          <w:rFonts w:ascii="Times New Roman" w:hAnsi="Times New Roman" w:eastAsia="HY신명조"/>
          <w:b w:val="0"/>
          <w:sz w:val="22"/>
        </w:rPr>
        <w:t>[19] R. B. Rusu and S. Cousins, "3D is here: Point Cloud Library (PCL)," Proc. IEEE ICRA, 2011.</w:t>
      </w:r>
    </w:p>
    <w:p>
      <w:pPr>
        <w:spacing w:line="360" w:lineRule="auto" w:after="80"/>
        <w:ind w:left="510" w:hanging="510"/>
      </w:pPr>
      <w:r>
        <w:rPr>
          <w:rFonts w:ascii="Times New Roman" w:hAnsi="Times New Roman"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Times New Roman" w:hAnsi="Times New Roman"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Times New Roman" w:hAnsi="Times New Roman" w:eastAsia="HY신명조"/>
          <w:b w:val="0"/>
          <w:sz w:val="22"/>
        </w:rPr>
        <w:t>[22] C. Zhang et al., "LiDAR degradation quantification for autonomous driving in rain," Proc. IEEE/RSJ IROS, 2021.</w:t>
      </w:r>
    </w:p>
    <w:p>
      <w:pPr>
        <w:spacing w:line="360" w:lineRule="auto" w:after="80"/>
        <w:ind w:left="510" w:hanging="510"/>
      </w:pPr>
      <w:r>
        <w:rPr>
          <w:rFonts w:ascii="Times New Roman" w:hAnsi="Times New Roman"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Times New Roman" w:hAnsi="Times New Roman"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Times New Roman" w:hAnsi="Times New Roman"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Times New Roman" w:hAnsi="Times New Roman"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Times New Roman" w:hAnsi="Times New Roman"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Times New Roman" w:hAnsi="Times New Roman"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Times New Roman" w:hAnsi="Times New Roman"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Times New Roman" w:hAnsi="Times New Roman" w:eastAsia="HY신명조"/>
          <w:b w:val="0"/>
          <w:sz w:val="22"/>
        </w:rPr>
        <w:t>[30] S. Magdici and M. Althoff, "Fail-safe motion planning of autonomous vehicles," Proc. IEEE ITSC, 2016.</w:t>
      </w:r>
    </w:p>
    <w:p>
      <w:pPr>
        <w:spacing w:line="360" w:lineRule="auto" w:after="80"/>
        <w:ind w:left="510" w:hanging="510"/>
      </w:pPr>
      <w:r>
        <w:rPr>
          <w:rFonts w:ascii="Times New Roman" w:hAnsi="Times New Roman"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Times New Roman" w:hAnsi="Times New Roman"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Times New Roman" w:hAnsi="Times New Roman"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Times New Roman" w:hAnsi="Times New Roman"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Times New Roman" w:hAnsi="Times New Roman"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Times New Roman" w:hAnsi="Times New Roman"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Times New Roman" w:hAnsi="Times New Roman"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Times New Roman" w:hAnsi="Times New Roman"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Times New Roman" w:hAnsi="Times New Roman"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Times New Roman" w:hAnsi="Times New Roman" w:eastAsia="HY신명조"/>
          <w:b w:val="0"/>
          <w:sz w:val="22"/>
        </w:rPr>
        <w:t>[40] M. Colledanchise and P. Ögren, Behavior Trees in Robotics and AI: An Introduction, CRC Press, 2018.</w:t>
      </w:r>
    </w:p>
    <w:p>
      <w:pPr>
        <w:spacing w:line="360" w:lineRule="auto" w:after="80"/>
        <w:ind w:left="510" w:hanging="510"/>
      </w:pPr>
      <w:r>
        <w:rPr>
          <w:rFonts w:ascii="Times New Roman" w:hAnsi="Times New Roman"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Times New Roman" w:hAnsi="Times New Roman" w:eastAsia="HY신명조"/>
          <w:b w:val="0"/>
          <w:sz w:val="22"/>
        </w:rPr>
        <w:t>[42] D. Faconti, BehaviorTree.CPP (v4) / behaviortree_ros2, github.com/BehaviorTree/BehaviorTree.CPP.</w:t>
      </w:r>
    </w:p>
    <w:p>
      <w:pPr>
        <w:spacing w:line="360" w:lineRule="auto" w:after="80"/>
        <w:ind w:left="510" w:hanging="510"/>
      </w:pPr>
      <w:r>
        <w:rPr>
          <w:rFonts w:ascii="Times New Roman" w:hAnsi="Times New Roman"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Times New Roman" w:hAnsi="Times New Roman"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Times New Roman" w:hAnsi="Times New Roman"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Times New Roman" w:hAnsi="Times New Roman" w:eastAsia="HY신명조"/>
          <w:b w:val="0"/>
          <w:sz w:val="22"/>
        </w:rPr>
        <w:t>[46] G. Li et al., "AV-FUZZER: Finding safety violations in autonomous driving systems," Proc. IEEE ISSRE, 2020.</w:t>
      </w:r>
    </w:p>
    <w:p>
      <w:pPr>
        <w:spacing w:line="360" w:lineRule="auto" w:after="80"/>
        <w:ind w:left="510" w:hanging="510"/>
      </w:pPr>
      <w:r>
        <w:rPr>
          <w:rFonts w:ascii="Times New Roman" w:hAnsi="Times New Roman" w:eastAsia="HY신명조"/>
          <w:b w:val="0"/>
          <w:sz w:val="22"/>
        </w:rPr>
        <w:t>[47] D. J. Fremont et al., "Scenic: A language for scenario specification and scene generation," Proc. ACM PLDI, 2019.</w:t>
      </w:r>
    </w:p>
    <w:p>
      <w:pPr>
        <w:spacing w:line="360" w:lineRule="auto" w:after="80"/>
        <w:ind w:left="510" w:hanging="510"/>
      </w:pPr>
      <w:r>
        <w:rPr>
          <w:rFonts w:ascii="Times New Roman" w:hAnsi="Times New Roman"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Times New Roman" w:hAnsi="Times New Roman"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Times New Roman" w:hAnsi="Times New Roman"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Times New Roman" w:hAnsi="Times New Roman" w:eastAsia="HY신명조"/>
          <w:b w:val="0"/>
          <w:sz w:val="22"/>
        </w:rPr>
        <w:t>[51] ISO 23793-1:2024, Intelligent transport systems — Minimal risk manoeuvre (MRM) for automated driving — Part 1: Framework, straight-stop and in-lane stop. (Part 2: Road shoulder stop — under development)</w:t>
      </w:r>
    </w:p>
    <w:p>
      <w:pPr>
        <w:spacing w:line="360" w:lineRule="auto" w:after="80"/>
        <w:ind w:left="510" w:hanging="510"/>
      </w:pPr>
      <w:r>
        <w:rPr>
          <w:rFonts w:ascii="Times New Roman" w:hAnsi="Times New Roman"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Times New Roman" w:hAnsi="Times New Roman"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Times New Roman" w:hAnsi="Times New Roman"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Times New Roman" w:hAnsi="Times New Roman"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Times New Roman" w:hAnsi="Times New Roman"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Times New Roman" w:hAnsi="Times New Roman"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Times New Roman" w:hAnsi="Times New Roman"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Times New Roman" w:hAnsi="Times New Roman" w:eastAsia="HY신명조"/>
          <w:b w:val="0"/>
          <w:sz w:val="22"/>
        </w:rPr>
        <w:t>[59] M. Hahner et al., "LiDAR snowfall simulation for robust 3D object detection," Proc. IEEE/CVF CVPR, 2022.</w:t>
      </w:r>
    </w:p>
    <w:p>
      <w:pPr>
        <w:spacing w:line="360" w:lineRule="auto" w:after="80"/>
        <w:ind w:left="510" w:hanging="510"/>
      </w:pPr>
      <w:r>
        <w:rPr>
          <w:rFonts w:ascii="Times New Roman" w:hAnsi="Times New Roman"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Times New Roman" w:hAnsi="Times New Roman"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Times New Roman" w:hAnsi="Times New Roman"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Times New Roman" w:hAnsi="Times New Roman" w:eastAsia="HY신명조"/>
          <w:b/>
          <w:sz w:val="28"/>
        </w:rPr>
        <w:t>논문요약</w:t>
      </w:r>
    </w:p>
    <w:p>
      <w:pPr>
        <w:spacing w:line="501" w:lineRule="exact" w:before="0" w:after="0"/>
      </w:pPr>
    </w:p>
    <w:p>
      <w:pPr>
        <w:spacing w:line="360" w:lineRule="auto" w:before="0" w:after="0"/>
        <w:jc w:val="center"/>
      </w:pPr>
      <w:r>
        <w:rPr>
          <w:rFonts w:ascii="Times New Roman" w:hAnsi="Times New Roman" w:eastAsia="HY신명조"/>
          <w:b/>
          <w:sz w:val="32"/>
        </w:rPr>
        <w:t>자율주행 차량의 페일세이프 운행을 위한 연속 센서 건강도 감시와</w:t>
      </w:r>
    </w:p>
    <w:p>
      <w:pPr>
        <w:spacing w:line="360" w:lineRule="auto" w:before="0" w:after="0"/>
        <w:jc w:val="center"/>
      </w:pPr>
      <w:r>
        <w:rPr>
          <w:rFonts w:ascii="Times New Roman" w:hAnsi="Times New Roman" w:eastAsia="HY신명조"/>
          <w:b/>
          <w:sz w:val="32"/>
        </w:rPr>
        <w:t>위험·잔여능력 기반 단계적 최소위험기동 감독</w:t>
      </w:r>
    </w:p>
    <w:p>
      <w:pPr>
        <w:spacing w:line="501" w:lineRule="exact" w:before="0" w:after="0"/>
      </w:pPr>
    </w:p>
    <w:p>
      <w:pPr>
        <w:spacing w:line="360" w:lineRule="auto" w:before="0" w:after="0"/>
        <w:jc w:val="right"/>
      </w:pPr>
      <w:r>
        <w:rPr>
          <w:rFonts w:ascii="Times New Roman" w:hAnsi="Times New Roman" w:eastAsia="HY신명조"/>
          <w:b w:val="0"/>
          <w:sz w:val="22"/>
        </w:rPr>
        <w:t>○ ○ ○</w:t>
      </w:r>
    </w:p>
    <w:p>
      <w:pPr>
        <w:spacing w:line="360" w:lineRule="auto" w:before="0" w:after="0"/>
        <w:jc w:val="right"/>
      </w:pPr>
      <w:r>
        <w:rPr>
          <w:rFonts w:ascii="Times New Roman" w:hAnsi="Times New Roman" w:eastAsia="HY신명조"/>
          <w:b w:val="0"/>
          <w:sz w:val="22"/>
        </w:rPr>
        <w:t>성균관대학교 일반대학원</w:t>
      </w:r>
    </w:p>
    <w:p>
      <w:pPr>
        <w:spacing w:line="360" w:lineRule="auto" w:before="0" w:after="0"/>
        <w:jc w:val="right"/>
      </w:pPr>
      <w:r>
        <w:rPr>
          <w:rFonts w:ascii="Times New Roman" w:hAnsi="Times New Roman" w:eastAsia="HY신명조"/>
          <w:b w:val="0"/>
          <w:sz w:val="22"/>
        </w:rPr>
        <w:t>전자전기컴퓨터공학과</w:t>
      </w:r>
    </w:p>
    <w:p>
      <w:pPr>
        <w:spacing w:line="501" w:lineRule="exact" w:before="0" w:after="0"/>
      </w:pPr>
    </w:p>
    <w:p>
      <w:pPr>
        <w:spacing w:line="501" w:lineRule="exact" w:before="0" w:after="0"/>
        <w:jc w:val="both"/>
      </w:pPr>
      <w:r>
        <w:rPr>
          <w:rFonts w:ascii="Times New Roman" w:hAnsi="Times New Roman"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pPr>
        <w:spacing w:line="501" w:lineRule="exact" w:before="0" w:after="0"/>
        <w:jc w:val="both"/>
      </w:pPr>
      <w:r>
        <w:rPr>
          <w:rFonts w:ascii="Times New Roman" w:hAnsi="Times New Roman" w:eastAsia="HY신명조"/>
          <w:b w:val="0"/>
          <w:sz w:val="22"/>
        </w:rPr>
        <w:t xml:space="preserve">   검증은 Autoware 0.39.0과 CARLA 0.9.16의 폐루프 환경(Town07, 제한속도 15 km/h)에서 수행하였다. 고장 유형×심각도×교통밀도×방법 매트릭스에 용량-반응 조우 실험까지 총 1,862 유효 케이스의 단일 폐루프 실험으로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바이어스·드리프트)을 포함한 전 조건에서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Times New Roman" w:hAnsi="Times New Roman" w:eastAsia="HY신명조"/>
          <w:b w:val="0"/>
          <w:sz w:val="22"/>
        </w:rPr>
        <w:t xml:space="preserve">   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Times New Roman" w:hAnsi="Times New Roman" w:eastAsia="HY신명조"/>
          <w:b/>
          <w:sz w:val="22"/>
        </w:rPr>
        <w:t>주제어 : 자율주행, 페일세이프, 기능안전, 최소위험기동(MRM), 센서 고장 감지,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