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32</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33</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38</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40</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44</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44</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51</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39</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45</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53</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Dual-channel structure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32</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35</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47</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w:t>
      </w:r>
      <w:r>
        <w:rPr>
          <w:rFonts w:ascii="Times New Roman" w:hAnsi="Times New Roman" w:eastAsia="HY신명조"/>
          <w:b w:val="0"/>
          <w:sz w:val="22"/>
        </w:rPr>
        <w:tab/>
        <w:t>49</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60" w:lineRule="auto" w:before="0" w:after="0"/>
      </w:pPr>
      <w:r>
        <w:rPr>
          <w:rFonts w:ascii="Times New Roman" w:hAnsi="Times New Roman" w:eastAsia="HY신명조"/>
          <w:b w:val="0"/>
          <w:sz w:val="22"/>
        </w:rPr>
        <w:t>Figure 3-1. Dual-channel structure of the proposed system. Left: the nominal driving channel of unmodified Autoware 0.39.0 (perception &amp; localization → planning → control); right: the add-on fail-safe channel (figure labels CDR Monitor = cdr_monitor, MRM Supervisor = mrm_supervisor). The monitoring stage subscribes read-only to the sensor topics and produces health/capability scores; the decision stage selects MOVE (evacuate — reroute with a speed cap) or DEFER (delegate — inject a diagnostic ERROR) via the dual-threshold check and refuge-candidate search; the minimal-risk condition is a shoulder/parking-lot stop or the stock in-lane stop. Dead sensors are decided through the hard-fail fast path (Chapter 3, Section 5).</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GNSS fault waveforms — white noise (gn), correlated bias (gb), signal outage (gf). (e) Gyro fault waveforms — white noise (imn), fixed bias (imb),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residual detectors inside the supervisor, not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