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34</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58</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61</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63</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70</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36</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38</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55</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이중 채널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28</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30</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42</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53</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이중 채널 구조. 좌측은 무수정 Autoware 0.39.0의 정상 주행 채널(인지·측위 → 계획 → 제어), 우측은 부가(add-on) 안전 채널이다(그림 표기 CDR Monitor = cdr_monitor, MRM Supervisor = mrm_supervisor). 감시 단계는 센서 토픽을 읽기 전용 구독해 건강·능력 점수를 산출하고, 판단 단계는 이중 임계 확인과 대피 후보 탐색으로 MOVE(대피 — 경로 재설정·속도 상한)/DEFER(위임 — 진단 ERROR 주입)를 선택하며, 최소위험상태(MRC)는 갓길·주차장 정차 또는 순정 차선 내 정지로 귀결된다. 죽은 센서는 하드페일 고속경로로 즉시 판정된다(제3장 5절).</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GNSS 고장 파형 — 백색 노이즈(gn)·상관 편향(gb)·신호 상실(gf). (e) 자이로 고장 파형 — 백색 노이즈(imn)·고정 편향(imb)·편향 램프(imd).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감독자 내부 잔차 감지기에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