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32~58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32~58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나머지 29건은 대피를 시도하지 않은 정차 위임(MRM_DEFER) 27건과 대피 기동 중 미완수 2건으로 구성되었다 — 위임은 시스템 실패가 아니라 "이 상태로는 이동이 위험하다"는 감독자의 의도된 정책 선택이며, 실제 기동 미완수는 2건이다. 대피 완료 비율을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 건수/전체 유효 케이스 수)이다. baseline은 설계상 차선 내 정지 정책이므로 대피 완료가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32~58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감지+대피(32~58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전체 유효 케이스 중 대피 완료 비율(cf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대피가 완료되지 않은 케이스에는 판단 계층의 위임 선택(의도된 정지)과 실행 계층의 기동 미완수가 섞여 있다(cf에서는 위임 27건 대 기동 중 미완수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32-58 m (detect + evacuate).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