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Continuous Sensor Health Monitoring and</w:t>
      </w:r>
    </w:p>
    <w:p>
      <w:pPr>
        <w:spacing w:line="360" w:lineRule="auto" w:before="0" w:after="0"/>
        <w:jc w:val="center"/>
      </w:pPr>
      <w:r>
        <w:rPr>
          <w:rFonts w:ascii="Times New Roman" w:hAnsi="Times New Roman" w:eastAsia="HY신명조"/>
          <w:b/>
          <w:sz w:val="40"/>
        </w:rPr>
        <w:t>Risk/Capability-aware Graded MRM Supervision</w:t>
      </w:r>
    </w:p>
    <w:p>
      <w:pPr>
        <w:spacing w:line="360" w:lineRule="auto" w:before="0" w:after="0"/>
        <w:jc w:val="center"/>
      </w:pPr>
      <w:r>
        <w:rPr>
          <w:rFonts w:ascii="Times New Roman" w:hAnsi="Times New Roman" w:eastAsia="HY신명조"/>
          <w:b/>
          <w:sz w:val="40"/>
        </w:rPr>
        <w:t>for Fail-Safe Operation of Autonomous Vehicles</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Continuous Sensor Health Monitoring and</w:t>
      </w:r>
    </w:p>
    <w:p>
      <w:pPr>
        <w:spacing w:line="360" w:lineRule="auto" w:before="0" w:after="0"/>
        <w:jc w:val="center"/>
      </w:pPr>
      <w:r>
        <w:rPr>
          <w:rFonts w:ascii="Times New Roman" w:hAnsi="Times New Roman" w:eastAsia="HY신명조"/>
          <w:b/>
          <w:sz w:val="40"/>
        </w:rPr>
        <w:t>Risk/Capability-aware Graded MRM Supervision</w:t>
      </w:r>
    </w:p>
    <w:p>
      <w:pPr>
        <w:spacing w:line="360" w:lineRule="auto" w:before="0" w:after="0"/>
        <w:jc w:val="center"/>
      </w:pPr>
      <w:r>
        <w:rPr>
          <w:rFonts w:ascii="Times New Roman" w:hAnsi="Times New Roman" w:eastAsia="HY신명조"/>
          <w:b/>
          <w:sz w:val="40"/>
        </w:rPr>
        <w:t>for Fail-Safe Operation of Autonomous Vehicles</w:t>
      </w:r>
    </w:p>
    <w:p>
      <w:pPr>
        <w:spacing w:line="360" w:lineRule="auto" w:before="0" w:after="0"/>
      </w:pPr>
    </w:p>
    <w:p>
      <w:pPr>
        <w:spacing w:line="360" w:lineRule="auto" w:before="0" w:after="0"/>
        <w:jc w:val="center"/>
      </w:pPr>
      <w:r>
        <w:rPr>
          <w:rFonts w:ascii="Times New Roman" w:hAnsi="Times New Roman" w:eastAsia="HY신명조"/>
          <w:b w:val="0"/>
          <w:sz w:val="28"/>
        </w:rPr>
        <w:t>자율주행 차량의 페일세이프 운행을 위한 연속 센서 건강도 감시와</w:t>
      </w:r>
    </w:p>
    <w:p>
      <w:pPr>
        <w:spacing w:line="360" w:lineRule="auto" w:before="0" w:after="0"/>
        <w:jc w:val="center"/>
      </w:pPr>
      <w:r>
        <w:rPr>
          <w:rFonts w:ascii="Times New Roman" w:hAnsi="Times New Roman" w:eastAsia="HY신명조"/>
          <w:b w:val="0"/>
          <w:sz w:val="28"/>
        </w:rPr>
        <w:t>위험·잔여능력 기반 단계적 최소위험기동 감독</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Continuous Sensor Health Monitoring and</w:t>
      </w:r>
    </w:p>
    <w:p>
      <w:pPr>
        <w:spacing w:line="360" w:lineRule="auto" w:before="0" w:after="0"/>
        <w:jc w:val="center"/>
      </w:pPr>
      <w:r>
        <w:rPr>
          <w:rFonts w:ascii="Times New Roman" w:hAnsi="Times New Roman" w:eastAsia="HY신명조"/>
          <w:b/>
          <w:sz w:val="40"/>
        </w:rPr>
        <w:t>Risk/Capability-aware Graded MRM Supervision</w:t>
      </w:r>
    </w:p>
    <w:p>
      <w:pPr>
        <w:spacing w:line="360" w:lineRule="auto" w:before="0" w:after="0"/>
        <w:jc w:val="center"/>
      </w:pPr>
      <w:r>
        <w:rPr>
          <w:rFonts w:ascii="Times New Roman" w:hAnsi="Times New Roman" w:eastAsia="HY신명조"/>
          <w:b/>
          <w:sz w:val="40"/>
        </w:rPr>
        <w:t>for Fail-Safe Operation of Autonomous Vehicles</w:t>
      </w:r>
    </w:p>
    <w:p>
      <w:pPr>
        <w:spacing w:line="360" w:lineRule="auto" w:before="0" w:after="0"/>
      </w:pPr>
    </w:p>
    <w:p>
      <w:pPr>
        <w:spacing w:line="360" w:lineRule="auto" w:before="0" w:after="0"/>
        <w:jc w:val="center"/>
      </w:pPr>
      <w:r>
        <w:rPr>
          <w:rFonts w:ascii="Times New Roman" w:hAnsi="Times New Roman" w:eastAsia="HY신명조"/>
          <w:b w:val="0"/>
          <w:sz w:val="28"/>
        </w:rPr>
        <w:t>자율주행 차량의 페일세이프 운행을 위한 연속 센서 건강도 감시와</w:t>
      </w:r>
    </w:p>
    <w:p>
      <w:pPr>
        <w:spacing w:line="360" w:lineRule="auto" w:before="0" w:after="0"/>
        <w:jc w:val="center"/>
      </w:pPr>
      <w:r>
        <w:rPr>
          <w:rFonts w:ascii="Times New Roman" w:hAnsi="Times New Roman" w:eastAsia="HY신명조"/>
          <w:b w:val="0"/>
          <w:sz w:val="28"/>
        </w:rPr>
        <w:t>위험·잔여능력 기반 단계적 최소위험기동 감독</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17</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20</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22</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32</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34</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39</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41</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42</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43</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45</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48</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48</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55</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56</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59</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60</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67</w:t>
      </w:r>
    </w:p>
    <w:p>
      <w:pPr>
        <w:tabs>
          <w:tab w:pos="7937" w:val="right" w:leader="dot"/>
        </w:tabs>
        <w:spacing w:line="501" w:lineRule="exact"/>
        <w:ind w:left="567"/>
      </w:pPr>
      <w:r>
        <w:rPr>
          <w:rFonts w:ascii="Times New Roman" w:hAnsi="Times New Roman" w:eastAsia="HY신명조"/>
          <w:b w:val="0"/>
          <w:sz w:val="22"/>
        </w:rPr>
        <w:t>8. Causal Verification of the Speed Cap: A Dose-Response Experiment on Settled Encounters</w:t>
      </w:r>
      <w:r>
        <w:rPr>
          <w:rFonts w:ascii="Times New Roman" w:hAnsi="Times New Roman" w:eastAsia="HY신명조"/>
          <w:b w:val="0"/>
          <w:sz w:val="22"/>
        </w:rPr>
        <w:tab/>
        <w:t>69</w:t>
      </w:r>
    </w:p>
    <w:p>
      <w:pPr>
        <w:tabs>
          <w:tab w:pos="7937" w:val="right" w:leader="dot"/>
        </w:tabs>
        <w:spacing w:line="501" w:lineRule="exact"/>
        <w:ind w:left="567"/>
      </w:pPr>
      <w:r>
        <w:rPr>
          <w:rFonts w:ascii="Times New Roman" w:hAnsi="Times New Roman" w:eastAsia="HY신명조"/>
          <w:b w:val="0"/>
          <w:sz w:val="22"/>
        </w:rPr>
        <w:t>9. Hard-Fail Decision Latency: Verifying the 1.5 s Deadline</w:t>
      </w:r>
      <w:r>
        <w:rPr>
          <w:rFonts w:ascii="Times New Roman" w:hAnsi="Times New Roman" w:eastAsia="HY신명조"/>
          <w:b w:val="0"/>
          <w:sz w:val="22"/>
        </w:rPr>
        <w:tab/>
        <w:t>72</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74</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74</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74</w:t>
      </w:r>
    </w:p>
    <w:p>
      <w:pPr>
        <w:tabs>
          <w:tab w:pos="7937" w:val="right" w:leader="dot"/>
        </w:tabs>
        <w:spacing w:line="501" w:lineRule="exact"/>
        <w:ind w:left="567"/>
      </w:pPr>
      <w:r>
        <w:rPr>
          <w:rFonts w:ascii="Times New Roman" w:hAnsi="Times New Roman" w:eastAsia="HY신명조"/>
          <w:b w:val="0"/>
          <w:sz w:val="22"/>
        </w:rPr>
        <w:t>3. The Role of the Speed Cap: Causal Effect and Limits</w:t>
      </w:r>
      <w:r>
        <w:rPr>
          <w:rFonts w:ascii="Times New Roman" w:hAnsi="Times New Roman" w:eastAsia="HY신명조"/>
          <w:b w:val="0"/>
          <w:sz w:val="22"/>
        </w:rPr>
        <w:tab/>
        <w:t>75</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76</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77</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74</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81</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84</w:t>
      </w:r>
    </w:p>
    <w:p>
      <w:pPr>
        <w:tabs>
          <w:tab w:pos="8504" w:val="right" w:leader="dot"/>
        </w:tabs>
        <w:spacing w:line="501" w:lineRule="exact"/>
        <w:ind w:left="0"/>
      </w:pPr>
      <w:r>
        <w:rPr>
          <w:rFonts w:ascii="Times New Roman" w:hAnsi="Times New Roman" w:eastAsia="HY신명조"/>
          <w:b w:val="0"/>
          <w:sz w:val="22"/>
        </w:rPr>
        <w:t>논문요약</w:t>
      </w:r>
      <w:r>
        <w:rPr>
          <w:rFonts w:ascii="Times New Roman" w:hAnsi="Times New Roman" w:eastAsia="HY신명조"/>
          <w:b w:val="0"/>
          <w:sz w:val="22"/>
        </w:rPr>
        <w:tab/>
        <w:t>90</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13</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32</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33</w:t>
      </w:r>
    </w:p>
    <w:p>
      <w:pPr>
        <w:tabs>
          <w:tab w:pos="8504" w:val="right" w:leader="dot"/>
        </w:tabs>
        <w:spacing w:line="501" w:lineRule="exact"/>
        <w:ind w:left="0"/>
      </w:pPr>
      <w:r>
        <w:rPr>
          <w:rFonts w:ascii="Times New Roman" w:hAnsi="Times New Roman" w:eastAsia="HY신명조"/>
          <w:b w:val="0"/>
          <w:sz w:val="22"/>
        </w:rPr>
        <w:t>Table 4-3. Main-campaign case accounting — planned versus final valid</w:t>
      </w:r>
      <w:r>
        <w:rPr>
          <w:rFonts w:ascii="Times New Roman" w:hAnsi="Times New Roman" w:eastAsia="HY신명조"/>
          <w:b w:val="0"/>
          <w:sz w:val="22"/>
        </w:rPr>
        <w:tab/>
        <w:t>36</w:t>
      </w:r>
    </w:p>
    <w:p>
      <w:pPr>
        <w:tabs>
          <w:tab w:pos="8504" w:val="right" w:leader="dot"/>
        </w:tabs>
        <w:spacing w:line="501" w:lineRule="exact"/>
        <w:ind w:left="0"/>
      </w:pPr>
      <w:r>
        <w:rPr>
          <w:rFonts w:ascii="Times New Roman" w:hAnsi="Times New Roman" w:eastAsia="HY신명조"/>
          <w:b w:val="0"/>
          <w:sz w:val="22"/>
        </w:rPr>
        <w:t>Table 4-4. Definition of the four ablation arms</w:t>
      </w:r>
      <w:r>
        <w:rPr>
          <w:rFonts w:ascii="Times New Roman" w:hAnsi="Times New Roman" w:eastAsia="HY신명조"/>
          <w:b w:val="0"/>
          <w:sz w:val="22"/>
        </w:rPr>
        <w:tab/>
        <w:t>42</w:t>
      </w:r>
    </w:p>
    <w:p>
      <w:pPr>
        <w:tabs>
          <w:tab w:pos="8504" w:val="right" w:leader="dot"/>
        </w:tabs>
        <w:spacing w:line="501" w:lineRule="exact"/>
        <w:ind w:left="0"/>
      </w:pPr>
      <w:r>
        <w:rPr>
          <w:rFonts w:ascii="Times New Roman" w:hAnsi="Times New Roman" w:eastAsia="HY신명조"/>
          <w:b w:val="0"/>
          <w:sz w:val="22"/>
        </w:rPr>
        <w:t>Table 4-5. Summary of key experimental parameters</w:t>
      </w:r>
      <w:r>
        <w:rPr>
          <w:rFonts w:ascii="Times New Roman" w:hAnsi="Times New Roman" w:eastAsia="HY신명조"/>
          <w:b w:val="0"/>
          <w:sz w:val="22"/>
        </w:rPr>
        <w:tab/>
        <w:t>45</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49</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54</w:t>
      </w:r>
    </w:p>
    <w:p>
      <w:pPr>
        <w:tabs>
          <w:tab w:pos="8504" w:val="right" w:leader="dot"/>
        </w:tabs>
        <w:spacing w:line="501" w:lineRule="exact"/>
        <w:ind w:left="0"/>
      </w:pPr>
      <w:r>
        <w:rPr>
          <w:rFonts w:ascii="Times New Roman" w:hAnsi="Times New Roman" w:eastAsia="HY신명조"/>
          <w:b w:val="0"/>
          <w:sz w:val="22"/>
        </w:rPr>
        <w:t>Table 5-3. Distance ladder results (ledger and video adjudication)</w:t>
      </w:r>
      <w:r>
        <w:rPr>
          <w:rFonts w:ascii="Times New Roman" w:hAnsi="Times New Roman" w:eastAsia="HY신명조"/>
          <w:b w:val="0"/>
          <w:sz w:val="22"/>
        </w:rPr>
        <w:tab/>
        <w:t>57</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65</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68</w:t>
      </w:r>
    </w:p>
    <w:p>
      <w:pPr>
        <w:tabs>
          <w:tab w:pos="8504" w:val="right" w:leader="dot"/>
        </w:tabs>
        <w:spacing w:line="501" w:lineRule="exact"/>
        <w:ind w:left="0"/>
      </w:pPr>
      <w:r>
        <w:rPr>
          <w:rFonts w:ascii="Times New Roman" w:hAnsi="Times New Roman" w:eastAsia="HY신명조"/>
          <w:b w:val="0"/>
          <w:sz w:val="22"/>
        </w:rPr>
        <w:t>Table 5-8. Dose-response experiment — collisions in settled encounters (n=10 seeds per cell, ledger adjudication)</w:t>
      </w:r>
      <w:r>
        <w:rPr>
          <w:rFonts w:ascii="Times New Roman" w:hAnsi="Times New Roman" w:eastAsia="HY신명조"/>
          <w:b w:val="0"/>
          <w:sz w:val="22"/>
        </w:rPr>
        <w:tab/>
        <w:t>70</w:t>
      </w:r>
    </w:p>
    <w:p>
      <w:pPr>
        <w:tabs>
          <w:tab w:pos="8504" w:val="right" w:leader="dot"/>
        </w:tabs>
        <w:spacing w:line="501" w:lineRule="exact"/>
        <w:ind w:left="0"/>
      </w:pPr>
      <w:r>
        <w:rPr>
          <w:rFonts w:ascii="Times New Roman" w:hAnsi="Times New Roman" w:eastAsia="HY신명조"/>
          <w:b w:val="0"/>
          <w:sz w:val="22"/>
        </w:rPr>
        <w:t>Table 5-9. Hard-fail detection and decision latency (simulation time, ledger basis) and 1.5 s deadline compliance</w:t>
      </w:r>
      <w:r>
        <w:rPr>
          <w:rFonts w:ascii="Times New Roman" w:hAnsi="Times New Roman" w:eastAsia="HY신명조"/>
          <w:b w:val="0"/>
          <w:sz w:val="22"/>
        </w:rPr>
        <w:tab/>
        <w:t>73</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Dual-channel structure of the proposed system</w:t>
      </w:r>
      <w:r>
        <w:rPr>
          <w:rFonts w:ascii="Times New Roman" w:hAnsi="Times New Roman" w:eastAsia="HY신명조"/>
          <w:b w:val="0"/>
          <w:sz w:val="22"/>
        </w:rPr>
        <w:tab/>
        <w:t>16</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20</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23</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25</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33</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38</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51</w:t>
      </w:r>
    </w:p>
    <w:p>
      <w:pPr>
        <w:tabs>
          <w:tab w:pos="8504" w:val="right" w:leader="dot"/>
        </w:tabs>
        <w:spacing w:line="501" w:lineRule="exact"/>
        <w:ind w:left="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sparsification (lso), (b) camera pixel noise (cn)</w:t>
      </w:r>
      <w:r>
        <w:rPr>
          <w:rFonts w:ascii="Times New Roman" w:hAnsi="Times New Roman" w:eastAsia="HY신명조"/>
          <w:b w:val="0"/>
          <w:sz w:val="22"/>
        </w:rPr>
        <w:tab/>
        <w:t>53</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58</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(exploratory analysis on the first-round ablation subset, A3/A4 pooled; conditional n=13)</w:t>
      </w:r>
      <w:r>
        <w:rPr>
          <w:rFonts w:ascii="Times New Roman" w:hAnsi="Times New Roman" w:eastAsia="HY신명조"/>
          <w:b w:val="0"/>
          <w:sz w:val="22"/>
        </w:rPr>
        <w:tab/>
        <w:t>66</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67</w:t>
      </w:r>
    </w:p>
    <w:p>
      <w:pPr>
        <w:tabs>
          <w:tab w:pos="8504" w:val="right" w:leader="dot"/>
        </w:tabs>
        <w:spacing w:line="501" w:lineRule="exact"/>
        <w:ind w:left="0"/>
      </w:pPr>
      <w:r>
        <w:rPr>
          <w:rFonts w:ascii="Times New Roman" w:hAnsi="Times New Roman" w:eastAsia="HY신명조"/>
          <w:b w:val="0"/>
          <w:sz w:val="22"/>
        </w:rPr>
        <w:t>Figure 5-6. Dose-response experiment (120 runs, ledger adjudication)</w:t>
      </w:r>
      <w:r>
        <w:rPr>
          <w:rFonts w:ascii="Times New Roman" w:hAnsi="Times New Roman" w:eastAsia="HY신명조"/>
          <w:b w:val="0"/>
          <w:sz w:val="22"/>
        </w:rPr>
        <w:tab/>
        <w:t>71</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Continuous Sensor Health Monitoring and</w:t>
      </w:r>
    </w:p>
    <w:p>
      <w:pPr>
        <w:spacing w:line="360" w:lineRule="auto" w:before="0" w:after="0"/>
        <w:jc w:val="center"/>
      </w:pPr>
      <w:r>
        <w:rPr>
          <w:rFonts w:ascii="Times New Roman" w:hAnsi="Times New Roman" w:eastAsia="HY신명조"/>
          <w:b/>
          <w:sz w:val="32"/>
        </w:rPr>
        <w:t>Risk/Capability-aware Graded MRM Supervision</w:t>
      </w:r>
    </w:p>
    <w:p>
      <w:pPr>
        <w:spacing w:line="360" w:lineRule="auto" w:before="0" w:after="0"/>
        <w:jc w:val="center"/>
      </w:pPr>
      <w:r>
        <w:rPr>
          <w:rFonts w:ascii="Times New Roman" w:hAnsi="Times New Roman" w:eastAsia="HY신명조"/>
          <w:b/>
          <w:sz w:val="32"/>
        </w:rPr>
        <w:t>for Fail-Safe Operation of Autonomous Vehicles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model-derived upper bound of about 3.89 m/s obtained from a stopping-distance model under assumed nominal parameters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in 11 of 12 fault conditions, with median detection latencies of about 1.0 s for hard fails (ledger re-measurement) and 2.1-5.0 s for degradation faults (the exception being mild LiDAR sparsification that is tolerated by design) with zero false activations in 45 fault-free cases, and supervision reduced degraded-state driving exposure from 238-275 m (unsupervised stock) to 32-58 m (detect + evacuate, camera and navigation families).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pedestrian-physics oracle, and a human visual cross-check protocol — introduced after empirically discovering that a collision sensor attached to the pedestrian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model prediction of 8.8 m) and at 7-8 m for 3.0 m/s (the model value 5.79 m is a lower-bound approximation).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nominally capped (3.0 m/s) evacuation in 11/20 (exact McNemar, native continuation (A1) vs nominally capped evacuation (A4): p=0.375). A post-campaign audit found that the explicit cap had never been delivered to the planning layer (messages silently discarded on the same topic name due to a message-type mismatch), so both evacuation arms were de facto the same policy; the cap was fixed (type match + periodic republish) and its effect was then tested causally in a dose-response experiment restricted to settled encounters where the cap actually held (3 caps × 4 spawn distances × 10 seeds = 120 runs, settlement-state trigger, pre-specified primary endpoint): at 8 m, cap 4.2 vs 3.0 m/s gave discordant pairs 10:0 (exact McNemar p=0.002), and the avoid/collide boundary moved inward monotonically with lower caps (from beyond 9 m to about 7 m). The same low-speed evacuation policy launched in the deceleration transient remains at risk, and the low-speed settled cruise avoided all encounters (0/8 collisions). The MRM choice is thus a temporal trade-off between immediate collision risk (favoring the stop) and the possibility, when evacuation succeeds, of clearing the lane to an off-lane refuge position, and the residual risk of evacuation concentrates in the detection-to-deceleration transient (11/20 transient vs 0/8 settled; a single launch instant at detection + 3 s) — an observational two-regime comparison, not a causal manipulation of detection timing, that nevertheless provides quantitative observational evidence supporting the need for earlier detection and faster deceleration to widen the safety margin within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vehicle, fail-safe, functional safety, minimal risk maneuver, sensor fault detection, FTTI</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1-1. </w:t>
      </w:r>
      <w:r>
        <w:rPr>
          <w:rFonts w:ascii="Times New Roman" w:hAnsi="Times New Roman" w:eastAsia="HY신명조"/>
          <w:b w:val="0"/>
          <w:sz w:val="19"/>
        </w:rPr>
        <w:t>Problem setting. (a) The graded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data quality (noise and valid ratio), and physical consistency (residuals and bias),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degraded-state exposure time, traffic-light observability, and sector deficits; and during evacuation movement, a conservative fixed speed cap (3.0 m/s; below the model-derived upper bound (under nominal parameters) v_max≈3.89 m/s), back-computed from the stopping distance model d=vτ+v²/2a, is imposed on the planning layer. The effect of the cap is verified at the causal level in a dose-response experiment restricted to settled encounters where the cap actually held (Chapter 5, Section 8).</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detection and response times (widening the margin within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detection and response times (widening the margin within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concern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rather than checking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12" w:lineRule="auto" w:before="40" w:after="0"/>
      </w:pPr>
      <w:r>
        <w:rPr>
          <w:rFonts w:ascii="Times New Roman" w:hAnsi="Times New Roman" w:eastAsia="HY신명조"/>
          <w:b/>
          <w:sz w:val="19"/>
        </w:rPr>
        <w:t xml:space="preserve">Table 2-1. </w:t>
      </w:r>
      <w:r>
        <w:rPr>
          <w:rFonts w:ascii="Times New Roman" w:hAnsi="Times New Roman" w:eastAsia="HY신명조"/>
          <w:b w:val="0"/>
          <w:sz w:val="19"/>
        </w:rPr>
        <w:t>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(11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506120"/>
            <wp:docPr id="2" name="Picture 2"/>
            <wp:cNvGraphicFramePr>
              <a:graphicFrameLocks noChangeAspect="1"/>
            </wp:cNvGraphicFramePr>
            <a:graphic>
              <a:graphicData uri="http://schemas.openxmlformats.org/drawingml/2006/picture">
                <pic:pic>
                  <pic:nvPicPr>
                    <pic:cNvPr id="0" name="fig2b_dualchannel.png"/>
                    <pic:cNvPicPr/>
                  </pic:nvPicPr>
                  <pic:blipFill>
                    <a:blip r:embed="rId16"/>
                    <a:stretch>
                      <a:fillRect/>
                    </a:stretch>
                  </pic:blipFill>
                  <pic:spPr>
                    <a:xfrm>
                      <a:off x="0" y="0"/>
                      <a:ext cx="5400000" cy="3506120"/>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3-1. </w:t>
      </w:r>
      <w:r>
        <w:rPr>
          <w:rFonts w:ascii="Times New Roman" w:hAnsi="Times New Roman" w:eastAsia="HY신명조"/>
          <w:b w:val="0"/>
          <w:sz w:val="19"/>
        </w:rPr>
        <w:t>Dual-channel structure of the proposed system. Left: the nominal driving channel of unmodified Autoware 0.39.0 (perception &amp; localization → planning → control); right: the add-on fail-safe channel (figure labels CDR Monitor = cdr_monitor, MRM Supervisor = mrm_supervisor). The monitoring stage subscribes read-only to the sensor topics and produces health/capability scores; the decision stage selects MOVE (evacuate — reroute with a speed cap) or DEFER (defer to the stock stop — inject a diagnostic ERROR) via the dual-threshold check and evacuation-candidate search, and re-evaluates surrounding traffic and progress while moving (rear-occupancy and stall watchdogs), demoting and re-selecting candidates and falling back to DEFER when exhausted; the minimal-risk condition (MRC — a shoulder/parking-lot stop or the stock in-lane stop) is drawn as the terminal state the ego vehicle reaches inside the closed-loop simulation environment (CARLA) at the bottom (actuation downward, sensor streams upward). Dead-sensor cases are decided through the hard-fail fast path (Chapter 3, Section 5).</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using only samples with |Δr| &lt; 1 m</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These localization channels reside in the supervisor process as an implementation matter but belong logically to the monitoring layer; throughout this thesis, "monitoring" denotes this logical layer rather than process placement (the boundary in Figure 3-1 is a logical one).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3-2. </w:t>
      </w:r>
      <w:r>
        <w:rPr>
          <w:rFonts w:ascii="Times New Roman" w:hAnsi="Times New Roman" w:eastAsia="HY신명조"/>
          <w:b w:val="0"/>
          <w:sz w:val="19"/>
        </w:rPr>
        <w:t>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 The selection is not frozen while moving, either — if a rear vehicle keeps occupying the approach during a parking approach or maneuver (within 10 m for 20 s), the parking-lot candidates that require reversing are penalized and re-selection demotes the target to a shoulder stop; movement stalls and route-change non-responses get a bounded number of retries; and candidate exhaustion or a health collapse en route falls back to DEFER (en-route re-evaluation — Figure 3-1).</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3-3. </w:t>
      </w:r>
      <w:r>
        <w:rPr>
          <w:rFonts w:ascii="Times New Roman" w:hAnsi="Times New Roman" w:eastAsia="HY신명조"/>
          <w:b w:val="0"/>
          <w:sz w:val="19"/>
        </w:rPr>
        <w:t>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9).</w:t>
      </w:r>
    </w:p>
    <w:p>
      <w:pPr>
        <w:spacing w:line="501" w:lineRule="exact" w:before="0" w:after="0"/>
        <w:jc w:val="both"/>
      </w:pPr>
      <w:r>
        <w:rPr>
          <w:rFonts w:ascii="Times New Roman" w:hAnsi="Times New Roman" w:eastAsia="HY신명조"/>
          <w:b w:val="0"/>
          <w:sz w:val="22"/>
        </w:rPr>
        <w:t xml:space="preserve">   Evacuation-site selection is performed by cost minimization (the candidate layout is shown in Figure 3-4):</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3-4. </w:t>
      </w:r>
      <w:r>
        <w:rPr>
          <w:rFonts w:ascii="Times New Roman" w:hAnsi="Times New Roman" w:eastAsia="HY신명조"/>
          <w:b w:val="0"/>
          <w:sz w:val="19"/>
        </w:rPr>
        <w:t>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g(tl) is the traffic-light observability penalty (1/cap_tl − 1), sector_req the sector scores required to approach the candidate, loc the localization confidence, and w∗ the per-term weights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re-run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and a≈3.5 m/s² are not independently measured values but nominal lumped values calibrated to reproduce the measured ladder boundary (8–11 m); the formula is therefore a design approximation for selecting the cap policy value, not a predictive model of the safety boundary. In a dedicated braking experiment (fault-free stock stack, a pedestrian appearing 14 m ahead during 4.2 m/s cruise, n=5, physics-tick logs), braking onset lagged the spawn by 0.46±0.08 s and the energy-consistent effective deceleration was 2.87±0.20 m/s² over stopping distances of 4.2–5.8 m — the onset delay is encounter-geometry-dependent (early precautionary braking under long preview versus an effective delay of ≈1.5 s in the 8 m near-boundary regime), so a single (τ, a) pair is a lumped approximation; the agreement with the ladder boundary is a self-consistency check of the calibration, not an independent validation, while the dedicated braking experiment is an independent observation showing that (τ, a) are regime-dependent. In the near-boundary regime, τ≈1.5 s remains the effective hazard-response delay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model-derived upper bound v_max≈3.89 m/s obtained by inverting Eq. (3-9) under nominal parameters for an 8 m dart-out margin — that is, 3.0 m/s is a conservative policy value chosen below the model bound, not an analytical result of the model (d_margin=0; the model underestimates the required distance in the 3.0 m/s regime — prediction 5.79 m versus the measured boundary of 7–8 m, corrected by the measurements of Chapter 5, Section 3) (a health-proportional cap was implemented but unused — Table 4-5). Two implementation defects were found and fixed on this delivery path by measurement. The cap is delivered via the Autoware speed-cap candidate input topic. First, an implementation that directly published the cap output topic was found in measurement to contend with the selector and block restart, and was corrected — the lesson is to intervene on the input side of the arbiter. Second, a message published with a type different from the one the evaluated stack version subscribes to is silently discarded even on the same topic name — a post-campaign audit found that, due to this defect, the explicit cap had not actually been delivered in the campaign runs (discovered through the mismatch between publish logs and measured vehicle speed); after matching the type and adding periodic republication while moving, delivery and compliance were re-verified by measurement (Chapter 5, Section 8). The interface contract extends to the message type, not just the topic name, and a "publish log" is not evidence of delivery (Chapter 6, Section 4).</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4-5).</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4-1. </w:t>
      </w:r>
      <w:r>
        <w:rPr>
          <w:rFonts w:ascii="Times New Roman" w:hAnsi="Times New Roman" w:eastAsia="HY신명조"/>
          <w:b w:val="0"/>
          <w:sz w:val="19"/>
        </w:rPr>
        <w:t>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12" w:lineRule="auto" w:before="40" w:after="0"/>
      </w:pPr>
      <w:r>
        <w:rPr>
          <w:rFonts w:ascii="Times New Roman" w:hAnsi="Times New Roman" w:eastAsia="HY신명조"/>
          <w:b/>
          <w:sz w:val="19"/>
        </w:rPr>
        <w:t xml:space="preserve">Table 4-1. </w:t>
      </w:r>
      <w:r>
        <w:rPr>
          <w:rFonts w:ascii="Times New Roman" w:hAnsi="Times New Roman" w:eastAsia="HY신명조"/>
          <w:b w:val="0"/>
          <w:sz w:val="19"/>
        </w:rPr>
        <w:t>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 The sensor-level effect of each fault is illustrated in Figure 4-2.</w:t>
      </w:r>
    </w:p>
    <w:p>
      <w:pPr>
        <w:keepNext/>
        <w:spacing w:line="312" w:lineRule="auto" w:before="40" w:after="0"/>
      </w:pPr>
      <w:r>
        <w:rPr>
          <w:rFonts w:ascii="Times New Roman" w:hAnsi="Times New Roman" w:eastAsia="HY신명조"/>
          <w:b/>
          <w:sz w:val="19"/>
        </w:rPr>
        <w:t xml:space="preserve">Table 4-2. </w:t>
      </w:r>
      <w:r>
        <w:rPr>
          <w:rFonts w:ascii="Times New Roman" w:hAnsi="Times New Roman" w:eastAsia="HY신명조"/>
          <w:b w:val="0"/>
          <w:sz w:val="19"/>
        </w:rPr>
        <w:t>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4-2. </w:t>
      </w:r>
      <w:r>
        <w:rPr>
          <w:rFonts w:ascii="Times New Roman" w:hAnsi="Times New Roman" w:eastAsia="HY신명조"/>
          <w:b w:val="0"/>
          <w:sz w:val="19"/>
        </w:rPr>
        <w:t>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GNSS fault waveforms — white noise (gn), correlated bias (gb), outage (gf). (e) Gyro fault waveforms — white noise (imn), fixed bias (imb), bias ramp (imd). Panel parameters are the injector's raw values corresponding to the severity definitions of Table 4-2 (representative values in Table 4-5); outage (gf) and death-type faults have no severity grades.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(39 short of the planned 1,170, all in lcl-high — accounting in Table 4-3).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treat map annotation quality as a hidden confounding variable in evacuation-site selection.</w:t>
      </w:r>
    </w:p>
    <w:p>
      <w:pPr>
        <w:keepNext/>
        <w:spacing w:line="312" w:lineRule="auto" w:before="40" w:after="0"/>
      </w:pPr>
      <w:r>
        <w:rPr>
          <w:rFonts w:ascii="Times New Roman" w:hAnsi="Times New Roman" w:eastAsia="HY신명조"/>
          <w:b/>
          <w:sz w:val="19"/>
        </w:rPr>
        <w:t xml:space="preserve">Table 4-3. </w:t>
      </w:r>
      <w:r>
        <w:rPr>
          <w:rFonts w:ascii="Times New Roman" w:hAnsi="Times New Roman" w:eastAsia="HY신명조"/>
          <w:b w:val="0"/>
          <w:sz w:val="19"/>
        </w:rPr>
        <w:t>Main-campaign case accounting — planned versus final valid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Block</w:t>
            </w:r>
          </w:p>
        </w:tc>
        <w:tc>
          <w:tcPr>
            <w:tcW w:type="dxa" w:w="2126"/>
          </w:tcPr>
          <w:p>
            <w:pPr>
              <w:keepNext/>
              <w:spacing w:line="288" w:lineRule="auto" w:before="20" w:after="20"/>
              <w:jc w:val="center"/>
            </w:pPr>
            <w:r/>
            <w:r>
              <w:rPr>
                <w:rFonts w:ascii="Times New Roman" w:hAnsi="Times New Roman" w:eastAsia="HY신명조"/>
                <w:b/>
                <w:sz w:val="19"/>
              </w:rPr>
              <w:t>Planned</w:t>
            </w:r>
          </w:p>
        </w:tc>
        <w:tc>
          <w:tcPr>
            <w:tcW w:type="dxa" w:w="2126"/>
          </w:tcPr>
          <w:p>
            <w:pPr>
              <w:keepNext/>
              <w:spacing w:line="288" w:lineRule="auto" w:before="20" w:after="20"/>
              <w:jc w:val="center"/>
            </w:pPr>
            <w:r/>
            <w:r>
              <w:rPr>
                <w:rFonts w:ascii="Times New Roman" w:hAnsi="Times New Roman" w:eastAsia="HY신명조"/>
                <w:b/>
                <w:sz w:val="19"/>
              </w:rPr>
              <w:t>Final valid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re-run batch with the revised detector (v4.8) adopted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180</w:t>
            </w:r>
          </w:p>
        </w:tc>
        <w:tc>
          <w:tcPr>
            <w:tcW w:type="dxa" w:w="2126"/>
          </w:tcPr>
          <w:p>
            <w:pPr>
              <w:keepNext/>
              <w:spacing w:line="288" w:lineRule="auto" w:before="20" w:after="20"/>
              <w:jc w:val="left"/>
            </w:pPr>
            <w:r/>
            <w:r>
              <w:rPr>
                <w:rFonts w:ascii="Times New Roman" w:hAnsi="Times New Roman" w:eastAsia="HY신명조"/>
                <w:b w:val="0"/>
                <w:sz w:val="19"/>
              </w:rPr>
              <w:t>180</w:t>
            </w:r>
          </w:p>
        </w:tc>
        <w:tc>
          <w:tcPr>
            <w:tcW w:type="dxa" w:w="2126"/>
          </w:tcPr>
          <w:p>
            <w:pPr>
              <w:keepNext/>
              <w:spacing w:line="288" w:lineRule="auto" w:before="20" w:after="20"/>
              <w:jc w:val="left"/>
            </w:pPr>
            <w:r/>
            <w:r>
              <w:rPr>
                <w:rFonts w:ascii="Times New Roman" w:hAnsi="Times New Roman" w:eastAsia="HY신명조"/>
                <w:b w:val="0"/>
                <w:sz w:val="19"/>
              </w:rPr>
              <w:t>re-run batch with the revised detector (v4.8) adopted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180</w:t>
            </w:r>
          </w:p>
        </w:tc>
        <w:tc>
          <w:tcPr>
            <w:tcW w:type="dxa" w:w="2126"/>
          </w:tcPr>
          <w:p>
            <w:pPr>
              <w:keepNext/>
              <w:spacing w:line="288" w:lineRule="auto" w:before="20" w:after="20"/>
              <w:jc w:val="left"/>
            </w:pPr>
            <w:r/>
            <w:r>
              <w:rPr>
                <w:rFonts w:ascii="Times New Roman" w:hAnsi="Times New Roman" w:eastAsia="HY신명조"/>
                <w:b w:val="0"/>
                <w:sz w:val="19"/>
              </w:rPr>
              <w:t>180</w:t>
            </w:r>
          </w:p>
        </w:tc>
        <w:tc>
          <w:tcPr>
            <w:tcW w:type="dxa" w:w="2126"/>
          </w:tcPr>
          <w:p>
            <w:pPr>
              <w:keepNext/>
              <w:spacing w:line="288" w:lineRule="auto" w:before="20" w:after="20"/>
              <w:jc w:val="left"/>
            </w:pPr>
            <w:r/>
            <w:r>
              <w:rPr>
                <w:rFonts w:ascii="Times New Roman" w:hAnsi="Times New Roman" w:eastAsia="HY신명조"/>
                <w:b w:val="0"/>
                <w:sz w:val="19"/>
              </w:rPr>
              <w:t>re-run batch with the revised detector (v4.8) adopted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180</w:t>
            </w:r>
          </w:p>
        </w:tc>
        <w:tc>
          <w:tcPr>
            <w:tcW w:type="dxa" w:w="2126"/>
          </w:tcPr>
          <w:p>
            <w:pPr>
              <w:keepNext/>
              <w:spacing w:line="288" w:lineRule="auto" w:before="20" w:after="20"/>
              <w:jc w:val="left"/>
            </w:pPr>
            <w:r/>
            <w:r>
              <w:rPr>
                <w:rFonts w:ascii="Times New Roman" w:hAnsi="Times New Roman" w:eastAsia="HY신명조"/>
                <w:b w:val="0"/>
                <w:sz w:val="19"/>
              </w:rPr>
              <w:t>180</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180</w:t>
            </w:r>
          </w:p>
        </w:tc>
        <w:tc>
          <w:tcPr>
            <w:tcW w:type="dxa" w:w="2126"/>
          </w:tcPr>
          <w:p>
            <w:pPr>
              <w:keepNext/>
              <w:spacing w:line="288" w:lineRule="auto" w:before="20" w:after="20"/>
              <w:jc w:val="left"/>
            </w:pPr>
            <w:r/>
            <w:r>
              <w:rPr>
                <w:rFonts w:ascii="Times New Roman" w:hAnsi="Times New Roman" w:eastAsia="HY신명조"/>
                <w:b w:val="0"/>
                <w:sz w:val="19"/>
              </w:rPr>
              <w:t>141</w:t>
            </w:r>
          </w:p>
        </w:tc>
        <w:tc>
          <w:tcPr>
            <w:tcW w:type="dxa" w:w="2126"/>
          </w:tcPr>
          <w:p>
            <w:pPr>
              <w:keepNext/>
              <w:spacing w:line="288" w:lineRule="auto" w:before="20" w:after="20"/>
              <w:jc w:val="left"/>
            </w:pPr>
            <w:r/>
            <w:r>
              <w:rPr>
                <w:rFonts w:ascii="Times New Roman" w:hAnsi="Times New Roman" w:eastAsia="HY신명조"/>
                <w:b w:val="0"/>
                <w:sz w:val="19"/>
              </w:rPr>
              <w:t>39 short in lcl-high — the final-parameter batch halted at 51 rows (all 30 aggressive-traffic and 9 defensive cases unexecuted); the 60 later re-runs failed adoption due to traffic-spawn clearing (density condition unmet) and trigger deviation</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180</w:t>
            </w:r>
          </w:p>
        </w:tc>
        <w:tc>
          <w:tcPr>
            <w:tcW w:type="dxa" w:w="2126"/>
          </w:tcPr>
          <w:p>
            <w:pPr>
              <w:keepNext/>
              <w:spacing w:line="288" w:lineRule="auto" w:before="20" w:after="20"/>
              <w:jc w:val="left"/>
            </w:pPr>
            <w:r/>
            <w:r>
              <w:rPr>
                <w:rFonts w:ascii="Times New Roman" w:hAnsi="Times New Roman" w:eastAsia="HY신명조"/>
                <w:b w:val="0"/>
                <w:sz w:val="19"/>
              </w:rPr>
              <w:t>180</w:t>
            </w:r>
          </w:p>
        </w:tc>
        <w:tc>
          <w:tcPr>
            <w:tcW w:type="dxa" w:w="2126"/>
          </w:tcPr>
          <w:p>
            <w:pPr>
              <w:keepNext/>
              <w:spacing w:line="288" w:lineRule="auto" w:before="20" w:after="20"/>
              <w:jc w:val="left"/>
            </w:pPr>
            <w:r/>
            <w:r>
              <w:rPr>
                <w:rFonts w:ascii="Times New Roman" w:hAnsi="Times New Roman" w:eastAsia="HY신명조"/>
                <w:b w:val="0"/>
                <w:sz w:val="19"/>
              </w:rPr>
              <w:t>1 row CARLA_DIED — replaced by a same-condition re-run</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nf</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false-activation control</w:t>
            </w:r>
          </w:p>
        </w:tc>
      </w:tr>
      <w:tr>
        <w:trPr>
          <w:cantSplit/>
        </w:trPr>
        <w:tc>
          <w:tcPr>
            <w:tcW w:type="dxa" w:w="2126"/>
          </w:tcPr>
          <w:p>
            <w:pPr>
              <w:spacing w:line="288" w:lineRule="auto" w:before="20" w:after="20"/>
              <w:jc w:val="left"/>
            </w:pPr>
            <w:r/>
            <w:r>
              <w:rPr>
                <w:rFonts w:ascii="Times New Roman" w:hAnsi="Times New Roman" w:eastAsia="HY신명조"/>
                <w:b w:val="0"/>
                <w:sz w:val="19"/>
              </w:rPr>
              <w:t>Total</w:t>
            </w:r>
          </w:p>
        </w:tc>
        <w:tc>
          <w:tcPr>
            <w:tcW w:type="dxa" w:w="2126"/>
          </w:tcPr>
          <w:p>
            <w:pPr>
              <w:spacing w:line="288" w:lineRule="auto" w:before="20" w:after="20"/>
              <w:jc w:val="left"/>
            </w:pPr>
            <w:r/>
            <w:r>
              <w:rPr>
                <w:rFonts w:ascii="Times New Roman" w:hAnsi="Times New Roman" w:eastAsia="HY신명조"/>
                <w:b w:val="0"/>
                <w:sz w:val="19"/>
              </w:rPr>
              <w:t>1,170</w:t>
            </w:r>
          </w:p>
        </w:tc>
        <w:tc>
          <w:tcPr>
            <w:tcW w:type="dxa" w:w="2126"/>
          </w:tcPr>
          <w:p>
            <w:pPr>
              <w:spacing w:line="288" w:lineRule="auto" w:before="20" w:after="20"/>
              <w:jc w:val="left"/>
            </w:pPr>
            <w:r/>
            <w:r>
              <w:rPr>
                <w:rFonts w:ascii="Times New Roman" w:hAnsi="Times New Roman" w:eastAsia="HY신명조"/>
                <w:b w:val="0"/>
                <w:sz w:val="19"/>
              </w:rPr>
              <w:t>1,131</w:t>
            </w:r>
          </w:p>
        </w:tc>
        <w:tc>
          <w:tcPr>
            <w:tcW w:type="dxa" w:w="2126"/>
          </w:tcPr>
          <w:p>
            <w:pPr>
              <w:spacing w:line="288" w:lineRule="auto" w:before="20" w:after="20"/>
              <w:jc w:val="left"/>
            </w:pPr>
            <w:r/>
            <w:r>
              <w:rPr>
                <w:rFonts w:ascii="Times New Roman" w:hAnsi="Times New Roman" w:eastAsia="HY신명조"/>
                <w:b w:val="0"/>
                <w:sz w:val="19"/>
              </w:rPr>
            </w:r>
          </w:p>
        </w:tc>
      </w:tr>
    </w:tbl>
    <w:p>
      <w:pPr>
        <w:spacing w:line="312" w:lineRule="auto" w:before="0" w:after="0"/>
      </w:pPr>
      <w:r>
        <w:rPr>
          <w:rFonts w:ascii="Times New Roman" w:hAnsi="Times New Roman" w:eastAsia="HY신명조"/>
          <w:b w:val="0"/>
          <w:sz w:val="19"/>
        </w:rPr>
        <w:t>Infrastructure failures (CARLA_DIED/SETUP_FAIL) were replaced by same-condition re-runs; the adopted batch per block and the replacement rules are fixed in the merge script (merge_all.py).</w:t>
      </w:r>
    </w:p>
    <w:p>
      <w:pPr>
        <w:spacing w:line="501" w:lineRule="exact" w:before="0" w:after="0"/>
      </w:pP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courtesy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4-3. </w:t>
      </w:r>
      <w:r>
        <w:rPr>
          <w:rFonts w:ascii="Times New Roman" w:hAnsi="Times New Roman" w:eastAsia="HY신명조"/>
          <w:b w:val="0"/>
          <w:sz w:val="19"/>
        </w:rPr>
        <w:t>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distance set (per-distance n as reported in Table 5-3). (iii) 8 m encounter comparison: comparison of the proposed low-speed MRM and stock against an 8 m dart-out under a gn-mid fault (only the EKF localization input contaminated, perception intact) — cf was excluded because traffic-signal reading is impossible and encounters do not form, and gn-high was excluded because most cases end in comfortable stops (the selection process itself corroborates the behavioral differences across faults). (iv) Low-speed ladder: {8, 7, 6, 5} m at the proposed system's nominal 3.0 m/s low-speed cruise (restart cruise; the explicit cap was later found undelivered in these runs — Chapter 5, Sections 7-8). Since the fault-free ladder and the low-speed ladder use different launch protocols, the comparison axis is the encounter speed of "encounters during constant-speed cruising" (specified in Chapter 5, Section 7). (v) Dose-response experiment: after fixing the cap-delivery defect, caps {4.2, 3.6, 3.0} m/s × spawn distances {6, 7, 8, 9} m × 10 seeds (reusing the ablation extension-round seeds S12–S21; gn-mid, injection fixed at 25 s) = 120 runs. Launch uses a settlement trigger rather than a time trigger — the pedestrian is spawned D m ahead at the moment the supervisor is in MRM_MOVE and the measured speed has stayed within the cap-specific band for 1.0 s continuously (spread ≤ 0.25 m/s) — so that "an encounter under an actually holding cap" is guaranteed at the trigger level. The three cap arms differ only in the value passed through the identical software path (the external velocity-limit interface) (Chapter 5, Section 8). Adjudication follows the ledger standard of Section 5; the exception for runs predating the ledger is stated in Chapter 5, Section 3.</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isolate the contributions of non-intervention, stop, evacuation, and the speed cap, a four-arm ablation study was designed (Table 4-4). The design was finalized after incorporating two rounds of external expert review.</w:t>
      </w:r>
    </w:p>
    <w:p>
      <w:pPr>
        <w:keepNext/>
        <w:spacing w:line="312" w:lineRule="auto" w:before="40" w:after="0"/>
      </w:pPr>
      <w:r>
        <w:rPr>
          <w:rFonts w:ascii="Times New Roman" w:hAnsi="Times New Roman" w:eastAsia="HY신명조"/>
          <w:b/>
          <w:sz w:val="19"/>
        </w:rPr>
        <w:t xml:space="preserve">Table 4-4. </w:t>
      </w:r>
      <w:r>
        <w:rPr>
          <w:rFonts w:ascii="Times New Roman" w:hAnsi="Times New Roman" w:eastAsia="HY신명조"/>
          <w:b w:val="0"/>
          <w:sz w:val="19"/>
        </w:rPr>
        <w:t>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312" w:lineRule="auto" w:before="0" w:after="0"/>
      </w:pPr>
      <w:r>
        <w:rPr>
          <w:rFonts w:ascii="Times New Roman" w:hAnsi="Times New Roman" w:eastAsia="HY신명조"/>
          <w:b w:val="0"/>
          <w:sz w:val="19"/>
        </w:rPr>
        <w:t>The explicit cap of A4 was found post hoc to be undelivered to the planning layer (Chapter 5, Sections 5 and 8) — A3 and A4 are de facto the same policy; the pre-specified contrast labels are kept as written.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the ten first-round seeds (S02–S11) plus ten extension-round seeds under identical rules (S12–S21) — twenty seeds in total (S01 was excluded in advance as a development seed) — are shared by the four arms, and each seed fixes the fault onset time, walking speed, lateral jitter, and the CARLA, fault-waveform, and pedestrian random numbers (specific values in Table 4-5)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6:0 first falls below 0.05 with p=0.03125). A1↔A2 and A2↔A3 are treated only as descriptive, mechanism-level analyses, and Fisher's exact test is used for unpaired auxiliary comparisons. For the dose-response experiment (Chapter 5, Section 8), a single primary endpoint — the paired collision difference between 4.2 and 3.0 m/s at the 8 m spawn (exact McNemar) — was pre-specified in a plan fixed before data collection (including the adoption rule, pinned by a repository commit); the remaining distance-cap combinations are reported only as boundary characterization (descriptive statistics with Wilson CIs). As a precondition check on encounter validity (manipulation check), a run with no launch within 420 s, a first-tick encounter speed outside the band (0.15 m/s tolerance), or a spawn violating the ahead-of-ego geometry is rejected and re-run under identical conditions regardless of its outcome (MANIPULATION_FAIL).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right-censoring applied only at the end of observation (the clearance analysis of Chapter 5, Section 5 is exploratory, on the first-round S02–S11 evacuation arms with A3/A4 pooled — the extension round did not collect clearance instrumentation);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4-5. All values are exactly the configurations used when the experiments were run, and the supporting section is indicated alongside.</w:t>
      </w:r>
    </w:p>
    <w:p>
      <w:pPr>
        <w:keepNext/>
        <w:spacing w:line="312" w:lineRule="auto" w:before="40" w:after="0"/>
      </w:pPr>
      <w:r>
        <w:rPr>
          <w:rFonts w:ascii="Times New Roman" w:hAnsi="Times New Roman" w:eastAsia="HY신명조"/>
          <w:b/>
          <w:sz w:val="19"/>
        </w:rPr>
        <w:t xml:space="preserve">Table 4-5. </w:t>
      </w:r>
      <w:r>
        <w:rPr>
          <w:rFonts w:ascii="Times New Roman" w:hAnsi="Times New Roman" w:eastAsia="HY신명조"/>
          <w:b w:val="0"/>
          <w:sz w:val="19"/>
        </w:rPr>
        <w:t>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spacing w:line="288" w:lineRule="auto" w:before="20" w:after="20"/>
              <w:jc w:val="center"/>
            </w:pPr>
            <w:r/>
            <w:r>
              <w:rPr>
                <w:rFonts w:ascii="Times New Roman" w:hAnsi="Times New Roman" w:eastAsia="HY신명조"/>
                <w:b/>
                <w:sz w:val="19"/>
              </w:rPr>
              <w:t>Item</w:t>
            </w:r>
          </w:p>
        </w:tc>
        <w:tc>
          <w:tcPr>
            <w:tcW w:type="dxa" w:w="2835"/>
          </w:tcPr>
          <w:p>
            <w:pPr>
              <w:spacing w:line="288" w:lineRule="auto" w:before="20" w:after="20"/>
              <w:jc w:val="center"/>
            </w:pPr>
            <w:r/>
            <w:r>
              <w:rPr>
                <w:rFonts w:ascii="Times New Roman" w:hAnsi="Times New Roman" w:eastAsia="HY신명조"/>
                <w:b/>
                <w:sz w:val="19"/>
              </w:rPr>
              <w:t>Value</w:t>
            </w:r>
          </w:p>
        </w:tc>
        <w:tc>
          <w:tcPr>
            <w:tcW w:type="dxa" w:w="2835"/>
          </w:tcPr>
          <w:p>
            <w:pPr>
              <w:spacing w:line="288" w:lineRule="auto" w:before="20" w:after="20"/>
              <w:jc w:val="center"/>
            </w:pPr>
            <w:r/>
            <w:r>
              <w:rPr>
                <w:rFonts w:ascii="Times New Roman" w:hAnsi="Times New Roman" w:eastAsia="HY신명조"/>
                <w:b/>
                <w:sz w:val="19"/>
              </w:rPr>
              <w:t>Remarks</w:t>
            </w:r>
          </w:p>
        </w:tc>
      </w:tr>
      <w:tr>
        <w:trPr>
          <w:cantSplit/>
        </w:trPr>
        <w:tc>
          <w:tcPr>
            <w:tcW w:type="dxa" w:w="2835"/>
          </w:tcPr>
          <w:p>
            <w:pPr>
              <w:spacing w:line="288" w:lineRule="auto" w:before="20" w:after="20"/>
              <w:jc w:val="left"/>
            </w:pPr>
            <w:r/>
            <w:r>
              <w:rPr>
                <w:rFonts w:ascii="Times New Roman" w:hAnsi="Times New Roman" w:eastAsia="HY신명조"/>
                <w:b w:val="0"/>
                <w:sz w:val="19"/>
              </w:rPr>
              <w:t>State-transition thresholds</w:t>
            </w:r>
          </w:p>
        </w:tc>
        <w:tc>
          <w:tcPr>
            <w:tcW w:type="dxa" w:w="2835"/>
          </w:tcPr>
          <w:p>
            <w:pPr>
              <w:spacing w:line="288" w:lineRule="auto" w:before="20" w:after="20"/>
              <w:jc w:val="left"/>
            </w:pPr>
            <w:r/>
            <w:r>
              <w:rPr>
                <w:rFonts w:ascii="Times New Roman" w:hAnsi="Times New Roman" w:eastAsia="HY신명조"/>
                <w:b w:val="0"/>
                <w:sz w:val="19"/>
              </w:rPr>
              <w:t>upper 0.7 / lower 0.3</w:t>
            </w:r>
          </w:p>
        </w:tc>
        <w:tc>
          <w:tcPr>
            <w:tcW w:type="dxa" w:w="2835"/>
          </w:tcPr>
          <w:p>
            <w:pPr>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spacing w:line="288" w:lineRule="auto" w:before="20" w:after="20"/>
              <w:jc w:val="left"/>
            </w:pPr>
            <w:r/>
            <w:r>
              <w:rPr>
                <w:rFonts w:ascii="Times New Roman" w:hAnsi="Times New Roman" w:eastAsia="HY신명조"/>
                <w:b w:val="0"/>
                <w:sz w:val="19"/>
              </w:rPr>
              <w:t>MRM movement speed cap</w:t>
            </w:r>
          </w:p>
        </w:tc>
        <w:tc>
          <w:tcPr>
            <w:tcW w:type="dxa" w:w="2835"/>
          </w:tcPr>
          <w:p>
            <w:pPr>
              <w:spacing w:line="288" w:lineRule="auto" w:before="20" w:after="20"/>
              <w:jc w:val="left"/>
            </w:pPr>
            <w:r/>
            <w:r>
              <w:rPr>
                <w:rFonts w:ascii="Times New Roman" w:hAnsi="Times New Roman" w:eastAsia="HY신명조"/>
                <w:b w:val="0"/>
                <w:sz w:val="19"/>
              </w:rPr>
              <w:t>3.0 m/s (fixed)</w:t>
            </w:r>
          </w:p>
        </w:tc>
        <w:tc>
          <w:tcPr>
            <w:tcW w:type="dxa" w:w="2835"/>
          </w:tcPr>
          <w:p>
            <w:pPr>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spacing w:line="288" w:lineRule="auto" w:before="20" w:after="20"/>
              <w:jc w:val="left"/>
            </w:pPr>
            <w:r/>
            <w:r>
              <w:rPr>
                <w:rFonts w:ascii="Times New Roman" w:hAnsi="Times New Roman" w:eastAsia="HY신명조"/>
                <w:b w:val="0"/>
                <w:sz w:val="19"/>
              </w:rPr>
              <w:t>Stopping-distance model</w:t>
            </w:r>
          </w:p>
        </w:tc>
        <w:tc>
          <w:tcPr>
            <w:tcW w:type="dxa" w:w="2835"/>
          </w:tcPr>
          <w:p>
            <w:pPr>
              <w:spacing w:line="288" w:lineRule="auto" w:before="20" w:after="20"/>
              <w:jc w:val="left"/>
            </w:pPr>
            <w:r/>
            <w:r>
              <w:rPr>
                <w:rFonts w:ascii="Times New Roman" w:hAnsi="Times New Roman" w:eastAsia="HY신명조"/>
                <w:b w:val="0"/>
                <w:sz w:val="19"/>
              </w:rPr>
              <w:t>τ=1.5 s, a=3.5 m/s²</w:t>
            </w:r>
          </w:p>
        </w:tc>
        <w:tc>
          <w:tcPr>
            <w:tcW w:type="dxa" w:w="2835"/>
          </w:tcPr>
          <w:p>
            <w:pPr>
              <w:spacing w:line="288" w:lineRule="auto" w:before="20" w:after="20"/>
              <w:jc w:val="left"/>
            </w:pPr>
            <w:r/>
            <w:r>
              <w:rPr>
                <w:rFonts w:ascii="Times New Roman" w:hAnsi="Times New Roman" w:eastAsia="HY신명조"/>
                <w:b w:val="0"/>
                <w:sz w:val="19"/>
              </w:rPr>
              <w:t>d = vτ + v²/2a (Eq. (3-9)); nominal values calibrated to the ladder boundary — a design approximation (Chapter 3, Section 6)</w:t>
            </w:r>
          </w:p>
        </w:tc>
      </w:tr>
      <w:tr>
        <w:trPr>
          <w:cantSplit/>
        </w:trPr>
        <w:tc>
          <w:tcPr>
            <w:tcW w:type="dxa" w:w="2835"/>
          </w:tcPr>
          <w:p>
            <w:pPr>
              <w:spacing w:line="288" w:lineRule="auto" w:before="20" w:after="20"/>
              <w:jc w:val="left"/>
            </w:pPr>
            <w:r/>
            <w:r>
              <w:rPr>
                <w:rFonts w:ascii="Times New Roman" w:hAnsi="Times New Roman" w:eastAsia="HY신명조"/>
                <w:b w:val="0"/>
                <w:sz w:val="19"/>
              </w:rPr>
              <w:t>Cost-function weights</w:t>
            </w:r>
          </w:p>
        </w:tc>
        <w:tc>
          <w:tcPr>
            <w:tcW w:type="dxa" w:w="2835"/>
          </w:tcPr>
          <w:p>
            <w:pPr>
              <w:spacing w:line="288" w:lineRule="auto" w:before="20" w:after="20"/>
              <w:jc w:val="left"/>
            </w:pPr>
            <w:r/>
            <w:r>
              <w:rPr>
                <w:rFonts w:ascii="Times New Roman" w:hAnsi="Times New Roman" w:eastAsia="HY신명조"/>
                <w:b w:val="0"/>
                <w:sz w:val="19"/>
              </w:rPr>
              <w:t>w_t=7.0/s · w_tl=200 · w_sec=500 · w_loc=14/s</w:t>
            </w:r>
          </w:p>
        </w:tc>
        <w:tc>
          <w:tcPr>
            <w:tcW w:type="dxa" w:w="2835"/>
          </w:tcPr>
          <w:p>
            <w:pPr>
              <w:spacing w:line="288" w:lineRule="auto" w:before="20" w:after="20"/>
              <w:jc w:val="left"/>
            </w:pPr>
            <w:r/>
            <w:r>
              <w:rPr>
                <w:rFonts w:ascii="Times New Roman" w:hAnsi="Times New Roman" w:eastAsia="HY신명조"/>
                <w:b w:val="0"/>
                <w:sz w:val="19"/>
              </w:rPr>
              <w:t>Eq. (3-8); expected wait 15 s per traffic light, shoulder MRC penalty 175 (≈25 s of degraded driving)</w:t>
            </w:r>
          </w:p>
        </w:tc>
      </w:tr>
      <w:tr>
        <w:trPr>
          <w:cantSplit/>
        </w:trPr>
        <w:tc>
          <w:tcPr>
            <w:tcW w:type="dxa" w:w="2835"/>
          </w:tcPr>
          <w:p>
            <w:pPr>
              <w:spacing w:line="288" w:lineRule="auto" w:before="20" w:after="20"/>
              <w:jc w:val="left"/>
            </w:pPr>
            <w:r/>
            <w:r>
              <w:rPr>
                <w:rFonts w:ascii="Times New Roman" w:hAnsi="Times New Roman" w:eastAsia="HY신명조"/>
                <w:b w:val="0"/>
                <w:sz w:val="19"/>
              </w:rPr>
              <w:t>Candidate hard constraints</w:t>
            </w:r>
          </w:p>
        </w:tc>
        <w:tc>
          <w:tcPr>
            <w:tcW w:type="dxa" w:w="2835"/>
          </w:tcPr>
          <w:p>
            <w:pPr>
              <w:spacing w:line="288" w:lineRule="auto" w:before="20" w:after="20"/>
              <w:jc w:val="left"/>
            </w:pPr>
            <w:r/>
            <w:r>
              <w:rPr>
                <w:rFonts w:ascii="Times New Roman" w:hAnsi="Times New Roman" w:eastAsia="HY신명조"/>
                <w:b w:val="0"/>
                <w:sz w:val="19"/>
              </w:rPr>
              <w:t>min approach 25 m · min shoulder length 7.0 m</w:t>
            </w:r>
          </w:p>
        </w:tc>
        <w:tc>
          <w:tcPr>
            <w:tcW w:type="dxa" w:w="2835"/>
          </w:tcPr>
          <w:p>
            <w:pPr>
              <w:spacing w:line="288" w:lineRule="auto" w:before="20" w:after="20"/>
              <w:jc w:val="left"/>
            </w:pPr>
            <w:r/>
            <w:r>
              <w:rPr>
                <w:rFonts w:ascii="Times New Roman" w:hAnsi="Times New Roman" w:eastAsia="HY신명조"/>
                <w:b w:val="0"/>
                <w:sz w:val="19"/>
              </w:rPr>
              <w:t>candidates below these are assigned infinite cost (Chapter 3, Section 5)</w:t>
            </w:r>
          </w:p>
        </w:tc>
      </w:tr>
      <w:tr>
        <w:trPr>
          <w:cantSplit/>
        </w:trPr>
        <w:tc>
          <w:tcPr>
            <w:tcW w:type="dxa" w:w="2835"/>
          </w:tcPr>
          <w:p>
            <w:pPr>
              <w:spacing w:line="288" w:lineRule="auto" w:before="20" w:after="20"/>
              <w:jc w:val="left"/>
            </w:pPr>
            <w:r/>
            <w:r>
              <w:rPr>
                <w:rFonts w:ascii="Times New Roman" w:hAnsi="Times New Roman" w:eastAsia="HY신명조"/>
                <w:b w:val="0"/>
                <w:sz w:val="19"/>
              </w:rPr>
              <w:t>Pedestrian launch time</w:t>
            </w:r>
          </w:p>
        </w:tc>
        <w:tc>
          <w:tcPr>
            <w:tcW w:type="dxa" w:w="2835"/>
          </w:tcPr>
          <w:p>
            <w:pPr>
              <w:spacing w:line="288" w:lineRule="auto" w:before="20" w:after="20"/>
              <w:jc w:val="left"/>
            </w:pPr>
            <w:r/>
            <w:r>
              <w:rPr>
                <w:rFonts w:ascii="Times New Roman" w:hAnsi="Times New Roman" w:eastAsia="HY신명조"/>
                <w:b w:val="0"/>
                <w:sz w:val="19"/>
              </w:rPr>
              <w:t>t_detect + 3.0 s</w:t>
            </w:r>
          </w:p>
        </w:tc>
        <w:tc>
          <w:tcPr>
            <w:tcW w:type="dxa" w:w="2835"/>
          </w:tcPr>
          <w:p>
            <w:pPr>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spacing w:line="288" w:lineRule="auto" w:before="20" w:after="20"/>
              <w:jc w:val="left"/>
            </w:pPr>
            <w:r/>
            <w:r>
              <w:rPr>
                <w:rFonts w:ascii="Times New Roman" w:hAnsi="Times New Roman" w:eastAsia="HY신명조"/>
                <w:b w:val="0"/>
                <w:sz w:val="19"/>
              </w:rPr>
              <w:t>Launch geometry</w:t>
            </w:r>
          </w:p>
        </w:tc>
        <w:tc>
          <w:tcPr>
            <w:tcW w:type="dxa" w:w="2835"/>
          </w:tcPr>
          <w:p>
            <w:pPr>
              <w:spacing w:line="288" w:lineRule="auto" w:before="20" w:after="20"/>
              <w:jc w:val="left"/>
            </w:pPr>
            <w:r/>
            <w:r>
              <w:rPr>
                <w:rFonts w:ascii="Times New Roman" w:hAnsi="Times New Roman" w:eastAsia="HY신명조"/>
                <w:b w:val="0"/>
                <w:sz w:val="19"/>
              </w:rPr>
              <w:t>8 m ahead, lateral jitter ±0.2 m</w:t>
            </w:r>
          </w:p>
        </w:tc>
        <w:tc>
          <w:tcPr>
            <w:tcW w:type="dxa" w:w="2835"/>
          </w:tcPr>
          <w:p>
            <w:pPr>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spacing w:line="288" w:lineRule="auto" w:before="20" w:after="20"/>
              <w:jc w:val="left"/>
            </w:pPr>
            <w:r/>
            <w:r>
              <w:rPr>
                <w:rFonts w:ascii="Times New Roman" w:hAnsi="Times New Roman" w:eastAsia="HY신명조"/>
                <w:b w:val="0"/>
                <w:sz w:val="19"/>
              </w:rPr>
              <w:t>Commanded walking speed</w:t>
            </w:r>
          </w:p>
        </w:tc>
        <w:tc>
          <w:tcPr>
            <w:tcW w:type="dxa" w:w="2835"/>
          </w:tcPr>
          <w:p>
            <w:pPr>
              <w:spacing w:line="288" w:lineRule="auto" w:before="20" w:after="20"/>
              <w:jc w:val="left"/>
            </w:pPr>
            <w:r/>
            <w:r>
              <w:rPr>
                <w:rFonts w:ascii="Times New Roman" w:hAnsi="Times New Roman" w:eastAsia="HY신명조"/>
                <w:b w:val="0"/>
                <w:sz w:val="19"/>
              </w:rPr>
              <w:t>{2.5, 3.0} m/s (blocked by seed)</w:t>
            </w:r>
          </w:p>
        </w:tc>
        <w:tc>
          <w:tcPr>
            <w:tcW w:type="dxa" w:w="2835"/>
          </w:tcPr>
          <w:p>
            <w:pPr>
              <w:spacing w:line="288" w:lineRule="auto" w:before="20" w:after="20"/>
              <w:jc w:val="left"/>
            </w:pPr>
            <w:r/>
            <w:r>
              <w:rPr>
                <w:rFonts w:ascii="Times New Roman" w:hAnsi="Times New Roman" w:eastAsia="HY신명조"/>
                <w:b w:val="0"/>
                <w:sz w:val="19"/>
              </w:rPr>
              <w:t>Measured (tick-instrumented encounter runs, n=90): median 2.46 m/s in the 0.5 s window (1.2–3.0) and 2.50 m/s in the 1 s window — the acceleration transient is discussed in Chapter 6, Section 6</w:t>
            </w:r>
          </w:p>
        </w:tc>
      </w:tr>
      <w:tr>
        <w:trPr>
          <w:cantSplit/>
        </w:trPr>
        <w:tc>
          <w:tcPr>
            <w:tcW w:type="dxa" w:w="2835"/>
          </w:tcPr>
          <w:p>
            <w:pPr>
              <w:spacing w:line="288" w:lineRule="auto" w:before="20" w:after="20"/>
              <w:jc w:val="left"/>
            </w:pPr>
            <w:r/>
            <w:r>
              <w:rPr>
                <w:rFonts w:ascii="Times New Roman" w:hAnsi="Times New Roman" w:eastAsia="HY신명조"/>
                <w:b w:val="0"/>
                <w:sz w:val="19"/>
              </w:rPr>
              <w:t>Ablation seeds</w:t>
            </w:r>
          </w:p>
        </w:tc>
        <w:tc>
          <w:tcPr>
            <w:tcW w:type="dxa" w:w="2835"/>
          </w:tcPr>
          <w:p>
            <w:pPr>
              <w:spacing w:line="288" w:lineRule="auto" w:before="20" w:after="20"/>
              <w:jc w:val="left"/>
            </w:pPr>
            <w:r/>
            <w:r>
              <w:rPr>
                <w:rFonts w:ascii="Times New Roman" w:hAnsi="Times New Roman" w:eastAsia="HY신명조"/>
                <w:b w:val="0"/>
                <w:sz w:val="19"/>
              </w:rPr>
              <w:t>S02–S21 (20 seeds, shared pairwise across the 4 arms;</w:t>
            </w:r>
          </w:p>
          <w:p>
            <w:pPr>
              <w:spacing w:line="288" w:lineRule="auto" w:before="20" w:after="20"/>
              <w:jc w:val="left"/>
            </w:pPr>
            <w:r>
              <w:rPr>
                <w:rFonts w:ascii="Times New Roman" w:hAnsi="Times New Roman" w:eastAsia="HY신명조"/>
                <w:b w:val="0"/>
                <w:sz w:val="19"/>
              </w:rPr>
              <w:t>S01 excluded as development seed)</w:t>
            </w:r>
          </w:p>
        </w:tc>
        <w:tc>
          <w:tcPr>
            <w:tcW w:type="dxa" w:w="2835"/>
          </w:tcPr>
          <w:p>
            <w:pPr>
              <w:spacing w:line="288" w:lineRule="auto" w:before="20" w:after="20"/>
              <w:jc w:val="left"/>
            </w:pPr>
            <w:r/>
            <w:r>
              <w:rPr>
                <w:rFonts w:ascii="Times New Roman" w:hAnsi="Times New Roman" w:eastAsia="HY신명조"/>
                <w:b w:val="0"/>
                <w:sz w:val="19"/>
              </w:rPr>
              <w:t>Fixed: fault onset 11–44 s, walking 2.5/3.0 m/s blocks, lateral jitter,</w:t>
            </w:r>
          </w:p>
          <w:p>
            <w:pPr>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spacing w:line="288" w:lineRule="auto" w:before="20" w:after="20"/>
              <w:jc w:val="left"/>
            </w:pPr>
            <w:r/>
            <w:r>
              <w:rPr>
                <w:rFonts w:ascii="Times New Roman" w:hAnsi="Times New Roman" w:eastAsia="HY신명조"/>
                <w:b w:val="0"/>
                <w:sz w:val="19"/>
              </w:rPr>
              <w:t>Fault intensity (SEVERITY, mid/high)</w:t>
            </w:r>
          </w:p>
        </w:tc>
        <w:tc>
          <w:tcPr>
            <w:tcW w:type="dxa" w:w="2835"/>
          </w:tcPr>
          <w:p>
            <w:pPr>
              <w:spacing w:line="288" w:lineRule="auto" w:before="20" w:after="20"/>
              <w:jc w:val="left"/>
            </w:pPr>
            <w:r/>
            <w:r>
              <w:rPr>
                <w:rFonts w:ascii="Times New Roman" w:hAnsi="Times New Roman" w:eastAsia="HY신명조"/>
                <w:b w:val="0"/>
                <w:sz w:val="19"/>
              </w:rPr>
              <w:t>cn 15/30, imn 0.5/1.5, gn 1.0/2.5,</w:t>
            </w:r>
          </w:p>
          <w:p>
            <w:pPr>
              <w:spacing w:line="288" w:lineRule="auto" w:before="20" w:after="20"/>
              <w:jc w:val="left"/>
            </w:pPr>
            <w:r>
              <w:rPr>
                <w:rFonts w:ascii="Times New Roman" w:hAnsi="Times New Roman" w:eastAsia="HY신명조"/>
                <w:b w:val="0"/>
                <w:sz w:val="19"/>
              </w:rPr>
              <w:t>lso "0.33:90"/"0.07:150", lcl "5:1500"/"25:4000"</w:t>
            </w:r>
          </w:p>
        </w:tc>
        <w:tc>
          <w:tcPr>
            <w:tcW w:type="dxa" w:w="2835"/>
          </w:tcPr>
          <w:p>
            <w:pPr>
              <w:spacing w:line="288" w:lineRule="auto" w:before="20" w:after="20"/>
              <w:jc w:val="left"/>
            </w:pPr>
            <w:r/>
            <w:r>
              <w:rPr>
                <w:rFonts w:ascii="Times New Roman" w:hAnsi="Times New Roman" w:eastAsia="HY신명조"/>
                <w:b w:val="0"/>
                <w:sz w:val="19"/>
              </w:rPr>
              <w:t>Raw injector parameter values (cn pixel σ, imn gyro σ,</w:t>
            </w:r>
          </w:p>
          <w:p>
            <w:pPr>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spacing w:line="288" w:lineRule="auto" w:before="20" w:after="20"/>
              <w:jc w:val="left"/>
            </w:pPr>
            <w:r/>
            <w:r>
              <w:rPr>
                <w:rFonts w:ascii="Times New Roman" w:hAnsi="Times New Roman" w:eastAsia="HY신명조"/>
                <w:b w:val="0"/>
                <w:sz w:val="19"/>
              </w:rPr>
              <w:t>Simulator lifetime</w:t>
            </w:r>
          </w:p>
        </w:tc>
        <w:tc>
          <w:tcPr>
            <w:tcW w:type="dxa" w:w="2835"/>
          </w:tcPr>
          <w:p>
            <w:pPr>
              <w:spacing w:line="288" w:lineRule="auto" w:before="20" w:after="20"/>
              <w:jc w:val="left"/>
            </w:pPr>
            <w:r/>
            <w:r>
              <w:rPr>
                <w:rFonts w:ascii="Times New Roman" w:hAnsi="Times New Roman" w:eastAsia="HY신명조"/>
                <w:b w:val="0"/>
                <w:sz w:val="19"/>
              </w:rPr>
              <w:t>CARLA_RESTART_EVERY=1</w:t>
            </w:r>
          </w:p>
        </w:tc>
        <w:tc>
          <w:tcPr>
            <w:tcW w:type="dxa" w:w="2835"/>
          </w:tcPr>
          <w:p>
            <w:pPr>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Dose-response launch bands</w:t>
            </w:r>
          </w:p>
        </w:tc>
        <w:tc>
          <w:tcPr>
            <w:tcW w:type="dxa" w:w="2835"/>
          </w:tcPr>
          <w:p>
            <w:pPr>
              <w:spacing w:line="288" w:lineRule="auto" w:before="20" w:after="20"/>
              <w:jc w:val="left"/>
            </w:pPr>
            <w:r/>
            <w:r>
              <w:rPr>
                <w:rFonts w:ascii="Times New Roman" w:hAnsi="Times New Roman" w:eastAsia="HY신명조"/>
                <w:b w:val="0"/>
                <w:sz w:val="19"/>
              </w:rPr>
              <w:t>4.2→[3.85, 4.45] · 3.6→[3.25, 3.75] ·</w:t>
            </w:r>
          </w:p>
          <w:p>
            <w:pPr>
              <w:spacing w:line="288" w:lineRule="auto" w:before="20" w:after="20"/>
              <w:jc w:val="left"/>
            </w:pPr>
            <w:r>
              <w:rPr>
                <w:rFonts w:ascii="Times New Roman" w:hAnsi="Times New Roman" w:eastAsia="HY신명조"/>
                <w:b w:val="0"/>
                <w:sz w:val="19"/>
              </w:rPr>
              <w:t>3.0→[2.65, 3.15] m/s, 1.0 s continuous, spread ≤0.25</w:t>
            </w:r>
          </w:p>
        </w:tc>
        <w:tc>
          <w:tcPr>
            <w:tcW w:type="dxa" w:w="2835"/>
          </w:tcPr>
          <w:p>
            <w:pPr>
              <w:spacing w:line="288" w:lineRule="auto" w:before="20" w:after="20"/>
              <w:jc w:val="left"/>
            </w:pPr>
            <w:r/>
            <w:r>
              <w:rPr>
                <w:rFonts w:ascii="Times New Roman" w:hAnsi="Times New Roman" w:eastAsia="HY신명조"/>
                <w:b w:val="0"/>
                <w:sz w:val="19"/>
              </w:rPr>
              <w:t>Settlement trigger; reflects the smoother tracking offset (about −0.2), mutually disjoint (Chapter 5, Section 8)</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in 11 of the 12 fault conditions — median detection latencies of about 1.0 s for hard fails (cf/lf, ledger re-measurement) and 2.1–5.0 s for degradation faults,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comfortable stops, whereas the IMU family produced hard stops in every case — since even a comfortable stop is trajectory following, the execution layer demotes it to a hard stop when the rotational sense is corrupted.</w:t>
      </w:r>
    </w:p>
    <w:p>
      <w:pPr>
        <w:keepNext/>
        <w:spacing w:line="312" w:lineRule="auto" w:before="40" w:after="0"/>
      </w:pPr>
      <w:r>
        <w:rPr>
          <w:rFonts w:ascii="Times New Roman" w:hAnsi="Times New Roman" w:eastAsia="HY신명조"/>
          <w:b/>
          <w:sz w:val="19"/>
        </w:rPr>
        <w:t xml:space="preserve">Table 5-1. </w:t>
      </w:r>
      <w:r>
        <w:rPr>
          <w:rFonts w:ascii="Times New Roman" w:hAnsi="Times New Roman" w:eastAsia="HY신명조"/>
          <w:b w:val="0"/>
          <w:sz w:val="19"/>
        </w:rPr>
        <w:t>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5-9, Section 9.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5-1. </w:t>
      </w:r>
      <w:r>
        <w:rPr>
          <w:rFonts w:ascii="Times New Roman" w:hAnsi="Times New Roman" w:eastAsia="HY신명조"/>
          <w:b w:val="0"/>
          <w:sz w:val="19"/>
        </w:rPr>
        <w:t>Detection latency distributions per fault condition (proposed arm, measured from injection time). The upper panel shows the main campaign and the lower panel the supplementary campaign (navigation extension, Table 5-1 †); camera and LiDAR death (*) are ledger-based simulation-time re-measurements of the hard-fail fast path (Chapter 5, Section 9). Thick horizontal bars are medians, and the right tail of GNSS outage (gf) corresponds to cases injected during a red-light stop and detected after restart. The hard-fail rows (simulation time) and the remaining rows (wall clock) live in different clock domains; absolute latency values must not be compared directly across them.</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decision variable of health = min(perception, cap_loc) is perception. This decision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localization channels of the monitoring layer (the residual detectors loc_meas/loc_jump, which reside in the supervisor process as an implementation matter),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5-2. </w:t>
      </w:r>
      <w:r>
        <w:rPr>
          <w:rFonts w:ascii="Times New Roman" w:hAnsi="Times New Roman" w:eastAsia="HY신명조"/>
          <w:b w:val="0"/>
          <w:sz w:val="19"/>
        </w:rPr>
        <w:t>Injection-aligned continuous health traces — (top) the perception capability score that feeds the state transitions (dual thresholds 0.7/0.3) and (bottom) the affected sensor's raw score: (a) LiDAR sparsification (lso), (b) camera pixel noise (cn). Time zero is the fault-injection instant (simulation time of the ledger's FAULT_ACTIVE event); the injection schedule is identical across runs. The shaded band is the P5–P95 range of the fault-free run's settled interval (fault-free runs have no injection anchor, so a range replaces a time-aligned curve). One representative run per condition. lso-mid is tolerated — despite the level drop of the raw score, capability never crosses the upper threshold, and the run continues to route completion — whereas lso-high and both cn severities cross the threshold and trigger intervention. The navigation family (gn, imn) is out of scope by design — its decision variables come from the localization channels of the monitoring layer (outside the /monitor/scores topic).</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are the 2 cases above. One factor lowering the evacuation completion rate is the reduction of candidates due to the intended conservatism of the traffic-light observability gate. For camera noise (cn), 25 of 90 cases reached the shoulder.</w:t>
      </w:r>
    </w:p>
    <w:p>
      <w:pPr>
        <w:keepNext/>
        <w:spacing w:line="312" w:lineRule="auto" w:before="40" w:after="0"/>
      </w:pPr>
      <w:r>
        <w:rPr>
          <w:rFonts w:ascii="Times New Roman" w:hAnsi="Times New Roman" w:eastAsia="HY신명조"/>
          <w:b/>
          <w:sz w:val="19"/>
        </w:rPr>
        <w:t xml:space="preserve">Table 5-2. </w:t>
      </w:r>
      <w:r>
        <w:rPr>
          <w:rFonts w:ascii="Times New Roman" w:hAnsi="Times New Roman" w:eastAsia="HY신명조"/>
          <w:b w:val="0"/>
          <w:sz w:val="19"/>
        </w:rPr>
        <w:t>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Chapter 4,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(one run per fault type), the stock stack effectively completed the route without detecting the injected fault: degraded-state driving distances were 238 m for camera death, 240 m for camera noise, 251 m for GNSS position noise, 264 m for LiDAR sparsification, and 275 m for LiDAR clutter (only under IMU noise did the stack stop on its own,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unobserved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the speed→boundary design approximation is self-consistent in the near-boundary regime (same data as its calibration source — not an independent validation; Chapter 3, Section 6), so the effect of the speed cap can be interpreted within the same approximation.</w:t>
      </w:r>
    </w:p>
    <w:p>
      <w:pPr>
        <w:keepNext/>
        <w:spacing w:line="312" w:lineRule="auto" w:before="40" w:after="0"/>
      </w:pPr>
      <w:r>
        <w:rPr>
          <w:rFonts w:ascii="Times New Roman" w:hAnsi="Times New Roman" w:eastAsia="HY신명조"/>
          <w:b/>
          <w:sz w:val="19"/>
        </w:rPr>
        <w:t xml:space="preserve">Table 5-3. </w:t>
      </w:r>
      <w:r>
        <w:rPr>
          <w:rFonts w:ascii="Times New Roman" w:hAnsi="Times New Roman" w:eastAsia="HY신명조"/>
          <w:b w:val="0"/>
          <w:sz w:val="19"/>
        </w:rPr>
        <w:t>Distance ladder results (ledger and video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5-3. </w:t>
      </w:r>
      <w:r>
        <w:rPr>
          <w:rFonts w:ascii="Times New Roman" w:hAnsi="Times New Roman" w:eastAsia="HY신명조"/>
          <w:b w:val="0"/>
          <w:sz w:val="19"/>
        </w:rPr>
        <w:t>Stopping-distance model d = vτ + v²/2a (τ=1.5 s, a=3.5 m/s²) and the measured avoidance/collision boundaries from the distance ladder (shaded bands). The measured boundary at 4.2 m/s (8–11 m) matches the model prediction of 8.8 m, and at 3.0 m/s the model is optimistic — the prediction of 5.79 m underestimates the measured boundary of 7–8 m (planner reaction variance), consistent with reading the 3.0 m/s cap as a conservative policy value below the model bound (3.89 m/s).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low-speed settled cruise (nominal 3.0 m/s cap configured; a post-hoc audit found the cap undelivered, the low speed stemming from the restart profile — Section 8 — while encounter speeds are verified by measurement) avoided the pedestrian in all 8 runs and subsequently completed shoulder evacuation (8/8; auxiliary Fisher's exact test p=2.3×10⁻⁵). Because 8 m is shorter than the required stopping distance at 4.2 m/s (8.8 m) — an unavoidable region — but longer than that at 3.0 m/s (5.79 m) — an avoidable region — not outside the required stopping distance at 3.0 m/s (5.79 m), this outcome is exactly what the physics model of Section 3 predicts. The important finding is the third condition: even the same proposed system collided in both of its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12" w:lineRule="auto" w:before="40" w:after="0"/>
      </w:pPr>
      <w:r>
        <w:rPr>
          <w:rFonts w:ascii="Times New Roman" w:hAnsi="Times New Roman" w:eastAsia="HY신명조"/>
          <w:b/>
          <w:sz w:val="19"/>
        </w:rPr>
        <w:t xml:space="preserve">Table 5-4. </w:t>
      </w:r>
      <w:r>
        <w:rPr>
          <w:rFonts w:ascii="Times New Roman" w:hAnsi="Times New Roman" w:eastAsia="HY신명조"/>
          <w:b w:val="0"/>
          <w:sz w:val="19"/>
        </w:rPr>
        <w:t>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nominally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312" w:lineRule="auto" w:before="0" w:after="0"/>
      </w:pPr>
      <w:r>
        <w:rPr>
          <w:rFonts w:ascii="Times New Roman" w:hAnsi="Times New Roman" w:eastAsia="HY신명조"/>
          <w:b w:val="0"/>
          <w:sz w:val="19"/>
        </w:rPr>
        <w:t>The explicit cap of A4 was found post hoc to be undelivered (Section 8); A3 and A4 are de facto the same policy.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S07, S08,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12" w:lineRule="auto" w:before="40" w:after="0"/>
      </w:pPr>
      <w:r>
        <w:rPr>
          <w:rFonts w:ascii="Times New Roman" w:hAnsi="Times New Roman" w:eastAsia="HY신명조"/>
          <w:b/>
          <w:sz w:val="19"/>
        </w:rPr>
        <w:t xml:space="preserve">Table 5-5. </w:t>
      </w:r>
      <w:r>
        <w:rPr>
          <w:rFonts w:ascii="Times New Roman" w:hAnsi="Times New Roman" w:eastAsia="HY신명조"/>
          <w:b w:val="0"/>
          <w:sz w:val="19"/>
        </w:rPr>
        <w:t>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 The explicit cap of A4 was found post hoc to be undelivered (Section 8), so A3 and A4 are de facto the same policy.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Because the encounter instant was fixed at a single point (detection + 3 s), this comparison is restricted to that transient — it is not a general stop-versus-evacuate comparison over the distribution of hazard-onset times; the settled-cruise 0/8 is a complementary observation at a different instant with a small sample.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A post-campaign audit of the delivery path (Section 8) found that the explicit cap of A4 had never actually been delivered to the velocity-limit arbiter of the evaluated stack — the published message type differed from the subscribed type of the evaluated version and was silently discarded on the same topic name. A3 and A4 were therefore de facto repeated measurements of the same policy (naturally decelerating evacuation), and p=1.0 together with the two arms' close collision counts (10/20 vs 11/20) is the consistent consequence — and, incidentally, evidence of seed-level repeatability. As a post-hoc secondary analysis not included in the pre-specification, testing A2↔A4 in the same way gives discordant pairs of 11:0 with an exact two-sided p=9.8×10⁻⁴ — restricted to this 8 m/transient collision endpoint, the in-lane stop clearly dominates evacuation, quantifying the collision-side cost of the RQ2 trade-off (flagged as exploratory since it was not pre-specified). That is, this ablation turned out post hoc to be a design in which the increment of the explicit cap could not be tested (both arms were de facto uncapped), and the causal effect of the cap is verified in a separate dose-response experiment with the delivery fixed (Section 8).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(Figure 5-4),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12" w:lineRule="auto" w:before="40" w:after="0"/>
      </w:pPr>
      <w:r>
        <w:rPr>
          <w:rFonts w:ascii="Times New Roman" w:hAnsi="Times New Roman" w:eastAsia="HY신명조"/>
          <w:b/>
          <w:sz w:val="19"/>
        </w:rPr>
        <w:t xml:space="preserve">Table 5-6. </w:t>
      </w:r>
      <w:r>
        <w:rPr>
          <w:rFonts w:ascii="Times New Roman" w:hAnsi="Times New Roman" w:eastAsia="HY신명조"/>
          <w:b w:val="0"/>
          <w:sz w:val="19"/>
        </w:rPr>
        <w:t>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5-4. </w:t>
      </w:r>
      <w:r>
        <w:rPr>
          <w:rFonts w:ascii="Times New Roman" w:hAnsi="Times New Roman" w:eastAsia="HY신명조"/>
          <w:b w:val="0"/>
          <w:sz w:val="19"/>
        </w:rPr>
        <w:t>Kaplan–Meier curve of lane clearance for no-collision evacuation cases (exploratory analysis on the first-round ablation subset, A3/A4 pooled;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low-speed evacuation policy by time regime yields a sharp contrast (Figure 5-5): launches in the detection+3 s transient (deceleration incomplete) collided in 11/20, whereas launches in low-speed settled cruise with deceleration complete (restart cruise, 8 m encounter re-run; the nominal 3.0 m/s cap was configured but undelivered — the measured encounter speed of about 3.0 m/s stems from the restart profile, Section 8)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5-5. </w:t>
      </w:r>
      <w:r>
        <w:rPr>
          <w:rFonts w:ascii="Times New Roman" w:hAnsi="Times New Roman" w:eastAsia="HY신명조"/>
          <w:b w:val="0"/>
          <w:sz w:val="19"/>
        </w:rPr>
        <w:t>Ablation results (ledger verdicts, pooled n = 20). (a) Collision/avoidance decomposition of the four arms — launched in the detection + 3 s transient. (b) The same low-speed evacuation policy in two regimes — 11/20 in the transient versus 0/8 in low-speed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low-speed settled cruise (nominal 3.0 m/s cap configured), the boundary was measured empirically by lowering the spawn distance (Table 5-7). At 8 m the outcome was 8/8 avoidance (Section 6), while at 7, 6, and 5 m the vehicle collided in 2/2 runs at each distance, so the avoidance/collision boundary at 3.0 m/s lies in the 7–8 m interval. Compared with the 8–11 m boundary at 4.2 m/s, the measurements confirm that the reduction of encounter speed moved the boundary inward. Three points are stated explicitly, however. First, the explicit cap was undelivered in these ladder runs as well (Section 8) — the low speed stems from the restart acceleration profile, but since the comparison axis is the measured encounter speed the conclusion stands, and the controlled verification under an actually delivered cap is performed in Section 8. Second, the launch protocols differ — the 4.2 ladder launches into the path of normal driving, whereas the 3.0 ladder launches during restart cruise, and the axis of comparison is the encounter speed of an "encounter during constant-speed cruise." Third,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low-speed encounters physically narrow the range of "unavoidable dart-outs," and its effect and its limit (the transient) are consistently explained by stopping-distance physics.</w:t>
      </w:r>
    </w:p>
    <w:p>
      <w:pPr>
        <w:keepNext/>
        <w:spacing w:line="312" w:lineRule="auto" w:before="40" w:after="0"/>
      </w:pPr>
      <w:r>
        <w:rPr>
          <w:rFonts w:ascii="Times New Roman" w:hAnsi="Times New Roman" w:eastAsia="HY신명조"/>
          <w:b/>
          <w:sz w:val="19"/>
        </w:rPr>
        <w:t xml:space="preserve">Table 5-7. </w:t>
      </w:r>
      <w:r>
        <w:rPr>
          <w:rFonts w:ascii="Times New Roman" w:hAnsi="Times New Roman" w:eastAsia="HY신명조"/>
          <w:b w:val="0"/>
          <w:sz w:val="19"/>
        </w:rPr>
        <w:t>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Causal Verification of the Speed Cap: A Dose-Response Experiment on Settled Encounters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ablation of Section 5 could not test the increment of the explicit cap (a delivery defect), and the two ladders of Sections 3 and 7 used different launch protocols. To close both gaps at once, a controlled dose-response experiment was performed, with the delivery fixed, exclusively on settled-state encounters in which the cap actually held. How the defect was discovered matters methodologically: cap publish logs were recorded normally throughout the campaigns, yet the tick logs showed the moving vehicle tracking the sectional speed limit rather than the cap. The cause was a published message type that differed from the subscribed type of the evaluated stack's selector, silently discarded on the same topic name — "a publish log is not evidence of delivery" (Chapter 6, Section 4). After matching the type and adding 1 s periodic republication while moving, delivery and compliance were re-verified by measurement before entering this experiment.</w:t>
      </w:r>
    </w:p>
    <w:p>
      <w:pPr>
        <w:spacing w:line="501" w:lineRule="exact" w:before="0" w:after="0"/>
        <w:jc w:val="both"/>
      </w:pPr>
      <w:r>
        <w:rPr>
          <w:rFonts w:ascii="Times New Roman" w:hAnsi="Times New Roman" w:eastAsia="HY신명조"/>
          <w:b w:val="0"/>
          <w:sz w:val="22"/>
        </w:rPr>
        <w:t xml:space="preserve">   The design is a paired matrix of caps {4.2, 3.6, 3.0} m/s × spawn distances {6, 7, 8, 9} m × 10 seeds = 120 runs (Chapter 4, Sections 6 (v) and 7). The 4.2 m/s arm is a high-cap control practically equivalent to the road speed limit (15 km/h ≈ 4.17 m/s), and the three arms use the identical external velocity-limit interface differing only in the value, so there is no software-path difference. Launch uses the settlement trigger — the pedestrian is spawned D m ahead at the moment the supervisor is in MRM_MOVE and the measured speed has stayed within the cap-specific band for 1.0 s continuously (spread ≤ 0.25 m/s) — which, unlike the time trigger of the Section 5 ablation (detection + 3 s, transient), guarantees at the trigger level that the cap holds at the encounter. The primary endpoint (8 m, paired 4.2 vs 3.0 exact McNemar) and the manipulation-check adoption rule were pre-specified in a plan before data collection (Chapter 4, Section 8). Of 125 attempts, 120 runs were adopted; the 5 rejections (4 band-not-reached, 1 reverse-direction spawn) were precondition violations rejected and re-run before their outcomes were examined. Adjudication is based on the ego ledger (RAW-HIT).</w:t>
      </w:r>
    </w:p>
    <w:p>
      <w:pPr>
        <w:keepNext/>
        <w:spacing w:line="312" w:lineRule="auto" w:before="40" w:after="0"/>
      </w:pPr>
      <w:r>
        <w:rPr>
          <w:rFonts w:ascii="Times New Roman" w:hAnsi="Times New Roman" w:eastAsia="HY신명조"/>
          <w:b/>
          <w:sz w:val="19"/>
        </w:rPr>
        <w:t xml:space="preserve">Table 5-8. </w:t>
      </w:r>
      <w:r>
        <w:rPr>
          <w:rFonts w:ascii="Times New Roman" w:hAnsi="Times New Roman" w:eastAsia="HY신명조"/>
          <w:b w:val="0"/>
          <w:sz w:val="19"/>
        </w:rPr>
        <w:t>Dose-response experiment — collisions in settled encounters (n=10 seeds per cell, ledger adjudication)</w:t>
      </w:r>
    </w:p>
    <w:tbl>
      <w:tblPr>
        <w:tblStyle w:val="ac"/>
        <w:tblW w:type="auto" w:w="0"/>
        <w:jc w:val="center"/>
        <w:tblLook w:firstColumn="1" w:firstRow="1" w:lastColumn="0" w:lastRow="0" w:noHBand="0" w:noVBand="1" w:val="04A0"/>
      </w:tblPr>
      <w:tblGrid>
        <w:gridCol w:w="1417"/>
        <w:gridCol w:w="1417"/>
        <w:gridCol w:w="1417"/>
        <w:gridCol w:w="1417"/>
        <w:gridCol w:w="1417"/>
        <w:gridCol w:w="1417"/>
      </w:tblGrid>
      <w:tr>
        <w:trPr>
          <w:cantSplit/>
          <w:tblHeader/>
        </w:trPr>
        <w:tc>
          <w:tcPr>
            <w:tcW w:type="dxa" w:w="1417"/>
          </w:tcPr>
          <w:p>
            <w:pPr>
              <w:keepNext/>
              <w:spacing w:line="288" w:lineRule="auto" w:before="20" w:after="20"/>
              <w:jc w:val="center"/>
            </w:pPr>
            <w:r/>
            <w:r>
              <w:rPr>
                <w:rFonts w:ascii="Times New Roman" w:hAnsi="Times New Roman" w:eastAsia="HY신명조"/>
                <w:b/>
                <w:sz w:val="19"/>
              </w:rPr>
              <w:t>Speed cap</w:t>
            </w:r>
          </w:p>
        </w:tc>
        <w:tc>
          <w:tcPr>
            <w:tcW w:type="dxa" w:w="1417"/>
          </w:tcPr>
          <w:p>
            <w:pPr>
              <w:keepNext/>
              <w:spacing w:line="288" w:lineRule="auto" w:before="20" w:after="20"/>
              <w:jc w:val="center"/>
            </w:pPr>
            <w:r/>
            <w:r>
              <w:rPr>
                <w:rFonts w:ascii="Times New Roman" w:hAnsi="Times New Roman" w:eastAsia="HY신명조"/>
                <w:b/>
                <w:sz w:val="19"/>
              </w:rPr>
              <w:t>6 m</w:t>
            </w:r>
          </w:p>
        </w:tc>
        <w:tc>
          <w:tcPr>
            <w:tcW w:type="dxa" w:w="1417"/>
          </w:tcPr>
          <w:p>
            <w:pPr>
              <w:keepNext/>
              <w:spacing w:line="288" w:lineRule="auto" w:before="20" w:after="20"/>
              <w:jc w:val="center"/>
            </w:pPr>
            <w:r/>
            <w:r>
              <w:rPr>
                <w:rFonts w:ascii="Times New Roman" w:hAnsi="Times New Roman" w:eastAsia="HY신명조"/>
                <w:b/>
                <w:sz w:val="19"/>
              </w:rPr>
              <w:t>7 m</w:t>
            </w:r>
          </w:p>
        </w:tc>
        <w:tc>
          <w:tcPr>
            <w:tcW w:type="dxa" w:w="1417"/>
          </w:tcPr>
          <w:p>
            <w:pPr>
              <w:keepNext/>
              <w:spacing w:line="288" w:lineRule="auto" w:before="20" w:after="20"/>
              <w:jc w:val="center"/>
            </w:pPr>
            <w:r/>
            <w:r>
              <w:rPr>
                <w:rFonts w:ascii="Times New Roman" w:hAnsi="Times New Roman" w:eastAsia="HY신명조"/>
                <w:b/>
                <w:sz w:val="19"/>
              </w:rPr>
              <w:t>8 m</w:t>
            </w:r>
          </w:p>
        </w:tc>
        <w:tc>
          <w:tcPr>
            <w:tcW w:type="dxa" w:w="1417"/>
          </w:tcPr>
          <w:p>
            <w:pPr>
              <w:keepNext/>
              <w:spacing w:line="288" w:lineRule="auto" w:before="20" w:after="20"/>
              <w:jc w:val="center"/>
            </w:pPr>
            <w:r/>
            <w:r>
              <w:rPr>
                <w:rFonts w:ascii="Times New Roman" w:hAnsi="Times New Roman" w:eastAsia="HY신명조"/>
                <w:b/>
                <w:sz w:val="19"/>
              </w:rPr>
              <w:t>9 m</w:t>
            </w:r>
          </w:p>
        </w:tc>
        <w:tc>
          <w:tcPr>
            <w:tcW w:type="dxa" w:w="1417"/>
          </w:tcPr>
          <w:p>
            <w:pPr>
              <w:keepNext/>
              <w:spacing w:line="288" w:lineRule="auto" w:before="20" w:after="20"/>
              <w:jc w:val="center"/>
            </w:pPr>
            <w:r/>
            <w:r>
              <w:rPr>
                <w:rFonts w:ascii="Times New Roman" w:hAnsi="Times New Roman" w:eastAsia="HY신명조"/>
                <w:b/>
                <w:sz w:val="19"/>
              </w:rPr>
              <w:t>Estimated boundary</w:t>
            </w:r>
          </w:p>
        </w:tc>
      </w:tr>
      <w:tr>
        <w:trPr>
          <w:cantSplit/>
        </w:trPr>
        <w:tc>
          <w:tcPr>
            <w:tcW w:type="dxa" w:w="1417"/>
          </w:tcPr>
          <w:p>
            <w:pPr>
              <w:keepNext/>
              <w:spacing w:line="288" w:lineRule="auto" w:before="20" w:after="20"/>
              <w:jc w:val="left"/>
            </w:pPr>
            <w:r/>
            <w:r>
              <w:rPr>
                <w:rFonts w:ascii="Times New Roman" w:hAnsi="Times New Roman" w:eastAsia="HY신명조"/>
                <w:b w:val="0"/>
                <w:sz w:val="19"/>
              </w:rPr>
              <w:t>4.2 m/s (high-cap control)</w:t>
            </w:r>
          </w:p>
        </w:tc>
        <w:tc>
          <w:tcPr>
            <w:tcW w:type="dxa" w:w="1417"/>
          </w:tcPr>
          <w:p>
            <w:pPr>
              <w:keepNext/>
              <w:spacing w:line="288" w:lineRule="auto" w:before="20" w:after="20"/>
              <w:jc w:val="left"/>
            </w:pPr>
            <w:r/>
            <w:r>
              <w:rPr>
                <w:rFonts w:ascii="Times New Roman" w:hAnsi="Times New Roman" w:eastAsia="HY신명조"/>
                <w:b w:val="0"/>
                <w:sz w:val="19"/>
              </w:rPr>
              <w:t>10/10</w:t>
            </w:r>
          </w:p>
        </w:tc>
        <w:tc>
          <w:tcPr>
            <w:tcW w:type="dxa" w:w="1417"/>
          </w:tcPr>
          <w:p>
            <w:pPr>
              <w:keepNext/>
              <w:spacing w:line="288" w:lineRule="auto" w:before="20" w:after="20"/>
              <w:jc w:val="left"/>
            </w:pPr>
            <w:r/>
            <w:r>
              <w:rPr>
                <w:rFonts w:ascii="Times New Roman" w:hAnsi="Times New Roman" w:eastAsia="HY신명조"/>
                <w:b w:val="0"/>
                <w:sz w:val="19"/>
              </w:rPr>
              <w:t>10/10</w:t>
            </w:r>
          </w:p>
        </w:tc>
        <w:tc>
          <w:tcPr>
            <w:tcW w:type="dxa" w:w="1417"/>
          </w:tcPr>
          <w:p>
            <w:pPr>
              <w:keepNext/>
              <w:spacing w:line="288" w:lineRule="auto" w:before="20" w:after="20"/>
              <w:jc w:val="left"/>
            </w:pPr>
            <w:r/>
            <w:r>
              <w:rPr>
                <w:rFonts w:ascii="Times New Roman" w:hAnsi="Times New Roman" w:eastAsia="HY신명조"/>
                <w:b w:val="0"/>
                <w:sz w:val="19"/>
              </w:rPr>
              <w:t>10/10</w:t>
            </w:r>
          </w:p>
        </w:tc>
        <w:tc>
          <w:tcPr>
            <w:tcW w:type="dxa" w:w="1417"/>
          </w:tcPr>
          <w:p>
            <w:pPr>
              <w:keepNext/>
              <w:spacing w:line="288" w:lineRule="auto" w:before="20" w:after="20"/>
              <w:jc w:val="left"/>
            </w:pPr>
            <w:r/>
            <w:r>
              <w:rPr>
                <w:rFonts w:ascii="Times New Roman" w:hAnsi="Times New Roman" w:eastAsia="HY신명조"/>
                <w:b w:val="0"/>
                <w:sz w:val="19"/>
              </w:rPr>
              <w:t>10/10</w:t>
            </w:r>
          </w:p>
        </w:tc>
        <w:tc>
          <w:tcPr>
            <w:tcW w:type="dxa" w:w="1417"/>
          </w:tcPr>
          <w:p>
            <w:pPr>
              <w:keepNext/>
              <w:spacing w:line="288" w:lineRule="auto" w:before="20" w:after="20"/>
              <w:jc w:val="left"/>
            </w:pPr>
            <w:r/>
            <w:r>
              <w:rPr>
                <w:rFonts w:ascii="Times New Roman" w:hAnsi="Times New Roman" w:eastAsia="HY신명조"/>
                <w:b w:val="0"/>
                <w:sz w:val="19"/>
              </w:rPr>
              <w:t>beyond 9 m</w:t>
            </w:r>
          </w:p>
        </w:tc>
      </w:tr>
      <w:tr>
        <w:trPr>
          <w:cantSplit/>
        </w:trPr>
        <w:tc>
          <w:tcPr>
            <w:tcW w:type="dxa" w:w="1417"/>
          </w:tcPr>
          <w:p>
            <w:pPr>
              <w:keepNext/>
              <w:spacing w:line="288" w:lineRule="auto" w:before="20" w:after="20"/>
              <w:jc w:val="left"/>
            </w:pPr>
            <w:r/>
            <w:r>
              <w:rPr>
                <w:rFonts w:ascii="Times New Roman" w:hAnsi="Times New Roman" w:eastAsia="HY신명조"/>
                <w:b w:val="0"/>
                <w:sz w:val="19"/>
              </w:rPr>
              <w:t>3.6 m/s</w:t>
            </w:r>
          </w:p>
        </w:tc>
        <w:tc>
          <w:tcPr>
            <w:tcW w:type="dxa" w:w="1417"/>
          </w:tcPr>
          <w:p>
            <w:pPr>
              <w:keepNext/>
              <w:spacing w:line="288" w:lineRule="auto" w:before="20" w:after="20"/>
              <w:jc w:val="left"/>
            </w:pPr>
            <w:r/>
            <w:r>
              <w:rPr>
                <w:rFonts w:ascii="Times New Roman" w:hAnsi="Times New Roman" w:eastAsia="HY신명조"/>
                <w:b w:val="0"/>
                <w:sz w:val="19"/>
              </w:rPr>
              <w:t>10/10</w:t>
            </w:r>
          </w:p>
        </w:tc>
        <w:tc>
          <w:tcPr>
            <w:tcW w:type="dxa" w:w="1417"/>
          </w:tcPr>
          <w:p>
            <w:pPr>
              <w:keepNext/>
              <w:spacing w:line="288" w:lineRule="auto" w:before="20" w:after="20"/>
              <w:jc w:val="left"/>
            </w:pPr>
            <w:r/>
            <w:r>
              <w:rPr>
                <w:rFonts w:ascii="Times New Roman" w:hAnsi="Times New Roman" w:eastAsia="HY신명조"/>
                <w:b w:val="0"/>
                <w:sz w:val="19"/>
              </w:rPr>
              <w:t>10/10</w:t>
            </w:r>
          </w:p>
        </w:tc>
        <w:tc>
          <w:tcPr>
            <w:tcW w:type="dxa" w:w="1417"/>
          </w:tcPr>
          <w:p>
            <w:pPr>
              <w:keepNext/>
              <w:spacing w:line="288" w:lineRule="auto" w:before="20" w:after="20"/>
              <w:jc w:val="left"/>
            </w:pPr>
            <w:r/>
            <w:r>
              <w:rPr>
                <w:rFonts w:ascii="Times New Roman" w:hAnsi="Times New Roman" w:eastAsia="HY신명조"/>
                <w:b w:val="0"/>
                <w:sz w:val="19"/>
              </w:rPr>
              <w:t>10/10</w:t>
            </w:r>
          </w:p>
        </w:tc>
        <w:tc>
          <w:tcPr>
            <w:tcW w:type="dxa" w:w="1417"/>
          </w:tcPr>
          <w:p>
            <w:pPr>
              <w:keepNext/>
              <w:spacing w:line="288" w:lineRule="auto" w:before="20" w:after="20"/>
              <w:jc w:val="left"/>
            </w:pPr>
            <w:r/>
            <w:r>
              <w:rPr>
                <w:rFonts w:ascii="Times New Roman" w:hAnsi="Times New Roman" w:eastAsia="HY신명조"/>
                <w:b w:val="0"/>
                <w:sz w:val="19"/>
              </w:rPr>
              <w:t>2/10</w:t>
            </w:r>
          </w:p>
        </w:tc>
        <w:tc>
          <w:tcPr>
            <w:tcW w:type="dxa" w:w="1417"/>
          </w:tcPr>
          <w:p>
            <w:pPr>
              <w:keepNext/>
              <w:spacing w:line="288" w:lineRule="auto" w:before="20" w:after="20"/>
              <w:jc w:val="left"/>
            </w:pPr>
            <w:r/>
            <w:r>
              <w:rPr>
                <w:rFonts w:ascii="Times New Roman" w:hAnsi="Times New Roman" w:eastAsia="HY신명조"/>
                <w:b w:val="0"/>
                <w:sz w:val="19"/>
              </w:rPr>
              <w:t>about 9 m</w:t>
            </w:r>
          </w:p>
        </w:tc>
      </w:tr>
      <w:tr>
        <w:trPr>
          <w:cantSplit/>
        </w:trPr>
        <w:tc>
          <w:tcPr>
            <w:tcW w:type="dxa" w:w="1417"/>
          </w:tcPr>
          <w:p>
            <w:pPr>
              <w:spacing w:line="288" w:lineRule="auto" w:before="20" w:after="20"/>
              <w:jc w:val="left"/>
            </w:pPr>
            <w:r/>
            <w:r>
              <w:rPr>
                <w:rFonts w:ascii="Times New Roman" w:hAnsi="Times New Roman" w:eastAsia="HY신명조"/>
                <w:b w:val="0"/>
                <w:sz w:val="19"/>
              </w:rPr>
              <w:t>3.0 m/s (policy value)</w:t>
            </w:r>
          </w:p>
        </w:tc>
        <w:tc>
          <w:tcPr>
            <w:tcW w:type="dxa" w:w="1417"/>
          </w:tcPr>
          <w:p>
            <w:pPr>
              <w:spacing w:line="288" w:lineRule="auto" w:before="20" w:after="20"/>
              <w:jc w:val="left"/>
            </w:pPr>
            <w:r/>
            <w:r>
              <w:rPr>
                <w:rFonts w:ascii="Times New Roman" w:hAnsi="Times New Roman" w:eastAsia="HY신명조"/>
                <w:b w:val="0"/>
                <w:sz w:val="19"/>
              </w:rPr>
              <w:t>8/10</w:t>
            </w:r>
          </w:p>
        </w:tc>
        <w:tc>
          <w:tcPr>
            <w:tcW w:type="dxa" w:w="1417"/>
          </w:tcPr>
          <w:p>
            <w:pPr>
              <w:spacing w:line="288" w:lineRule="auto" w:before="20" w:after="20"/>
              <w:jc w:val="left"/>
            </w:pPr>
            <w:r/>
            <w:r>
              <w:rPr>
                <w:rFonts w:ascii="Times New Roman" w:hAnsi="Times New Roman" w:eastAsia="HY신명조"/>
                <w:b w:val="0"/>
                <w:sz w:val="19"/>
              </w:rPr>
              <w:t>5/10</w:t>
            </w:r>
          </w:p>
        </w:tc>
        <w:tc>
          <w:tcPr>
            <w:tcW w:type="dxa" w:w="1417"/>
          </w:tcPr>
          <w:p>
            <w:pPr>
              <w:spacing w:line="288" w:lineRule="auto" w:before="20" w:after="20"/>
              <w:jc w:val="left"/>
            </w:pPr>
            <w:r/>
            <w:r>
              <w:rPr>
                <w:rFonts w:ascii="Times New Roman" w:hAnsi="Times New Roman" w:eastAsia="HY신명조"/>
                <w:b w:val="0"/>
                <w:sz w:val="19"/>
              </w:rPr>
              <w:t>0/10</w:t>
            </w:r>
          </w:p>
        </w:tc>
        <w:tc>
          <w:tcPr>
            <w:tcW w:type="dxa" w:w="1417"/>
          </w:tcPr>
          <w:p>
            <w:pPr>
              <w:spacing w:line="288" w:lineRule="auto" w:before="20" w:after="20"/>
              <w:jc w:val="left"/>
            </w:pPr>
            <w:r/>
            <w:r>
              <w:rPr>
                <w:rFonts w:ascii="Times New Roman" w:hAnsi="Times New Roman" w:eastAsia="HY신명조"/>
                <w:b w:val="0"/>
                <w:sz w:val="19"/>
              </w:rPr>
              <w:t>0/10</w:t>
            </w:r>
          </w:p>
        </w:tc>
        <w:tc>
          <w:tcPr>
            <w:tcW w:type="dxa" w:w="1417"/>
          </w:tcPr>
          <w:p>
            <w:pPr>
              <w:spacing w:line="288" w:lineRule="auto" w:before="20" w:after="20"/>
              <w:jc w:val="left"/>
            </w:pPr>
            <w:r/>
            <w:r>
              <w:rPr>
                <w:rFonts w:ascii="Times New Roman" w:hAnsi="Times New Roman" w:eastAsia="HY신명조"/>
                <w:b w:val="0"/>
                <w:sz w:val="19"/>
              </w:rPr>
              <w:t>about 7 m</w:t>
            </w:r>
          </w:p>
        </w:tc>
      </w:tr>
    </w:tbl>
    <w:p>
      <w:pPr>
        <w:spacing w:line="312" w:lineRule="auto" w:before="0" w:after="0"/>
      </w:pPr>
      <w:r>
        <w:rPr>
          <w:rFonts w:ascii="Times New Roman" w:hAnsi="Times New Roman" w:eastAsia="HY신명조"/>
          <w:b w:val="0"/>
          <w:sz w:val="19"/>
        </w:rPr>
        <w:t>Manipulation check (measured speed at the first encounter tick): 4.2 arm 4.05–4.13 (median 4.08), 3.6 arm 3.37–3.58 (median 3.52), 3.0 arm 2.60–3.07 (median 2.81) m/s — every run within the required band ± 0.15 m/s tolerance. Minimum pedestrian gaps in avoidance runs are 1.8–5.4 m, i.e., all genuine encounters.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results are monotone along both axes (Table 5-8, Figure 5-6). At the pre-specified primary endpoint — the 8 m encounter — cap 4.2 collided in all ten seeds and cap 3.0 avoided in all ten, giving discordant pairs 10:0 and an exact McNemar two-sided p=0.002: the collision-reduction effect of the explicit cap, untestable in Section 5, is detected with unanimous seed-level directionality once the cap actually holds at the encounter. In the boundary characterization, the avoid/collide boundary is beyond 9 m at 4.2 m/s (consistent with the 8–11 m ladder of Section 3), about 9 m at 3.6 m/s (2/10 at 9 m), and about 7 m at 3.0 m/s (5/10 at 7 m, 0/10 at 8 m and beyond) — moving inward monotonically as the cap is lowered. In particular, the 5/10 of the 3.0 arm at 7 m falls at the lower end of the boundary interval (7–8 m) estimated by the Section 7 low-speed ladder (about 7 m as the 50% collision point), a mutual corroboration.</w:t>
      </w:r>
    </w:p>
    <w:p>
      <w:pPr>
        <w:keepNext/>
        <w:spacing w:line="240" w:lineRule="auto"/>
        <w:jc w:val="center"/>
      </w:pPr>
      <w:r>
        <w:drawing>
          <wp:inline xmlns:a="http://schemas.openxmlformats.org/drawingml/2006/main" xmlns:pic="http://schemas.openxmlformats.org/drawingml/2006/picture">
            <wp:extent cx="5040000" cy="2072027"/>
            <wp:docPr id="14" name="Picture 14"/>
            <wp:cNvGraphicFramePr>
              <a:graphicFrameLocks noChangeAspect="1"/>
            </wp:cNvGraphicFramePr>
            <a:graphic>
              <a:graphicData uri="http://schemas.openxmlformats.org/drawingml/2006/picture">
                <pic:pic>
                  <pic:nvPicPr>
                    <pic:cNvPr id="0" name="fig13_speeddose.png"/>
                    <pic:cNvPicPr/>
                  </pic:nvPicPr>
                  <pic:blipFill>
                    <a:blip r:embed="rId28"/>
                    <a:stretch>
                      <a:fillRect/>
                    </a:stretch>
                  </pic:blipFill>
                  <pic:spPr>
                    <a:xfrm>
                      <a:off x="0" y="0"/>
                      <a:ext cx="5040000" cy="2072027"/>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5-6. </w:t>
      </w:r>
      <w:r>
        <w:rPr>
          <w:rFonts w:ascii="Times New Roman" w:hAnsi="Times New Roman" w:eastAsia="HY신명조"/>
          <w:b w:val="0"/>
          <w:sz w:val="19"/>
        </w:rPr>
        <w:t>Dose-response experiment (120 runs, ledger adjudication). (a) Collision rate vs spawn distance per cap (Wilson 95% CI) — the avoid/collide boundary moves inward monotonically as the cap is lowered. (b) Pre-specified primary contrast (8 m): cap 4.2 m/s collided in 10/10, cap 3.0 m/s in 0/10 — discordant pairs 10:0, exact McNemar p=0.002.</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limits of interpretation are stated explicitly. This causal conclusion is restricted to the settled regime in which the cap holds; the transient risk before deceleration completes (Sections 5–6, 11/20) is outside the scope of this experiment — the cap does not remove the transient, it creates the physical safety margin after settling. No optimality claim is made for the 3.0 m/s value (the onset of collapse of the 3.6 arm at 9 m only locates the boundary of an intermediate dose), and the restrictions of n=10 per cell and a single fault (gn-mid) on a single evacuation corridor also remain.</w:t>
      </w:r>
    </w:p>
    <w:p>
      <w:pPr>
        <w:spacing w:line="501" w:lineRule="exact" w:before="0" w:after="0"/>
      </w:pPr>
    </w:p>
    <w:p>
      <w:pPr>
        <w:spacing w:line="501" w:lineRule="exact" w:before="0" w:after="0"/>
      </w:pPr>
      <w:r>
        <w:rPr>
          <w:rFonts w:ascii="Times New Roman" w:hAnsi="Times New Roman" w:eastAsia="HY신명조"/>
          <w:b/>
          <w:sz w:val="28"/>
        </w:rPr>
        <w:t>9.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executed cases each, same structure as the main campaign; the latency n counts runs with parsable ledger latencies and the MRM denominators count runs judgeable after the ledger introduction, both below 90 after simulator-failure exclusion) (Table 5-9,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12" w:lineRule="auto" w:before="40" w:after="0"/>
      </w:pPr>
      <w:r>
        <w:rPr>
          <w:rFonts w:ascii="Times New Roman" w:hAnsi="Times New Roman" w:eastAsia="HY신명조"/>
          <w:b/>
          <w:sz w:val="19"/>
        </w:rPr>
        <w:t xml:space="preserve">Table 5-9. </w:t>
      </w:r>
      <w:r>
        <w:rPr>
          <w:rFonts w:ascii="Times New Roman" w:hAnsi="Times New Roman" w:eastAsia="HY신명조"/>
          <w:b w:val="0"/>
          <w:sz w:val="19"/>
        </w:rPr>
        <w:t>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an off-lane refuge position. Lane clearance is an indicator of relinquishing lane occupancy, not proof that the final position is safer — secondary risks at the shoulder (e.g., approaching rear traffic) were not directly compared in this study.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as means of shrinking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Causal Effect and Limits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null A3↔A4 difference in the ablation (Chapter 5, Section 5) was not an absence of a cap effect but an inability to test it — a delivery defect made both arms de facto uncapped, a post-hoc finding that itself extends the adjudication methodology (Section 4). With the delivery fixed and encounters controlled to the settled regime in which the cap actually holds, the dose-response experiment (Chapter 5, Section 8) detected the causal effect of the cap: paired discordance 10:0 at 8 m (p=0.002) and a monotone inward shift of the boundary (beyond 9 m to about 7 m). The cap's role is thus twofold — in the settled regime it verifiably moves the avoidance boundary inward, while in the transient it does not yet hold (encounter speeds 3.5–3.8 m/s measured in the Section 4 transient runs; 11/20 ablation collisions). That is, the cap's value is an explicit re-acceleration-suppressing upper bound that does not depend on natural deceleration, but its protection is effective only after deceleration completes. The 3.0 m/s value is grounded but not claimed optimal (the 9 m boundary of the 3.6 arm only locates an intermediate dose), nor is it a formal closed-loop speed guarantee; the verification is further restricted to the gn-mid single fault on a single evacuation corridor (Chapter 5, Section 8).</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The cap non-delivery incident (Chapter 5, Section 8) is the interface edition of the same lesson — a publish log is not evidence of delivery, the interface contract extends to the message type rather than just the topic name, and actuation commands must be verified by their downstream effect (measured vehicle speed).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and the dose-response results (Chapter 5, Section 8)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(min-gap) metric recorded as an auxiliary encounter-proximity measure (1.25 m) is a lateral-approach criterion and may be an overestimate for longitudinal approaches. (vi) The gap between the commanded pedestrian speed ({2.5, 3.0} m/s) and the measured speed stems from the walker controller's post-spawn acceleration transient — in the tick-instrumented encounter runs (n=90), the median is 2.46 m/s in the 0.5 s window (1.2–3.0) and 2.50 m/s in the 1 s window, reaching about 95% of the command thereafter. In the ablation, the commanded speed is fixed per seed and measured speeds are logged at physics-tick rate; physical interpretation of the boundary should rest on the measured distribution, not the command.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explicit FRTI-and-margin reservation deferred as future work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in 11 of the 12 fault conditions — median detection latencies of about 1.0 s for hard fails (cf/lf, ledger re-measurement) and 2.1–5.0 s for degradation faults, with no false activations in the 45 fault-free cases; monitoring shortened faulted-state exposure from 238–251 m without monitoring to 32–58 m for the camera and navigation families (LiDAR clutter: 275 m to 11–12 m),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(model 8.8 m, consistent) and 7–8 m at 3.0 m/s (model 5.79 m — a lower-bound approximation); in a same-seed four-arm ablation (n=20 per arm), detection+stop collided in 0/20, evacuation in 10–11/20 (all during the transient), and the stock stack under continued driving in 14/20, while the same evacuation policy under settled cruise showed 0/8 collisions. After the explicit cap of the ablation was found post hoc to be nullified by a delivery defect and fixed, a dose-response experiment on settled encounters where the cap actually held (3 caps × 4 distances × 10 seeds = 120 runs, pre-specified plan) detected the collision-reduction effect of cap 4.2 vs 3.0 m/s with paired discordance 10:0 at 8 m (exact McNemar p=0.002), and the avoid/collide boundary moved inward monotonically as the cap was lowered (beyond 9 m to about 7 m). Hard fails (signal loss) are detected and adjudicated within a 1.5 s deadline via a fast decision path that distinguishes the nature of the evidence (measured maximum 1.20 s across the full matrix, Chapter 5, Section 9).</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while low speed after settling verifiably moves the avoidance boundary inward (transient 11/20 vs settled 0/8; dose-response 10:0, p=0.002) — the transient statement is restricted to the single launch instant (detection + 3 s) of the ablation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detection and response times (widening the margin within the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extending the dose-response experiment to multiple faults and corridors;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자율주행 차량의 페일세이프 운행을 위한 연속 센서 건강도 감시와</w:t>
      </w:r>
    </w:p>
    <w:p>
      <w:pPr>
        <w:spacing w:line="360" w:lineRule="auto" w:before="0" w:after="0"/>
        <w:jc w:val="center"/>
      </w:pPr>
      <w:r>
        <w:rPr>
          <w:rFonts w:ascii="Times New Roman" w:hAnsi="Times New Roman" w:eastAsia="HY신명조"/>
          <w:b/>
          <w:sz w:val="32"/>
        </w:rPr>
        <w:t>위험·잔여능력 기반 단계적 최소위험기동 감독</w:t>
      </w:r>
    </w:p>
    <w:p>
      <w:pPr>
        <w:spacing w:line="501" w:lineRule="exact" w:before="0" w:after="0"/>
      </w:pPr>
    </w:p>
    <w:p>
      <w:pPr>
        <w:spacing w:line="360" w:lineRule="auto" w:before="0" w:after="0"/>
        <w:jc w:val="right"/>
      </w:pPr>
      <w:r>
        <w:rPr>
          <w:rFonts w:ascii="Times New Roman" w:hAnsi="Times New Roman" w:eastAsia="HY신명조"/>
          <w:b w:val="0"/>
          <w:sz w:val="22"/>
        </w:rPr>
        <w:t>○ ○ ○</w:t>
      </w:r>
    </w:p>
    <w:p>
      <w:pPr>
        <w:spacing w:line="360" w:lineRule="auto" w:before="0" w:after="0"/>
        <w:jc w:val="right"/>
      </w:pPr>
      <w:r>
        <w:rPr>
          <w:rFonts w:ascii="Times New Roman" w:hAnsi="Times New Roman" w:eastAsia="HY신명조"/>
          <w:b w:val="0"/>
          <w:sz w:val="22"/>
        </w:rPr>
        <w:t>성균관대학교 일반대학원</w:t>
      </w:r>
    </w:p>
    <w:p>
      <w:pPr>
        <w:spacing w:line="360" w:lineRule="auto" w:before="0" w:after="0"/>
        <w:jc w:val="right"/>
      </w:pPr>
      <w:r>
        <w:rPr>
          <w:rFonts w:ascii="Times New Roman" w:hAnsi="Times New Roman" w:eastAsia="HY신명조"/>
          <w:b w:val="0"/>
          <w:sz w:val="22"/>
        </w:rPr>
        <w:t>전자전기컴퓨터공학과</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정지"라는 단일 전략에 의존한다. 그러나 차로 내 정지는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238~251 m에서 감시+대피의 32~58 m(카메라·항법 계열)로 단축함을 보였다(라이다 클러터는 275→11~12 m).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순정 지속(A1)↔상한 대피(A4) p=0.375; 사후 점검에서 이 절제의 명시적 상한이 계획 계층에 미전달되었음이 확인되어 — 발행 메시지 타입 불일치 — 두 대피 팔은 사실상 동일 정책이다). 전달을 수정한 뒤 상한이 실제 성립한 정착 조우만으로 수행한 용량-반응 실험(속도 상한 3종×스폰 거리 4종×10시드=120런, 속도 정착 상태 트리거·사전 지정 1차 종결점(자료 수집 전 계획서 고정))에서, 8 m 조우의 상한 4.2 대 3.0 m/s 쌍대 비교는 불일치 10:0(exact McNemar p=0.002)으로 상한의 충돌 감소 효과가 검출되었고 회피/충돌 경계는 상한을 낮출수록 단조로 안쪽 이동했다(9 m 초과→약 7 m). 같은 저속 대피 정책이라도 감속 완료 전의 과도구간 발사에서는 잔존 위험이 크다. 즉 최소위험기동의 선택은 즉시 충돌 위험(정지 우세)과, 성공한 경우의 차선 반환·주행차선 밖 대피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이내의 안전 여유를 넓히는 감지·대응 시간 단축 필요성에 대한 조우 수준의 정량적 근거를 제공한다.</w:t>
      </w:r>
    </w:p>
    <w:p>
      <w:pPr>
        <w:spacing w:line="501" w:lineRule="exact" w:before="0" w:after="0"/>
      </w:pPr>
    </w:p>
    <w:p>
      <w:pPr>
        <w:spacing w:line="501" w:lineRule="exact" w:before="0" w:after="0"/>
      </w:pPr>
      <w:r>
        <w:rPr>
          <w:rFonts w:ascii="Times New Roman" w:hAnsi="Times New Roman" w:eastAsia="HY신명조"/>
          <w:b/>
          <w:sz w:val="22"/>
        </w:rPr>
        <w:t>주제어 : 자율주행, 페일세이프, 기능안전, 최소위험기동(MRM), 센서 고장 감지, FTTI</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