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19</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36</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37</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41</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41</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51</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51</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58</w:t>
      </w:r>
    </w:p>
    <w:p>
      <w:pPr>
        <w:tabs>
          <w:tab w:pos="7937" w:val="right" w:leader="dot"/>
        </w:tabs>
        <w:spacing w:line="501" w:lineRule="exact"/>
        <w:ind w:left="567"/>
      </w:pPr>
      <w:r>
        <w:rPr>
          <w:rFonts w:ascii="HY신명조" w:hAnsi="HY신명조" w:eastAsia="HY신명조"/>
          <w:b w:val="0"/>
          <w:sz w:val="22"/>
        </w:rPr>
        <w:t>8. 속도 상한 인과 검증: 정착 조우 용량-반응 실험</w:t>
      </w:r>
      <w:r>
        <w:rPr>
          <w:rFonts w:ascii="HY신명조" w:hAnsi="HY신명조" w:eastAsia="HY신명조"/>
          <w:b w:val="0"/>
          <w:sz w:val="22"/>
        </w:rPr>
        <w:tab/>
        <w:t>59</w:t>
      </w:r>
    </w:p>
    <w:p>
      <w:pPr>
        <w:tabs>
          <w:tab w:pos="7937" w:val="right" w:leader="dot"/>
        </w:tabs>
        <w:spacing w:line="501" w:lineRule="exact"/>
        <w:ind w:left="567"/>
      </w:pPr>
      <w:r>
        <w:rPr>
          <w:rFonts w:ascii="HY신명조" w:hAnsi="HY신명조" w:eastAsia="HY신명조"/>
          <w:b w:val="0"/>
          <w:sz w:val="22"/>
        </w:rPr>
        <w:t>9. 하드 페일 판정 지연: 1.5 s 마감 검증</w:t>
      </w:r>
      <w:r>
        <w:rPr>
          <w:rFonts w:ascii="HY신명조" w:hAnsi="HY신명조" w:eastAsia="HY신명조"/>
          <w:b w:val="0"/>
          <w:sz w:val="22"/>
        </w:rPr>
        <w:tab/>
        <w:t>62</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63</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63</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63</w:t>
      </w:r>
    </w:p>
    <w:p>
      <w:pPr>
        <w:tabs>
          <w:tab w:pos="7937" w:val="right" w:leader="dot"/>
        </w:tabs>
        <w:spacing w:line="501" w:lineRule="exact"/>
        <w:ind w:left="567"/>
      </w:pPr>
      <w:r>
        <w:rPr>
          <w:rFonts w:ascii="HY신명조" w:hAnsi="HY신명조" w:eastAsia="HY신명조"/>
          <w:b w:val="0"/>
          <w:sz w:val="22"/>
        </w:rPr>
        <w:t>3. 속도 상한의 역할: 인과 효과와 한계</w:t>
      </w:r>
      <w:r>
        <w:rPr>
          <w:rFonts w:ascii="HY신명조" w:hAnsi="HY신명조" w:eastAsia="HY신명조"/>
          <w:b w:val="0"/>
          <w:sz w:val="22"/>
        </w:rPr>
        <w:tab/>
        <w:t>64</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65</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65</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66</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68</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70</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77</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4-3. 본 캠페인 케이스 회계 — 계획 대비 최종 유효</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표 4-4. 절제 실험 4팔 정의</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4-5. 주요 실험 파라미터 요약</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보조 캠페인†, 제안 감지기)</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5-3. 거리 사다리 결과 (원장·영상 판정)</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 (팔당 n=20: 1차 S02~S11 + 확장 S12~S21)</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5-5. 절제 실험 시드별 판정, S02~S21 (원장 기준; C 충돌 / A 회피)</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표 5-7. 저속(3.0 m/s) 사다리 결과 (원장 판정)</w:t>
      </w:r>
      <w:r>
        <w:rPr>
          <w:rFonts w:ascii="HY신명조" w:hAnsi="HY신명조" w:eastAsia="HY신명조"/>
          <w:b w:val="0"/>
          <w:sz w:val="22"/>
        </w:rPr>
        <w:tab/>
        <w:t>59</w:t>
      </w:r>
    </w:p>
    <w:p>
      <w:pPr>
        <w:tabs>
          <w:tab w:pos="8504" w:val="right" w:leader="dot"/>
        </w:tabs>
        <w:spacing w:line="501" w:lineRule="exact"/>
        <w:ind w:left="0"/>
      </w:pPr>
      <w:r>
        <w:rPr>
          <w:rFonts w:ascii="HY신명조" w:hAnsi="HY신명조" w:eastAsia="HY신명조"/>
          <w:b w:val="0"/>
          <w:sz w:val="22"/>
        </w:rPr>
        <w:t>표 5-8. 용량-반응 실험 결과 — 정착 조우의 충돌 수 (셀당 n=10 시드, 원장 판정)</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표 5-9. 하드 페일 감지·판정 지연(시뮬레이션 시간, 원장 기준)과 1.5 s 마감 준수</w:t>
      </w:r>
      <w:r>
        <w:rPr>
          <w:rFonts w:ascii="HY신명조" w:hAnsi="HY신명조" w:eastAsia="HY신명조"/>
          <w:b w:val="0"/>
          <w:sz w:val="22"/>
        </w:rPr>
        <w:tab/>
        <w:t>62</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14</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20</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22</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 1건에 주입기와 동일한 물리식·파라미터를 적용한 전/후</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그림 4-3. 보행자 돌발 조우 주입 프로토콜</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그림 5-3. 정지거리 모델 d = vτ + v²/2a(τ=1.5 s, a=3.5 m/s²)와 거리 사다리 실측 회피/충돌 경계(음영 밴드)</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그림 5-4. 무충돌 대피 케이스의 차선 반환 Kaplan–Meier 곡선 (절제 1차 표본, 조건부 n=13)</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그림 5-5. 절제 실험 결과(원장 판정, 합산 n=20)</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그림 5-6. 용량-반응 실험(120런, 원장 판정)</w:t>
      </w:r>
      <w:r>
        <w:rPr>
          <w:rFonts w:ascii="HY신명조" w:hAnsi="HY신명조" w:eastAsia="HY신명조"/>
          <w:b w:val="0"/>
          <w:sz w:val="22"/>
        </w:rPr>
        <w:tab/>
        <w:t>61</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238~251 m에서 감시+대피의 32~58 m(카메라·항법 계열)로 단축함을 보였다(라이다 클러터는 275→11~12 m). 신호가 완전히 끊기는 하드 페일은 증거 성격을 구분하는 고속 판정 경로로 감지·판정을 1.5 s 마감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지속(A1)↔상한 대피(A4) p=0.375; 사후 점검에서 이 절제의 명시적 상한이 계획 계층에 미전달되었음이 확인되어 — 발행 메시지 타입 불일치 — 두 대피 팔은 사실상 동일 정책이다). 전달을 수정한 뒤 상한이 실제 성립한 정착 조우만으로 수행한 용량-반응 실험(속도 상한 3종×스폰 거리 4종×10시드=120런, 속도 정착 상태 트리거·사전 지정 1차 종결점(자료 수집 전 계획서 고정))에서, 8 m 조우의 상한 4.2 대 3.0 m/s 쌍대 비교는 불일치 10:0(exact McNemar p=0.002)으로 상한의 충돌 감소 효과가 검출되었고 회피/충돌 경계는 상한을 낮출수록 단조로 안쪽 이동했다(9 m 초과→약 7 m). 같은 저속 대피 정책이라도 감속 완료 전의 과도구간 발사에서는 잔존 위험이 크다.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정지는 구현이 단순하고 즉각적이지만, 정차 차량은 후속 교통을 차단하고 2차 충돌 기회를 만들며 그 비용이 차선 점유 해소까지 지속된다. 반대로 고장을 감지하지 못한 채 계속 주행하는 것은 열화된 지각으로 위험에 노출되는 거리를 늘린다 — 본 연구의 무감시 관찰에서 순정 스택은 고장 주입 상태로 238~275 m를 사실상 완주하였다(IMU 노이즈만 71 m 자체 이상 정지 — 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한다(그림 1-1):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4500000" cy="2460555"/>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60555"/>
                    </a:xfrm>
                    <a:prstGeom prst="rect"/>
                  </pic:spPr>
                </pic:pic>
              </a:graphicData>
            </a:graphic>
          </wp:inline>
        </w:drawing>
      </w:r>
    </w:p>
    <w:p>
      <w:pPr>
        <w:keepLines/>
        <w:spacing w:line="312" w:lineRule="auto" w:before="40" w:after="0"/>
      </w:pPr>
      <w:r>
        <w:rPr>
          <w:rFonts w:ascii="HY신명조" w:hAnsi="HY신명조" w:eastAsia="HY신명조"/>
          <w:b/>
          <w:sz w:val="19"/>
        </w:rPr>
        <w:t xml:space="preserve">그림 1-1. </w:t>
      </w:r>
      <w:r>
        <w:rPr>
          <w:rFonts w:ascii="HY신명조" w:hAnsi="HY신명조" w:eastAsia="HY신명조"/>
          <w:b w:val="0"/>
          <w:sz w:val="19"/>
        </w:rPr>
        <w:t>문제 설정. (a) 센서 고장 시의 단계적 대피 선택지 — ① 여유 공간(free space), ② 주차장, ③ 전방 갓길, ④ 차로 내 정지 — 는 비용함수로 서열화된다(①은 개념 선택지 — 본 구현·평가는 ②·③과 폴백 ④를 다룬다, 제3장 5절).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순정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반환·주행차선 밖 최종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신선도(타임아웃)·데이터 품질(노이즈·유효율)·물리 정합(잔차·바이어스)을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공칭 파라미터 기준 모델 유도 상한 v_max≈3.89 m/s 하회)을 계획 계층에 부과한다. 상한의 효과는 상한이 실제 성립한 정착 조우의 용량-반응 실험으로 인과 수준에서 검증한다(제5장 8절).</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동일 시드 쌍대 4팔 절제와 과도구간/정착 순항 2체제 분석으로 대피 잔존 위험이 감지 후 과도구간에 집중됨 — 감지·대응 시간 단축(FTTI 내 여유 확보) 필요성을 뒷받침하는 정량적 관찰 — 을 보이며, 고장 유형×심각도×교통밀도×방법의 본 매트릭스 1,131 유효 케이스로 감시·대피 거동과 노출 단축을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정지)까지만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구현하고(감지 시간·대응 시간·안전 여유의 분해 프레임 포함, 제3장 4절), 감지 후 과도구간에 대피형 MRM의 잔존 위험이 집중됨을 조우 수준에서 실측하여(제5장 5~6절) 감지·대응 시간 단축(FTTI 내 여유 확보)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카메라 노이즈(cn)·사망(cf)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정지가 항상 안전한 것은 아님을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9"/>
        </w:rPr>
        <w:t xml:space="preserve">표 2-1. </w:t>
      </w:r>
      <w:r>
        <w:rPr>
          <w:rFonts w:ascii="HY신명조" w:hAnsi="HY신명조" w:eastAsia="HY신명조"/>
          <w:b w:val="0"/>
          <w:sz w:val="19"/>
        </w:rPr>
        <w:t>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rPr>
          <w:cantSplit/>
        </w:trP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센서 열화 모델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센서고장 전제형 MRM (Xue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○(11종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506120"/>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506120"/>
                    </a:xfrm>
                    <a:prstGeom prst="rect"/>
                  </pic:spPr>
                </pic:pic>
              </a:graphicData>
            </a:graphic>
          </wp:inline>
        </w:drawing>
      </w:r>
    </w:p>
    <w:p>
      <w:pPr>
        <w:keepLines/>
        <w:spacing w:line="312" w:lineRule="auto" w:before="40" w:after="0"/>
      </w:pPr>
      <w:r>
        <w:rPr>
          <w:rFonts w:ascii="HY신명조" w:hAnsi="HY신명조" w:eastAsia="HY신명조"/>
          <w:b/>
          <w:sz w:val="19"/>
        </w:rPr>
        <w:t xml:space="preserve">그림 3-1. </w:t>
      </w:r>
      <w:r>
        <w:rPr>
          <w:rFonts w:ascii="HY신명조" w:hAnsi="HY신명조" w:eastAsia="HY신명조"/>
          <w:b w:val="0"/>
          <w:sz w:val="19"/>
        </w:rPr>
        <w:t>제안 시스템의 이중 채널 구조. 좌측은 무수정 Autoware 0.39.0의 정상 주행 채널(인지·측위 → 계획 → 제어), 우측은 부가(add-on) 안전 채널이다(그림 표기 CDR Monitor = cdr_monitor, MRM Supervisor = mrm_supervisor). 감시 단계는 센서 토픽을 읽기 전용 구독해 건강·능력 점수를 산출하고, 판단 단계는 이중 임계 확인과 대피 후보 탐색으로 MOVE(대피 — 경로 재설정·속도 상한)/DEFER(위임 — 진단 ERROR 주입)를 선택하고, 이동 중에는 주변 교통·진행 상황을 재평가해(후방 점유·정체 워치독) 후보를 강등·재선택하며 소진 시 DEFER로 폴백하고, 최소위험상태(MRC — 갓길·주차장 정차 또는 순정 차로 내 정지)는 하단의 폐루프 시뮬레이션 환경(CARLA) 안에서 에고 차량이 도달하는 종단 상태로 표시했다(액추에이션 하향·센서 스트림 상향).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초과한 상태로 3초 이상 지속되면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 위치계 채널들은 구현상 감독자 프로세스에 상주하지만 논리적으로는 감시 계층에 속하며, 본문에서 감시(monitoring)는 프로세스 배치가 아니라 이 논리 계층을 가리킨다(그림 3-1의 경계는 논리 경계이다).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결과 τ_detect(t)가 식 (3-1)의 신선도 감쇠 시간상수로 쓰이며(τ_fresh는 평시 기본 시간상수),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HY신명조" w:hAnsi="HY신명조" w:eastAsia="HY신명조"/>
          <w:b/>
          <w:sz w:val="19"/>
        </w:rPr>
        <w:t xml:space="preserve">그림 3-2. </w:t>
      </w:r>
      <w:r>
        <w:rPr>
          <w:rFonts w:ascii="HY신명조" w:hAnsi="HY신명조" w:eastAsia="HY신명조"/>
          <w:b w:val="0"/>
          <w:sz w:val="19"/>
        </w:rPr>
        <w:t>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 점수의 이중 임계(상단 0.7, 하단 0.3)로 대응을 전환한다(그림 3-3):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 선택은 이동 중에도 고정이 아니다 — 주차 접근·기동 중 후방 근접 차량이 지속 점유하면(10 m 이내 20 s) 후진 진입이 필요한 주차장 후보군에 페널티를 걸어 재선택함으로써 갓길 정차로 강등하고, 이동 정체·경로변경 무응답에는 유한 재시도를 적용하며, 후보 소진이나 이동 중 건강도 붕괴 시 DEFER로 폴백한다(주행 중 재평가 — 그림 3-1).</w:t>
      </w:r>
    </w:p>
    <w:p>
      <w:pPr>
        <w:keepNext/>
        <w:spacing w:line="240" w:lineRule="auto"/>
        <w:jc w:val="center"/>
      </w:pPr>
      <w:r>
        <w:drawing>
          <wp:inline xmlns:a="http://schemas.openxmlformats.org/drawingml/2006/main" xmlns:pic="http://schemas.openxmlformats.org/drawingml/2006/picture">
            <wp:extent cx="5400000" cy="1502830"/>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02830"/>
                    </a:xfrm>
                    <a:prstGeom prst="rect"/>
                  </pic:spPr>
                </pic:pic>
              </a:graphicData>
            </a:graphic>
          </wp:inline>
        </w:drawing>
      </w:r>
    </w:p>
    <w:p>
      <w:pPr>
        <w:keepLines/>
        <w:spacing w:line="312" w:lineRule="auto" w:before="40" w:after="0"/>
      </w:pPr>
      <w:r>
        <w:rPr>
          <w:rFonts w:ascii="HY신명조" w:hAnsi="HY신명조" w:eastAsia="HY신명조"/>
          <w:b/>
          <w:sz w:val="19"/>
        </w:rPr>
        <w:t xml:space="preserve">그림 3-3. </w:t>
      </w:r>
      <w:r>
        <w:rPr>
          <w:rFonts w:ascii="HY신명조" w:hAnsi="HY신명조" w:eastAsia="HY신명조"/>
          <w:b w:val="0"/>
          <w:sz w:val="19"/>
        </w:rPr>
        <w:t>감시 상태별 MRM 선택 정책 행렬. 이중 임계(상단 0.7, 하단 0.3)가 정상(NORMAL)·열화(DEGRADED)·위기(CRITICAL)를 구분하고, ●는 비용 서열에 따른 선택, ○는 이동 실패 시 폴백, ×는 미선택을 뜻한다. 죽은 센서는 임계와 무관하게 열화 단계로 직행하고, 도달 가능한 후보가 없으면 위기 단계로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9절 실측).</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HY신명조" w:hAnsi="HY신명조" w:eastAsia="HY신명조"/>
          <w:b/>
          <w:sz w:val="19"/>
        </w:rPr>
        <w:t xml:space="preserve">그림 3-4. </w:t>
      </w:r>
      <w:r>
        <w:rPr>
          <w:rFonts w:ascii="HY신명조" w:hAnsi="HY신명조" w:eastAsia="HY신명조"/>
          <w:b w:val="0"/>
          <w:sz w:val="19"/>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 w∗는 각 항의 가중치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절댓값에 대해 정밀 튜닝을 주장하지는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값이며, 따라서 본 식은 안전 경계의 예측 모델이 아니라 속도 상한 정책값 선정을 위한 설계용 근사식이다. 독립 제동 실험(무고장 순정, 4.2 m/s 순항 중 전방 14 m 보행자 출현, n=5, 물리 틱 로그)에서 제동 개시 지연은 0.46±0.08 s, 정지거리(4.2~5.8 m)와 에너지 정합인 유효 감속도는 2.87±0.20 m/s²였다 — 즉 개시 지연은 조우 기하에 의존하며(원거리 프리뷰에서는 조기 예방 제동, 8 m 돌발 근경계 체제의 유효 지연이 ≈1.5 s), 단일 (τ, a) 쌍은 집중 근사이다. 사다리 경계와 계산값(8.8 m)의 일치는 보정의 자기일관성 확인이지 독립 검증이 아니며, 별도 제동 실험은 (τ, a)가 체제 의존적임을 보여주는 독립 관측이다(제5장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공칭 파라미터로 역산한 모델 유도 상한 v_max≈3.89 m/s를 하회한다 — 즉 3.0 m/s는 모델의 해석 결과가 아니라 모델 상한보다 낮게 선택한 보수적 정책값이며(d_margin=0), 모델이 3.0 m/s 체제에서 필요 거리를 과소추정함(예측 5.79 m 대 실측 경계 7~8 m)은 제5장 3절의 실측이 보정한다. 상한은 Autoware 속도 상한 후보 입력 토픽으로 전달한다(건강도 비례 캡은 구현·미사용 — 표 4-5). 이 전달 경로에서 구현 결함 2건을 실측으로 발견·수정했다. 첫째, 상한 출력 토픽 직접 발행은 셀렉터와 경합해 재출발을 차단한다 — 중재자(arbiter)의 입력측에 개입해야 한다. 둘째, 발행 메시지 타입이 평가 스택 버전의 구독 타입과 다르면 같은 토픽 이름에서도 무음으로 폐기된다 — 본 캠페인 실행분에서 이 결함으로 명시적 상한이 실제 전달되지 않았음이 사후 점검에서 확인되었고(발행 로그와 실차 속도의 불일치로 발견), 타입 정합과 이동 중 주기 재발행으로 수정한 뒤 전달·준수를 실측 재확인했다(제5장 8절). 인터페이스 계약은 토픽 이름이 아니라 메시지 타입까지이며, "발행 로그"는 "전달"의 증거가 아니다(제6장 4절).</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HY신명조" w:hAnsi="HY신명조" w:eastAsia="HY신명조"/>
          <w:b/>
          <w:sz w:val="19"/>
        </w:rPr>
        <w:t xml:space="preserve">그림 4-1. </w:t>
      </w:r>
      <w:r>
        <w:rPr>
          <w:rFonts w:ascii="HY신명조" w:hAnsi="HY신명조" w:eastAsia="HY신명조"/>
          <w:b w:val="0"/>
          <w:sz w:val="19"/>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12" w:lineRule="auto" w:before="40" w:after="0"/>
      </w:pPr>
      <w:r>
        <w:rPr>
          <w:rFonts w:ascii="HY신명조" w:hAnsi="HY신명조" w:eastAsia="HY신명조"/>
          <w:b/>
          <w:sz w:val="19"/>
        </w:rPr>
        <w:t xml:space="preserve">표 4-1. </w:t>
      </w:r>
      <w:r>
        <w:rPr>
          <w:rFonts w:ascii="HY신명조" w:hAnsi="HY신명조" w:eastAsia="HY신명조"/>
          <w:b w:val="0"/>
          <w:sz w:val="19"/>
        </w:rPr>
        <w:t>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절제 실험에서는 고장 파형 난수까지 시드로 고정하여(FAULT_SEED) 동일 시드의 4팔이 동일한 고장 실현을 겪게 했다.</w:t>
      </w:r>
    </w:p>
    <w:p>
      <w:pPr>
        <w:keepNext/>
        <w:spacing w:line="312" w:lineRule="auto" w:before="40" w:after="0"/>
      </w:pPr>
      <w:r>
        <w:rPr>
          <w:rFonts w:ascii="HY신명조" w:hAnsi="HY신명조" w:eastAsia="HY신명조"/>
          <w:b/>
          <w:sz w:val="19"/>
        </w:rPr>
        <w:t xml:space="preserve">표 4-2. </w:t>
      </w:r>
      <w:r>
        <w:rPr>
          <w:rFonts w:ascii="HY신명조" w:hAnsi="HY신명조" w:eastAsia="HY신명조"/>
          <w:b w:val="0"/>
          <w:sz w:val="19"/>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gb</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imb</w:t>
            </w:r>
          </w:p>
        </w:tc>
        <w:tc>
          <w:tcPr>
            <w:tcW w:type="dxa" w:w="2126"/>
          </w:tcPr>
          <w:p>
            <w:pPr>
              <w:keepNext/>
              <w:spacing w:line="288" w:lineRule="auto" w:before="20" w:after="20"/>
              <w:jc w:val="left"/>
            </w:pPr>
            <w:r/>
            <w:r>
              <w:rPr>
                <w:rFonts w:ascii="HY신명조" w:hAnsi="HY신명조" w:eastAsia="HY신명조"/>
                <w:b w:val="0"/>
                <w:sz w:val="19"/>
              </w:rPr>
              <w:t>IMU 자이로 바이어스</w:t>
            </w:r>
          </w:p>
        </w:tc>
        <w:tc>
          <w:tcPr>
            <w:tcW w:type="dxa" w:w="2126"/>
          </w:tcPr>
          <w:p>
            <w:pPr>
              <w:keepNext/>
              <w:spacing w:line="288" w:lineRule="auto" w:before="20" w:after="20"/>
              <w:jc w:val="left"/>
            </w:pPr>
            <w:r/>
            <w:r>
              <w:rPr>
                <w:rFonts w:ascii="HY신명조" w:hAnsi="HY신명조" w:eastAsia="HY신명조"/>
                <w:b w:val="0"/>
                <w:sz w:val="19"/>
              </w:rPr>
              <w:t>계단형 고정 편향</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imd</w:t>
            </w:r>
          </w:p>
        </w:tc>
        <w:tc>
          <w:tcPr>
            <w:tcW w:type="dxa" w:w="2126"/>
          </w:tcPr>
          <w:p>
            <w:pPr>
              <w:keepNext/>
              <w:spacing w:line="288" w:lineRule="auto" w:before="20" w:after="20"/>
              <w:jc w:val="left"/>
            </w:pPr>
            <w:r/>
            <w:r>
              <w:rPr>
                <w:rFonts w:ascii="HY신명조" w:hAnsi="HY신명조" w:eastAsia="HY신명조"/>
                <w:b w:val="0"/>
                <w:sz w:val="19"/>
              </w:rPr>
              <w:t>IMU 바이어스 드리프트</w:t>
            </w:r>
          </w:p>
        </w:tc>
        <w:tc>
          <w:tcPr>
            <w:tcW w:type="dxa" w:w="2126"/>
          </w:tcPr>
          <w:p>
            <w:pPr>
              <w:keepNext/>
              <w:spacing w:line="288" w:lineRule="auto" w:before="20" w:after="20"/>
              <w:jc w:val="left"/>
            </w:pPr>
            <w:r/>
            <w:r>
              <w:rPr>
                <w:rFonts w:ascii="HY신명조" w:hAnsi="HY신명조" w:eastAsia="HY신명조"/>
                <w:b w:val="0"/>
                <w:sz w:val="19"/>
              </w:rPr>
              <w:t>시간 비례 램프</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spacing w:line="288" w:lineRule="auto" w:before="20" w:after="20"/>
              <w:jc w:val="left"/>
            </w:pPr>
            <w:r/>
            <w:r>
              <w:rPr>
                <w:rFonts w:ascii="HY신명조" w:hAnsi="HY신명조" w:eastAsia="HY신명조"/>
                <w:b w:val="0"/>
                <w:sz w:val="19"/>
              </w:rPr>
              <w:t>gf</w:t>
            </w:r>
          </w:p>
        </w:tc>
        <w:tc>
          <w:tcPr>
            <w:tcW w:type="dxa" w:w="2126"/>
          </w:tcPr>
          <w:p>
            <w:pPr>
              <w:spacing w:line="288" w:lineRule="auto" w:before="20" w:after="20"/>
              <w:jc w:val="left"/>
            </w:pPr>
            <w:r/>
            <w:r>
              <w:rPr>
                <w:rFonts w:ascii="HY신명조" w:hAnsi="HY신명조" w:eastAsia="HY신명조"/>
                <w:b w:val="0"/>
                <w:sz w:val="19"/>
              </w:rPr>
              <w:t>GNSS 두절</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312" w:lineRule="auto" w:before="0" w:after="0"/>
      </w:pPr>
      <w:r>
        <w:rPr>
          <w:rFonts w:ascii="HY신명조" w:hAnsi="HY신명조" w:eastAsia="HY신명조"/>
          <w:b w:val="0"/>
          <w:sz w:val="19"/>
        </w:rPr>
        <w:t>주: 본 캠페인 매트릭스는 cf·cn·lf·lso·lcl·gn·imn(×mid/high)을 사용했다 — low 수준은 중강도조차 감내 구간인 유형이 있어 예산을 mid/high에 집중했고 미실행을 명시한다. 항법 4종(gb·gf·imb·imd)은 동일 매트릭스 구조의 보조 캠페인으로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 각 고장의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HY신명조" w:hAnsi="HY신명조" w:eastAsia="HY신명조"/>
          <w:b/>
          <w:sz w:val="19"/>
        </w:rPr>
        <w:t xml:space="preserve">그림 4-2. </w:t>
      </w:r>
      <w:r>
        <w:rPr>
          <w:rFonts w:ascii="HY신명조" w:hAnsi="HY신명조" w:eastAsia="HY신명조"/>
          <w:b w:val="0"/>
          <w:sz w:val="19"/>
        </w:rPr>
        <w:t>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GNSS 고장 파형 — 백색 노이즈(gn)·상관 편향(gb)·두절(gf). (e) 자이로 고장 파형 — 백색 노이즈(imn)·고정 편향(imb)·편향 램프(imd). 패널 파라미터는 표 4-2의 심각도 정의에 대응하는 주입기 원값이며(대표값은 표 4-5), 두절(gf)·사망형에는 심각도 구분이 없다.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1,131이다(계획 1,170 대비 부족 39는 전량 lcl-high — 회계는 표 4-3).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keepNext/>
        <w:spacing w:line="312" w:lineRule="auto" w:before="40" w:after="0"/>
      </w:pPr>
      <w:r>
        <w:rPr>
          <w:rFonts w:ascii="HY신명조" w:hAnsi="HY신명조" w:eastAsia="HY신명조"/>
          <w:b/>
          <w:sz w:val="19"/>
        </w:rPr>
        <w:t xml:space="preserve">표 4-3. </w:t>
      </w:r>
      <w:r>
        <w:rPr>
          <w:rFonts w:ascii="HY신명조" w:hAnsi="HY신명조" w:eastAsia="HY신명조"/>
          <w:b w:val="0"/>
          <w:sz w:val="19"/>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블록</w:t>
            </w:r>
          </w:p>
        </w:tc>
        <w:tc>
          <w:tcPr>
            <w:tcW w:type="dxa" w:w="2126"/>
          </w:tcPr>
          <w:p>
            <w:pPr>
              <w:keepNext/>
              <w:spacing w:line="288" w:lineRule="auto" w:before="20" w:after="20"/>
              <w:jc w:val="center"/>
            </w:pPr>
            <w:r/>
            <w:r>
              <w:rPr>
                <w:rFonts w:ascii="HY신명조" w:hAnsi="HY신명조" w:eastAsia="HY신명조"/>
                <w:b/>
                <w:sz w:val="19"/>
              </w:rPr>
              <w:t>계획</w:t>
            </w:r>
          </w:p>
        </w:tc>
        <w:tc>
          <w:tcPr>
            <w:tcW w:type="dxa" w:w="2126"/>
          </w:tcPr>
          <w:p>
            <w:pPr>
              <w:keepNext/>
              <w:spacing w:line="288" w:lineRule="auto" w:before="20" w:after="20"/>
              <w:jc w:val="center"/>
            </w:pPr>
            <w:r/>
            <w:r>
              <w:rPr>
                <w:rFonts w:ascii="HY신명조" w:hAnsi="HY신명조" w:eastAsia="HY신명조"/>
                <w:b/>
                <w:sz w:val="19"/>
              </w:rPr>
              <w:t>최종 유효</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141</w:t>
            </w:r>
          </w:p>
        </w:tc>
        <w:tc>
          <w:tcPr>
            <w:tcW w:type="dxa" w:w="2126"/>
          </w:tcPr>
          <w:p>
            <w:pPr>
              <w:keepNext/>
              <w:spacing w:line="288" w:lineRule="auto" w:before="20" w:after="20"/>
              <w:jc w:val="left"/>
            </w:pPr>
            <w:r/>
            <w:r>
              <w:rPr>
                <w:rFonts w:ascii="HY신명조" w:hAnsi="HY신명조" w:eastAsia="HY신명조"/>
                <w:b w:val="0"/>
                <w:sz w:val="19"/>
              </w:rPr>
              <w:t>고강도 39 부족 — 최종 파라미터 배치가 51행에서 중단(공격적 교통 30 전량·방어적 9 미실행). 후속 재실행 60런은 교통 스폰 소거(밀도 조건 불성립)와 트리거 이탈로 채택 기준 미달</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1행 CARLA_DIED — 동일 조건 재실행으로 대체</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nf</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오발동 대조</w:t>
            </w:r>
          </w:p>
        </w:tc>
      </w:tr>
      <w:tr>
        <w:trPr>
          <w:cantSplit/>
        </w:trPr>
        <w:tc>
          <w:tcPr>
            <w:tcW w:type="dxa" w:w="2126"/>
          </w:tcPr>
          <w:p>
            <w:pPr>
              <w:spacing w:line="288" w:lineRule="auto" w:before="20" w:after="20"/>
              <w:jc w:val="left"/>
            </w:pPr>
            <w:r/>
            <w:r>
              <w:rPr>
                <w:rFonts w:ascii="HY신명조" w:hAnsi="HY신명조" w:eastAsia="HY신명조"/>
                <w:b w:val="0"/>
                <w:sz w:val="19"/>
              </w:rPr>
              <w:t>계</w:t>
            </w:r>
          </w:p>
        </w:tc>
        <w:tc>
          <w:tcPr>
            <w:tcW w:type="dxa" w:w="2126"/>
          </w:tcPr>
          <w:p>
            <w:pPr>
              <w:spacing w:line="288" w:lineRule="auto" w:before="20" w:after="20"/>
              <w:jc w:val="left"/>
            </w:pPr>
            <w:r/>
            <w:r>
              <w:rPr>
                <w:rFonts w:ascii="HY신명조" w:hAnsi="HY신명조" w:eastAsia="HY신명조"/>
                <w:b w:val="0"/>
                <w:sz w:val="19"/>
              </w:rPr>
              <w:t>1,170</w:t>
            </w:r>
          </w:p>
        </w:tc>
        <w:tc>
          <w:tcPr>
            <w:tcW w:type="dxa" w:w="2126"/>
          </w:tcPr>
          <w:p>
            <w:pPr>
              <w:spacing w:line="288" w:lineRule="auto" w:before="20" w:after="20"/>
              <w:jc w:val="left"/>
            </w:pPr>
            <w:r/>
            <w:r>
              <w:rPr>
                <w:rFonts w:ascii="HY신명조" w:hAnsi="HY신명조" w:eastAsia="HY신명조"/>
                <w:b w:val="0"/>
                <w:sz w:val="19"/>
              </w:rPr>
              <w:t>1,131</w:t>
            </w:r>
          </w:p>
        </w:tc>
        <w:tc>
          <w:tcPr>
            <w:tcW w:type="dxa" w:w="2126"/>
          </w:tcPr>
          <w:p>
            <w:pPr>
              <w:spacing w:line="288" w:lineRule="auto" w:before="20" w:after="20"/>
              <w:jc w:val="left"/>
            </w:pPr>
            <w:r/>
            <w:r>
              <w:rPr>
                <w:rFonts w:ascii="HY신명조" w:hAnsi="HY신명조" w:eastAsia="HY신명조"/>
                <w:b w:val="0"/>
                <w:sz w:val="19"/>
              </w:rPr>
            </w:r>
          </w:p>
        </w:tc>
      </w:tr>
    </w:tbl>
    <w:p>
      <w:pPr>
        <w:spacing w:line="312" w:lineRule="auto" w:before="0" w:after="0"/>
      </w:pPr>
      <w:r>
        <w:rPr>
          <w:rFonts w:ascii="HY신명조" w:hAnsi="HY신명조" w:eastAsia="HY신명조"/>
          <w:b w:val="0"/>
          <w:sz w:val="19"/>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보행자는 보도가 아닌 주행 차선 우측 끝(+0.5 m)에서 스폰되어 횡단을 시작해 가드레일 밖 스폰에 의한 조우 불성립을 제거했고, (ii) 1초 주기 재명령과 보행 속도 검증(&gt;1 m/s)으로 정지 마네킹 조우를 차단했으며, (iii) 트리거는 경로 길목의 고정 지점 통과 방식(절제 실험은 행동 독립 시간 트리거)을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4-3).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좌표·속도·간격을 케이스별 CSV로 남긴다.</w:t>
      </w:r>
    </w:p>
    <w:p>
      <w:pPr>
        <w:keepNext/>
        <w:spacing w:line="240" w:lineRule="auto"/>
        <w:jc w:val="center"/>
      </w:pPr>
      <w:r>
        <w:drawing>
          <wp:inline xmlns:a="http://schemas.openxmlformats.org/drawingml/2006/main" xmlns:pic="http://schemas.openxmlformats.org/drawingml/2006/picture">
            <wp:extent cx="5040000" cy="2506304"/>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506304"/>
                    </a:xfrm>
                    <a:prstGeom prst="rect"/>
                  </pic:spPr>
                </pic:pic>
              </a:graphicData>
            </a:graphic>
          </wp:inline>
        </w:drawing>
      </w:r>
    </w:p>
    <w:p>
      <w:pPr>
        <w:keepLines/>
        <w:spacing w:line="312" w:lineRule="auto" w:before="40" w:after="0"/>
      </w:pPr>
      <w:r>
        <w:rPr>
          <w:rFonts w:ascii="HY신명조" w:hAnsi="HY신명조" w:eastAsia="HY신명조"/>
          <w:b/>
          <w:sz w:val="19"/>
        </w:rPr>
        <w:t xml:space="preserve">그림 4-3. </w:t>
      </w:r>
      <w:r>
        <w:rPr>
          <w:rFonts w:ascii="HY신명조" w:hAnsi="HY신명조" w:eastAsia="HY신명조"/>
          <w:b w:val="0"/>
          <w:sz w:val="19"/>
        </w:rPr>
        <w:t>보행자 돌발 조우 주입 프로토콜. 고장 주입(시드 고정 파형) → 섀도 감지 t_detect(전 팔 공통) → t_detect+3 s 행동 독립 발사가 전방 8 m·차선 우측 끝 +0.5 m(횡 지터 ±0.2 m)의 표준화 상대 기하로 보행자(12 m 횡단 후 정지)를 스폰한다.</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사망해 간격 기록이 소실된 사례(5절) 이후 리스너에 워치독 재시작을 두어 기록 채널의 생존을 보장했고, 8 m 조우 비교에서는 비교하려는 상태의 성립을 확인한 뒤 길목 트리거를 활성화하는 무장(arm) 방식으로 상태 불일치 조우의 혼입을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(v) 용량-반응 실험: 상한 전달 결함 수정 후, 상한 {4.2, 3.6, 3.0} m/s × 스폰 거리 {6, 7, 8, 9} m × 10시드(절제 확장 회차 S12~S21 재사용, gn-mid·주입 25 s 고정) = 120런. 발사는 시간 트리거가 아니라 정착 트리거 — 감독자가 MRM_MOVE 상태이고 실측 속도가 상한별 밴드 안에 1.0 s 연속(변동폭 0.25 m/s 이하) 체류한 순간 전방 D m 스폰 — 로, "상한이 실제 성립한 조우"를 트리거 수준에서 보장한다. 세 상한 팔은 동일 소프트웨어 경로(외부 속도 상한 인터페이스)에서 값만 다르다(제5장 8절). 판정은 5절의 원장 기준이며, 원장 도입 전 실행분의 예외는 제5장 3절에 명시한다.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4-4). 설계는 외부 전문가 2회 검토를 반영해 확정했다.</w:t>
      </w:r>
    </w:p>
    <w:p>
      <w:pPr>
        <w:keepNext/>
        <w:spacing w:line="312" w:lineRule="auto" w:before="40" w:after="0"/>
      </w:pPr>
      <w:r>
        <w:rPr>
          <w:rFonts w:ascii="HY신명조" w:hAnsi="HY신명조" w:eastAsia="HY신명조"/>
          <w:b/>
          <w:sz w:val="19"/>
        </w:rPr>
        <w:t xml:space="preserve">표 4-4. </w:t>
      </w:r>
      <w:r>
        <w:rPr>
          <w:rFonts w:ascii="HY신명조" w:hAnsi="HY신명조" w:eastAsia="HY신명조"/>
          <w:b w:val="0"/>
          <w:sz w:val="19"/>
        </w:rPr>
        <w:t>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312" w:lineRule="auto" w:before="0" w:after="0"/>
      </w:pPr>
      <w:r>
        <w:rPr>
          <w:rFonts w:ascii="HY신명조" w:hAnsi="HY신명조" w:eastAsia="HY신명조"/>
          <w:b w:val="0"/>
          <w:sz w:val="19"/>
        </w:rPr>
        <w:t>A4의 명시적 상한은 사후 점검에서 계획 계층 미전달로 판명되었다(제5장 5·8절) — A3·A4는 사실상 동일 정책이며, 사전 지정 대비의 명칭은 원문대로 유지한다.</w:t>
      </w:r>
    </w:p>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1차 회차 시드 10개(S02~S11)와 동일 규칙의 확장 회차 10개(S12~S21) — 총 20시드(S01은 개발용 사전 제외) — 를 4팔이 공유하며, 각 시드는 고장 시점·보행 속도·횡방향 지터·CARLA·고장 파형·보행자 난수를 고정한다(구체 값은 표 4-5) — 고장 파형까지 동일하므로 팔 간 차이는 대응 정책뿐이다. (ii) 행동 독립 발사: 4팔 모두 섀도 감지 기준 t_detect+3.0 s에 발사하며, A1도 감지기를 로그 전용으로 기동하므로 발사 시각의 정의가 동일하다 — 이 시점은 대피 팔의 감속 완료 전 과도구간으로, 본 절제는 의도적으로 대피 정책의 가장 불리한 시간창을 조준한다. (iii) 자리 균형 순서: 회차당 10시드×4팔의 실행 순서를 팔별 자리 균형으로 제약 랜덤화해 실행 전 동결했다(1차·확장 회차 동일 규칙). (iv) 시뮬레이터 실패만 동일 시드로 재실행했다(절제 1차 회차에서 S05 2회). 본 실행 전 스모크 케이스로 4팔의 고장 파형 체크섬 일치(첫 20샘플), 감지 시점 차이 Δt_detect &lt; 0.3 s, 발사 기하 8±0.2 m, A1 무결성(감지기 on/off의 속도 프로파일 차이 &lt; 0.05 m/s RMS)을 검증한 뒤 회차당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exact McNemar 검정으로 적용한다(소표본에서 exact McNemar의 p값은 이산적으로 변한다: 불일치쌍이 한 방향으로만 발생해도 5:0은 p=0.0625로 유의하지 않으며, 6:0에서 처음 0.05를 하회한다(p=0.03125)). A1↔A2, A2↔A3는 기술적·기전 분석으로만 다루고, 비쌍대 보조 비교에는 Fisher 정확검정을 쓴다. 용량-반응 실험(제5장 8절)의 1차 종결점은 8 m 스폰의 4.2↔3.0 m/s 쌍대 충돌 차이(exact McNemar) 하나로 자료 수집 전에 계획서로 사전 지정했고(채택 규칙 포함, 저장소 커밋으로 고정), 나머지 거리·상한 조합은 경계 특성화(기술통계·Wilson CI)로만 보고한다. 조우 성립의 전조건 검증(조작 점검)으로, 420 s 내 미발사 또는 조우 첫 틱 속도가 밴드 밖(±0.15 m/s 허용)인 런은 결과 확인과 무관하게 기각·동일 조건 재실행한다(MANIPULATION_FAIL). 노출 지표는 세 가지를 정의한다: 고장 상태 주행거리 deg_dist(고장 주입부터 MRC 도달까지의 이동 거리), 고정 지평 노출 E20(조우 후 20 s의 이동 노출 ∫v dt, 물리 틱 적분 — 팔 간 관찰 시간을 동일하게 맞춘 비교용), 차선 반환 시간 T_lat-clear(조우 시점부터 주행차선 중심에서 횡방향 1.8 m 초과 이탈까지, 물리 틱 기준). T_lat-clear의 분석 규칙(제5장 5절의 반환 분석은 1차 회차 S02~S11 대피 팔 20런에 대한 탐색적 분석으로 A3·A4를 합산한다 — 확장 회차는 반환 계측을 수집하지 않았고 팔별 분해는 표본이 부족하다): 충돌은 차선 반환의 경쟁(실패) 사건으로 별도 보고하고 시간분포에 포함하지 않으며, 시간분포는 무충돌 대피 케이스에 조건부로 산출하고 관찰 종료만 우측 중도절단하며,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4-5에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9"/>
        </w:rPr>
        <w:t xml:space="preserve">표 4-5. </w:t>
      </w:r>
      <w:r>
        <w:rPr>
          <w:rFonts w:ascii="HY신명조" w:hAnsi="HY신명조" w:eastAsia="HY신명조"/>
          <w:b w:val="0"/>
          <w:sz w:val="19"/>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v_max≈3.89 m/s 역산 하회; 건강도 비례 캡은 구현·미사용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 사다리 경계에 보정한 공칭값 — 설계용 근사식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비용함수 가중치</w:t>
            </w:r>
          </w:p>
        </w:tc>
        <w:tc>
          <w:tcPr>
            <w:tcW w:type="dxa" w:w="2835"/>
          </w:tcPr>
          <w:p>
            <w:pPr>
              <w:keepNext/>
              <w:spacing w:line="288" w:lineRule="auto" w:before="20" w:after="20"/>
              <w:jc w:val="left"/>
            </w:pPr>
            <w:r/>
            <w:r>
              <w:rPr>
                <w:rFonts w:ascii="HY신명조" w:hAnsi="HY신명조" w:eastAsia="HY신명조"/>
                <w:b w:val="0"/>
                <w:sz w:val="19"/>
              </w:rPr>
              <w:t>w_t=7.0/s · w_tl=200 · w_sec=500 · w_loc=14/s</w:t>
            </w:r>
          </w:p>
        </w:tc>
        <w:tc>
          <w:tcPr>
            <w:tcW w:type="dxa" w:w="2835"/>
          </w:tcPr>
          <w:p>
            <w:pPr>
              <w:keepNext/>
              <w:spacing w:line="288" w:lineRule="auto" w:before="20" w:after="20"/>
              <w:jc w:val="left"/>
            </w:pPr>
            <w:r/>
            <w:r>
              <w:rPr>
                <w:rFonts w:ascii="HY신명조" w:hAnsi="HY신명조" w:eastAsia="HY신명조"/>
                <w:b w:val="0"/>
                <w:sz w:val="19"/>
              </w:rPr>
              <w:t>식 (3-8); 신호등당 대기 기대 15 s, 갓길 MRC 벌점 175(저하 주행 약 25 s 상당)</w:t>
            </w:r>
          </w:p>
        </w:tc>
      </w:tr>
      <w:tr>
        <w:trPr>
          <w:cantSplit/>
        </w:trPr>
        <w:tc>
          <w:tcPr>
            <w:tcW w:type="dxa" w:w="2835"/>
          </w:tcPr>
          <w:p>
            <w:pPr>
              <w:keepNext/>
              <w:spacing w:line="288" w:lineRule="auto" w:before="20" w:after="20"/>
              <w:jc w:val="left"/>
            </w:pPr>
            <w:r/>
            <w:r>
              <w:rPr>
                <w:rFonts w:ascii="HY신명조" w:hAnsi="HY신명조" w:eastAsia="HY신명조"/>
                <w:b w:val="0"/>
                <w:sz w:val="19"/>
              </w:rPr>
              <w:t>대피 후보 하드 제약</w:t>
            </w:r>
          </w:p>
        </w:tc>
        <w:tc>
          <w:tcPr>
            <w:tcW w:type="dxa" w:w="2835"/>
          </w:tcPr>
          <w:p>
            <w:pPr>
              <w:keepNext/>
              <w:spacing w:line="288" w:lineRule="auto" w:before="20" w:after="20"/>
              <w:jc w:val="left"/>
            </w:pPr>
            <w:r/>
            <w:r>
              <w:rPr>
                <w:rFonts w:ascii="HY신명조" w:hAnsi="HY신명조" w:eastAsia="HY신명조"/>
                <w:b w:val="0"/>
                <w:sz w:val="19"/>
              </w:rPr>
              <w:t>최소 접근거리 25 m · 갓길 최소 길이 7.0 m</w:t>
            </w:r>
          </w:p>
        </w:tc>
        <w:tc>
          <w:tcPr>
            <w:tcW w:type="dxa" w:w="2835"/>
          </w:tcPr>
          <w:p>
            <w:pPr>
              <w:keepNext/>
              <w:spacing w:line="288" w:lineRule="auto" w:before="20" w:after="20"/>
              <w:jc w:val="left"/>
            </w:pPr>
            <w:r/>
            <w:r>
              <w:rPr>
                <w:rFonts w:ascii="HY신명조" w:hAnsi="HY신명조" w:eastAsia="HY신명조"/>
                <w:b w:val="0"/>
                <w:sz w:val="19"/>
              </w:rPr>
              <w:t>미달 후보는 비용 무한대(제3장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실측(틱 계측 조우 런 n=90): 0.5 s 창 중앙 2.46(1.2~3.0)·1 s 창 중앙 2.50 m/s — 가속 과도는 제6장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절제 시드</w:t>
            </w:r>
          </w:p>
        </w:tc>
        <w:tc>
          <w:tcPr>
            <w:tcW w:type="dxa" w:w="2835"/>
          </w:tcPr>
          <w:p>
            <w:pPr>
              <w:keepNext/>
              <w:spacing w:line="288" w:lineRule="auto" w:before="20" w:after="20"/>
              <w:jc w:val="left"/>
            </w:pPr>
            <w:r/>
            <w:r>
              <w:rPr>
                <w:rFonts w:ascii="HY신명조" w:hAnsi="HY신명조" w:eastAsia="HY신명조"/>
                <w:b w:val="0"/>
                <w:sz w:val="19"/>
              </w:rPr>
              <w:t>S02~S21 (20개, 4팔 쌍대 공유;</w:t>
            </w:r>
          </w:p>
          <w:p>
            <w:pPr>
              <w:keepNext/>
              <w:spacing w:line="288" w:lineRule="auto" w:before="20" w:after="20"/>
              <w:jc w:val="left"/>
            </w:pPr>
            <w:r>
              <w:rPr>
                <w:rFonts w:ascii="HY신명조" w:hAnsi="HY신명조" w:eastAsia="HY신명조"/>
                <w:b w:val="0"/>
                <w:sz w:val="19"/>
              </w:rPr>
              <w:t>S01은 개발용 제외)</w:t>
            </w:r>
          </w:p>
        </w:tc>
        <w:tc>
          <w:tcPr>
            <w:tcW w:type="dxa" w:w="2835"/>
          </w:tcPr>
          <w:p>
            <w:pPr>
              <w:keepNext/>
              <w:spacing w:line="288" w:lineRule="auto" w:before="20" w:after="20"/>
              <w:jc w:val="left"/>
            </w:pPr>
            <w:r/>
            <w:r>
              <w:rPr>
                <w:rFonts w:ascii="HY신명조" w:hAnsi="HY신명조" w:eastAsia="HY신명조"/>
                <w:b w:val="0"/>
                <w:sz w:val="19"/>
              </w:rPr>
              <w:t>고장 시점 11~44 s·보행 2.5/3.0 m/s 블록·횡 지터·</w:t>
            </w:r>
          </w:p>
          <w:p>
            <w:pPr>
              <w:keepNext/>
              <w:spacing w:line="288" w:lineRule="auto" w:before="20" w:after="20"/>
              <w:jc w:val="left"/>
            </w:pPr>
            <w:r>
              <w:rPr>
                <w:rFonts w:ascii="HY신명조" w:hAnsi="HY신명조" w:eastAsia="HY신명조"/>
                <w:b w:val="0"/>
                <w:sz w:val="19"/>
              </w:rPr>
              <w:t>CARLA·고장 파형(FAULT_SEED)·보행자 난수 고정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keepNext/>
              <w:spacing w:line="288" w:lineRule="auto" w:before="20" w:after="20"/>
              <w:jc w:val="left"/>
            </w:pPr>
            <w:r/>
            <w:r>
              <w:rPr>
                <w:rFonts w:ascii="HY신명조" w:hAnsi="HY신명조" w:eastAsia="HY신명조"/>
                <w:b w:val="0"/>
                <w:sz w:val="19"/>
              </w:rPr>
              <w:t>용량-반응 발사 밴드</w:t>
            </w:r>
          </w:p>
        </w:tc>
        <w:tc>
          <w:tcPr>
            <w:tcW w:type="dxa" w:w="2835"/>
          </w:tcPr>
          <w:p>
            <w:pPr>
              <w:keepNext/>
              <w:spacing w:line="288" w:lineRule="auto" w:before="20" w:after="20"/>
              <w:jc w:val="left"/>
            </w:pPr>
            <w:r/>
            <w:r>
              <w:rPr>
                <w:rFonts w:ascii="HY신명조" w:hAnsi="HY신명조" w:eastAsia="HY신명조"/>
                <w:b w:val="0"/>
                <w:sz w:val="19"/>
              </w:rPr>
              <w:t>4.2→[3.85, 4.45] · 3.6→[3.25, 3.75] ·</w:t>
            </w:r>
          </w:p>
          <w:p>
            <w:pPr>
              <w:keepNext/>
              <w:spacing w:line="288" w:lineRule="auto" w:before="20" w:after="20"/>
              <w:jc w:val="left"/>
            </w:pPr>
            <w:r>
              <w:rPr>
                <w:rFonts w:ascii="HY신명조" w:hAnsi="HY신명조" w:eastAsia="HY신명조"/>
                <w:b w:val="0"/>
                <w:sz w:val="19"/>
              </w:rPr>
              <w:t>3.0→[2.65, 3.15] m/s, 1.0 s 연속·변동 ≤0.25</w:t>
            </w:r>
          </w:p>
        </w:tc>
        <w:tc>
          <w:tcPr>
            <w:tcW w:type="dxa" w:w="2835"/>
          </w:tcPr>
          <w:p>
            <w:pPr>
              <w:keepNext/>
              <w:spacing w:line="288" w:lineRule="auto" w:before="20" w:after="20"/>
              <w:jc w:val="left"/>
            </w:pPr>
            <w:r/>
            <w:r>
              <w:rPr>
                <w:rFonts w:ascii="HY신명조" w:hAnsi="HY신명조" w:eastAsia="HY신명조"/>
                <w:b w:val="0"/>
                <w:sz w:val="19"/>
              </w:rPr>
              <w:t>정착 트리거; 스무서 추종 오프셋(−0.2 내외) 반영, 상호 서로소 (제5장 8절)</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검출률을 보였고, 중앙 감지 지연은 하드 페일(cf·lf) 약 1.0 s(원장 재계측)·열화형 2.1~5.0 s였다.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보조 캠페인으로 평가했다: 유효 611/630 케이스의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유형에 따라 갈렸다: GNSS 계열은 컴포트 정지, IMU 계열은 전량 급정지 — 컴포트 정지도 궤적 추종이므로 회전 감각이 오염되면 실행 계층이 급정지로 강등한다.</w:t>
      </w:r>
    </w:p>
    <w:p>
      <w:pPr>
        <w:keepNext/>
        <w:spacing w:line="312" w:lineRule="auto" w:before="40" w:after="0"/>
      </w:pPr>
      <w:r>
        <w:rPr>
          <w:rFonts w:ascii="HY신명조" w:hAnsi="HY신명조" w:eastAsia="HY신명조"/>
          <w:b/>
          <w:sz w:val="19"/>
        </w:rPr>
        <w:t xml:space="preserve">표 5-1. </w:t>
      </w:r>
      <w:r>
        <w:rPr>
          <w:rFonts w:ascii="HY신명조" w:hAnsi="HY신명조" w:eastAsia="HY신명조"/>
          <w:b w:val="0"/>
          <w:sz w:val="19"/>
        </w:rPr>
        <w:t>감지 성능: 고장 조건별 검출률과 중앙 감지 지연 (본 캠페인 및 보조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0.98*</w:t>
            </w:r>
          </w:p>
        </w:tc>
      </w:tr>
      <w:tr>
        <w:trPr>
          <w:cantSplit/>
        </w:trP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rPr>
          <w:cantSplit/>
        </w:trP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rPr>
          <w:cantSplit/>
        </w:trP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rPr>
          <w:cantSplit/>
        </w:trP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rPr>
          <w:cantSplit/>
        </w:trP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rPr>
          <w:cantSplit/>
        </w:trP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rPr>
          <w:cantSplit/>
        </w:trP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rPr>
          <w:cantSplit/>
        </w:trP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rPr>
          <w:cantSplit/>
        </w:trP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1.00*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9"/>
              </w:rPr>
              <w:t>gb† GNSS 상관 편향</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2.3</w:t>
            </w:r>
          </w:p>
        </w:tc>
      </w:tr>
      <w:tr>
        <w:trPr>
          <w:cantSplit/>
        </w:trPr>
        <w:tc>
          <w:tcPr>
            <w:tcW w:type="dxa" w:w="1701"/>
          </w:tcPr>
          <w:p>
            <w:pPr>
              <w:spacing w:line="288" w:lineRule="auto" w:before="20" w:after="20"/>
              <w:jc w:val="left"/>
            </w:pPr>
            <w:r/>
            <w:r>
              <w:rPr>
                <w:rFonts w:ascii="HY신명조" w:hAnsi="HY신명조" w:eastAsia="HY신명조"/>
                <w:b w:val="0"/>
                <w:sz w:val="19"/>
              </w:rPr>
              <w:t>gb† GNSS 상관 편향</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3.0</w:t>
            </w:r>
          </w:p>
        </w:tc>
      </w:tr>
      <w:tr>
        <w:trPr>
          <w:cantSplit/>
        </w:trPr>
        <w:tc>
          <w:tcPr>
            <w:tcW w:type="dxa" w:w="1701"/>
          </w:tcPr>
          <w:p>
            <w:pPr>
              <w:spacing w:line="288" w:lineRule="auto" w:before="20" w:after="20"/>
              <w:jc w:val="left"/>
            </w:pPr>
            <w:r/>
            <w:r>
              <w:rPr>
                <w:rFonts w:ascii="HY신명조" w:hAnsi="HY신명조" w:eastAsia="HY신명조"/>
                <w:b w:val="0"/>
                <w:sz w:val="19"/>
              </w:rPr>
              <w:t>gf† GNSS 두절</w:t>
            </w:r>
          </w:p>
        </w:tc>
        <w:tc>
          <w:tcPr>
            <w:tcW w:type="dxa" w:w="1701"/>
          </w:tcPr>
          <w:p>
            <w:pPr>
              <w:spacing w:line="288" w:lineRule="auto" w:before="20" w:after="20"/>
              <w:jc w:val="left"/>
            </w:pPr>
            <w:r/>
            <w:r>
              <w:rPr>
                <w:rFonts w:ascii="HY신명조" w:hAnsi="HY신명조" w:eastAsia="HY신명조"/>
                <w:b w:val="0"/>
                <w:sz w:val="19"/>
              </w:rPr>
              <w:t>-</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9"/>
              </w:rPr>
              <w:t>imb† IMU 자이로 바이어스</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rPr>
          <w:cantSplit/>
        </w:trPr>
        <w:tc>
          <w:tcPr>
            <w:tcW w:type="dxa" w:w="1701"/>
          </w:tcPr>
          <w:p>
            <w:pPr>
              <w:spacing w:line="288" w:lineRule="auto" w:before="20" w:after="20"/>
              <w:jc w:val="left"/>
            </w:pPr>
            <w:r/>
            <w:r>
              <w:rPr>
                <w:rFonts w:ascii="HY신명조" w:hAnsi="HY신명조" w:eastAsia="HY신명조"/>
                <w:b w:val="0"/>
                <w:sz w:val="19"/>
              </w:rPr>
              <w:t>imb† IMU 자이로 바이어스</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43</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3.6</w:t>
            </w:r>
          </w:p>
        </w:tc>
      </w:tr>
      <w:tr>
        <w:trPr>
          <w:cantSplit/>
        </w:trPr>
        <w:tc>
          <w:tcPr>
            <w:tcW w:type="dxa" w:w="1701"/>
          </w:tcPr>
          <w:p>
            <w:pPr>
              <w:spacing w:line="288" w:lineRule="auto" w:before="20" w:after="20"/>
              <w:jc w:val="left"/>
            </w:pPr>
            <w:r/>
            <w:r>
              <w:rPr>
                <w:rFonts w:ascii="HY신명조" w:hAnsi="HY신명조" w:eastAsia="HY신명조"/>
                <w:b w:val="0"/>
                <w:sz w:val="19"/>
              </w:rPr>
              <w:t>imd† IMU 바이어스 램프</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44</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5.4</w:t>
            </w:r>
          </w:p>
        </w:tc>
      </w:tr>
      <w:tr>
        <w:trPr>
          <w:cantSplit/>
        </w:trPr>
        <w:tc>
          <w:tcPr>
            <w:tcW w:type="dxa" w:w="1701"/>
          </w:tcPr>
          <w:p>
            <w:pPr>
              <w:spacing w:line="288" w:lineRule="auto" w:before="20" w:after="20"/>
              <w:jc w:val="left"/>
            </w:pPr>
            <w:r/>
            <w:r>
              <w:rPr>
                <w:rFonts w:ascii="HY신명조" w:hAnsi="HY신명조" w:eastAsia="HY신명조"/>
                <w:b w:val="0"/>
                <w:sz w:val="19"/>
              </w:rPr>
              <w:t>imd† IMU 바이어스 램프</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43</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8.6</w:t>
            </w:r>
          </w:p>
        </w:tc>
      </w:tr>
    </w:tbl>
    <w:p>
      <w:pPr>
        <w:spacing w:line="312" w:lineRule="auto" w:before="0" w:after="0"/>
      </w:pPr>
      <w:r>
        <w:rPr>
          <w:rFonts w:ascii="HY신명조" w:hAnsi="HY신명조" w:eastAsia="HY신명조"/>
          <w:b w:val="0"/>
          <w:sz w:val="19"/>
        </w:rPr>
        <w:t>무고장(nf) 대조 45케이스에서 오발동 0건(0/45). lso-mid의 "-"는 검출 표본 부족(1/45)으로 중앙 지연을 보고하지 않음을 뜻한다. †보조 캠페인(항법 4종, 동일 매트릭스 구조·동일 시드 쌍대, 제안 팔 기준 유효 n — baseline 팔도 전 조건 100% 검출). *cf·lf(하드 페일)의 지연은 원장·시뮬레이션 시간 기준이며 세부 분포는 9절 표 5-9에 보고한다. 그 외 조건의 지연은 벽시계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5-1. </w:t>
      </w:r>
      <w:r>
        <w:rPr>
          <w:rFonts w:ascii="HY신명조" w:hAnsi="HY신명조" w:eastAsia="HY신명조"/>
          <w:b w:val="0"/>
          <w:sz w:val="19"/>
        </w:rPr>
        <w:t>고장 조건별 감지 지연 분포(제안 팔, 주입 시점 기준). 상단은 본 캠페인, 하단은 보조 캠페인(항법 확장, 표 5-1 †)이며, 카메라·라이다 사망(*)은 하드 페일 고속경로의 원장 기반 시뮬레이션 시간 재계측이다(제5장 9절). 굵은 가로 막대는 중앙값이고, GNSS 두절(gf)의 우측 꼬리는 적신호 정차 중 주입되어 재출발 후 감지된 케이스이다. 하드 페일 행(시뮬레이션 시간)과 그 외 행(벽시계)은 시계 영역이 달라 절대 지연값을 행간 직접 비교해서는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감독자 상태 전이(0.7/0.3)에 실제 입력되는 것은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여기에 근거한다), 고강도는 고장 주입 직후 임계 하방의 저점 대역으로 이탈해 개입을 발동한다. 이 대역 분리가 low/mid/high 등급화와 3구간 상태 전이(정상/대피/위임)의 기반이다. obstacle 채널은 상태 전이 발동 채널이 아닌 MRM 이동 게이트 전용이며, 0.7 하방 요동(개활지·선회 시 섹터 커버리지 변화)은 발동 대상이 아니므로 오발동 0건과 모순되지 않는다. 단, 항법 계열(gn·imn)의 결정 변수는 /monitor/scores 토픽이 아니라 감시 계층의 위치계 채널(구현상 감독자 프로세스에 상주하는 잔차 감지기 loc_meas/loc_jump)에서 산출되므로, 본 관측은 /monitor/scores의 라이다 열화 채널 기준이다. 점수 구조의 강건성은 기록 궤적 기반 오프라인 재판정으로 점검했다: 대표 궤적 5종(nf·lso-mid/high·cn-mid/high, 워밍업 절단·1 s 지속 조건)에서 상단 임계를 0.65~0.75로, 장애물:신호등 가중을 0.5:0.5~0.7:0.3으로 바꾸어도 판정(무발동/감내/개입)은 전건 불변이었다 — 무고장 최저 0.71·감내 최저 0.75가 개입군 최고 0.54와 넓게 분리되기 때문이다. 이는 궤적 수준 점검이며 캠페인 수준 재실행은 아니다.</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5-2. </w:t>
      </w:r>
      <w:r>
        <w:rPr>
          <w:rFonts w:ascii="HY신명조" w:hAnsi="HY신명조" w:eastAsia="HY신명조"/>
          <w:b w:val="0"/>
          <w:sz w:val="19"/>
        </w:rPr>
        <w:t>주입 시점 정렬 연속 건강도 궤적 — (위) 상태 전이 입력인 perception 능력 점수(이중 임계 0.7/0.3), (아래) 해당 센서의 원시 점수: (a) 라이다 희박화(lso), (b) 카메라 화소 노이즈(cn). 시간축 0은 고장 주입 시점(원장 FAULT_ACTIVE의 시뮬레이션 시각)으로, 주입 스케줄은 전 런 동일하다. 음영은 무고장 런 정착 구간의 P5–P95 범위이다(무고장에는 주입 앵커가 없어 시간 정렬 대신 범위로 표시). 조건당 대표 단일 런. lso-mid는 원시 점수의 수준 강하에도 능력이 상단 임계를 하회하지 않아 감내되어 주행을 지속·완주하고, lso-high와 cn 계열은 임계 하회로 개입이 발동된다. 항법 계열(gn·imn)은 결정 변수가 감시 계층의 위치계 채널(/monitor/scores 토픽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요약한다(고장·심각도 전 조합, 제안 방식 기준). 이동 능력이 보존되는 고장에서 제안 방식은 갓길 대피를 수행했고 baseline은 전량 차로 내 정지였다 — baseline의 대피 0은 실패가 아니라 설계상 차로 내 정지 정책의 정의에 따른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312" w:lineRule="auto" w:before="40" w:after="0"/>
      </w:pPr>
      <w:r>
        <w:rPr>
          <w:rFonts w:ascii="HY신명조" w:hAnsi="HY신명조" w:eastAsia="HY신명조"/>
          <w:b/>
          <w:sz w:val="19"/>
        </w:rPr>
        <w:t xml:space="preserve">표 5-2. </w:t>
      </w:r>
      <w:r>
        <w:rPr>
          <w:rFonts w:ascii="HY신명조" w:hAnsi="HY신명조" w:eastAsia="HY신명조"/>
          <w:b w:val="0"/>
          <w:sz w:val="19"/>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대피로 이어져 대피가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단서를 명시하면, 본 매트릭스 케이스에는 보행자 돌발 주입이 없으며 케이스 수준 "충돌 0" 판정은 5절의 원장 도입 이전 데이터에 근거하므로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관찰(고장 유형별 1런)에서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차선 외 정차 위치 확보의 가능성을 제공한다. 이 트레이드오프의 안전 측 대가는 4~6절의 조우 실험이 정량화한다.</w:t>
      </w: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5-3).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설계용 근사식이 근경계 체제에서 자기일관됨이 확인되었으므로(보정 출처와 동일 데이터 — 독립 검증은 아니다, 제3장 6절) 속도 상한의 효과를 같은 근사식의 틀로 해석할 수 있다.</w:t>
      </w:r>
    </w:p>
    <w:p>
      <w:pPr>
        <w:keepNext/>
        <w:spacing w:line="312" w:lineRule="auto" w:before="40" w:after="0"/>
      </w:pPr>
      <w:r>
        <w:rPr>
          <w:rFonts w:ascii="HY신명조" w:hAnsi="HY신명조" w:eastAsia="HY신명조"/>
          <w:b/>
          <w:sz w:val="19"/>
        </w:rPr>
        <w:t xml:space="preserve">표 5-3. </w:t>
      </w:r>
      <w:r>
        <w:rPr>
          <w:rFonts w:ascii="HY신명조" w:hAnsi="HY신명조" w:eastAsia="HY신명조"/>
          <w:b w:val="0"/>
          <w:sz w:val="19"/>
        </w:rPr>
        <w:t>거리 사다리 결과 (원장·영상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5-3. </w:t>
      </w:r>
      <w:r>
        <w:rPr>
          <w:rFonts w:ascii="HY신명조" w:hAnsi="HY신명조" w:eastAsia="HY신명조"/>
          <w:b w:val="0"/>
          <w:sz w:val="19"/>
        </w:rPr>
        <w:t>정지거리 모델 d = vτ + v²/2a(τ=1.5 s, a=3.5 m/s²)와 거리 사다리 실측 회피/충돌 경계(음영 밴드). 4.2 m/s의 실측 경계(8~11 m)는 모델 예측 8.8 m와 일치하고, 3.0 m/s에서는 모델이 낙관적이다 — 예측 5.79 m가 실측 경계 7~8 m를 과소추정하며(플래너 반응 분산), 3.0 m/s 상한이 모델 상한(3.89 m/s)보다 낮게 잡힌 보수적 정책값이라는 해석과 정합한다. 점선은 이후 실험의 돌발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저속 정착 순항(공칭 상한 3.0 m/s 설정; 상한 미전달이 사후 확인되어 실제 저속은 재출발 프로파일에 기인 — 8절, 조우 속도는 실측 확인) 중이던 조건에서는 8회 전량 회피했고 이후 갓길 대피까지 완수했다(8/8; 보조 Fisher 정확검정 p=2.3×10⁻⁵). 8 m는 4.2 m/s의 필요 정지거리(8.8 m)보다 짧아 회피 불가능 영역이지만 3.0 m/s의 필요 정지거리(5.79 m)보다는 길어 회피 가능 영역이므로,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절제(1차 S02~S11에 동일 하네스·규칙의 신규 시드 확장 S12~S21을 더해 팔당 n=20)의 결과를 표 5-4에 보인다. 발사는 모든 팔에서 감지+3.0 s — 대피 팔의 감속 과도구간 — 이다.</w:t>
      </w:r>
    </w:p>
    <w:p>
      <w:pPr>
        <w:keepNext/>
        <w:spacing w:line="312" w:lineRule="auto" w:before="40" w:after="0"/>
      </w:pPr>
      <w:r>
        <w:rPr>
          <w:rFonts w:ascii="HY신명조" w:hAnsi="HY신명조" w:eastAsia="HY신명조"/>
          <w:b/>
          <w:sz w:val="19"/>
        </w:rPr>
        <w:t xml:space="preserve">표 5-4. </w:t>
      </w:r>
      <w:r>
        <w:rPr>
          <w:rFonts w:ascii="HY신명조" w:hAnsi="HY신명조" w:eastAsia="HY신명조"/>
          <w:b w:val="0"/>
          <w:sz w:val="19"/>
        </w:rPr>
        <w:t>절제 실험 결과 — 8 m 돌발 @ 감지+3 s (과도구간), 원장 판정 (팔당 n=20: 1차 S02~S11 + 확장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14/20</w:t>
            </w:r>
          </w:p>
        </w:tc>
        <w:tc>
          <w:tcPr>
            <w:tcW w:type="dxa" w:w="2126"/>
          </w:tcPr>
          <w:p>
            <w:pPr>
              <w:keepNext/>
              <w:spacing w:line="288" w:lineRule="auto" w:before="20" w:after="20"/>
              <w:jc w:val="left"/>
            </w:pPr>
            <w:r/>
            <w:r>
              <w:rPr>
                <w:rFonts w:ascii="HY신명조" w:hAnsi="HY신명조" w:eastAsia="HY신명조"/>
                <w:b w:val="0"/>
                <w:sz w:val="19"/>
              </w:rPr>
              <w:t>70% [48.1, 85.5]</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0/20</w:t>
            </w:r>
          </w:p>
        </w:tc>
        <w:tc>
          <w:tcPr>
            <w:tcW w:type="dxa" w:w="2126"/>
          </w:tcPr>
          <w:p>
            <w:pPr>
              <w:keepNext/>
              <w:spacing w:line="288" w:lineRule="auto" w:before="20" w:after="20"/>
              <w:jc w:val="left"/>
            </w:pPr>
            <w:r/>
            <w:r>
              <w:rPr>
                <w:rFonts w:ascii="HY신명조" w:hAnsi="HY신명조" w:eastAsia="HY신명조"/>
                <w:b w:val="0"/>
                <w:sz w:val="19"/>
              </w:rPr>
              <w:t>0% [0.0, 16.1]</w:t>
            </w:r>
          </w:p>
        </w:tc>
        <w:tc>
          <w:tcPr>
            <w:tcW w:type="dxa" w:w="2126"/>
          </w:tcPr>
          <w:p>
            <w:pPr>
              <w:keepNext/>
              <w:spacing w:line="288" w:lineRule="auto" w:before="20" w:after="20"/>
              <w:jc w:val="left"/>
            </w:pPr>
            <w:r/>
            <w:r>
              <w:rPr>
                <w:rFonts w:ascii="HY신명조" w:hAnsi="HY신명조" w:eastAsia="HY신명조"/>
                <w:b w:val="0"/>
                <w:sz w:val="19"/>
              </w:rPr>
              <w:t>본 표본 최저 충돌률(0/20),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10/20</w:t>
            </w:r>
          </w:p>
        </w:tc>
        <w:tc>
          <w:tcPr>
            <w:tcW w:type="dxa" w:w="2126"/>
          </w:tcPr>
          <w:p>
            <w:pPr>
              <w:keepNext/>
              <w:spacing w:line="288" w:lineRule="auto" w:before="20" w:after="20"/>
              <w:jc w:val="left"/>
            </w:pPr>
            <w:r/>
            <w:r>
              <w:rPr>
                <w:rFonts w:ascii="HY신명조" w:hAnsi="HY신명조" w:eastAsia="HY신명조"/>
                <w:b w:val="0"/>
                <w:sz w:val="19"/>
              </w:rPr>
              <w:t>50% [29.9, 70.1]</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nominally capped(3.0) evacuation</w:t>
            </w:r>
          </w:p>
        </w:tc>
        <w:tc>
          <w:tcPr>
            <w:tcW w:type="dxa" w:w="2126"/>
          </w:tcPr>
          <w:p>
            <w:pPr>
              <w:spacing w:line="288" w:lineRule="auto" w:before="20" w:after="20"/>
              <w:jc w:val="left"/>
            </w:pPr>
            <w:r/>
            <w:r>
              <w:rPr>
                <w:rFonts w:ascii="HY신명조" w:hAnsi="HY신명조" w:eastAsia="HY신명조"/>
                <w:b w:val="0"/>
                <w:sz w:val="19"/>
              </w:rPr>
              <w:t>11/20</w:t>
            </w:r>
          </w:p>
        </w:tc>
        <w:tc>
          <w:tcPr>
            <w:tcW w:type="dxa" w:w="2126"/>
          </w:tcPr>
          <w:p>
            <w:pPr>
              <w:spacing w:line="288" w:lineRule="auto" w:before="20" w:after="20"/>
              <w:jc w:val="left"/>
            </w:pPr>
            <w:r/>
            <w:r>
              <w:rPr>
                <w:rFonts w:ascii="HY신명조" w:hAnsi="HY신명조" w:eastAsia="HY신명조"/>
                <w:b w:val="0"/>
                <w:sz w:val="19"/>
              </w:rPr>
              <w:t>55% [34.2, 74.2]</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312" w:lineRule="auto" w:before="0" w:after="0"/>
      </w:pPr>
      <w:r>
        <w:rPr>
          <w:rFonts w:ascii="HY신명조" w:hAnsi="HY신명조" w:eastAsia="HY신명조"/>
          <w:b w:val="0"/>
          <w:sz w:val="19"/>
        </w:rPr>
        <w:t>A4의 명시적 상한은 사후 점검에서 미전달로 판명 — A3·A4는 사실상 동일 정책이다(8절).</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확장 회차(S12~S21)에서 A1(7/10)과 A2(0/10)는 1차 회차와 동률로 재현되어 실험 체계의 재현성을 보였고, 대피 팔의 충돌은 1차(3~4/10)보다 많았다(각 7/10) — 두 회차의 차이는 팔별 Fisher 정확검정에서 유의하지 않아(가장 벌어진 A3: 3/10 대 7/10, p=0.18) 합산 추정(표 5-4)을 보고하되, 소표본 점추정이 표본 확대로 이동할 수 있음을 보여주는 사례로 명시한다. 시드 간 이질성이 뚜렷하다: S06·S09·S11·S16·S17은 4팔 전부 회피(조우 기하가 관대), S05·S07·S08·S12·S13·S15·S19·S20·S21은 A2(정지)를 제외한 세 팔이 충돌한 가혹한 실현이었다. A2가 회피한 시드에서 대피 팔이 충돌한 사례는 모두 이동 지속에 의한 과도구간 충돌로, 기전 분석과 일치한다.</w:t>
      </w:r>
    </w:p>
    <w:p>
      <w:pPr>
        <w:keepNext/>
        <w:spacing w:line="312" w:lineRule="auto" w:before="40" w:after="0"/>
      </w:pPr>
      <w:r>
        <w:rPr>
          <w:rFonts w:ascii="HY신명조" w:hAnsi="HY신명조" w:eastAsia="HY신명조"/>
          <w:b/>
          <w:sz w:val="19"/>
        </w:rPr>
        <w:t xml:space="preserve">표 5-5. </w:t>
      </w:r>
      <w:r>
        <w:rPr>
          <w:rFonts w:ascii="HY신명조" w:hAnsi="HY신명조" w:eastAsia="HY신명조"/>
          <w:b w:val="0"/>
          <w:sz w:val="19"/>
        </w:rPr>
        <w:t>절제 실험 시드별 판정, S02~S21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rPr>
          <w:cantSplit/>
        </w:trP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S14</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S17</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S19</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S20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S21</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14/20</w:t>
            </w:r>
          </w:p>
        </w:tc>
        <w:tc>
          <w:tcPr>
            <w:tcW w:type="dxa" w:w="1701"/>
          </w:tcPr>
          <w:p>
            <w:pPr>
              <w:spacing w:line="288" w:lineRule="auto" w:before="20" w:after="20"/>
              <w:jc w:val="left"/>
            </w:pPr>
            <w:r/>
            <w:r>
              <w:rPr>
                <w:rFonts w:ascii="HY신명조" w:hAnsi="HY신명조" w:eastAsia="HY신명조"/>
                <w:b w:val="0"/>
                <w:sz w:val="19"/>
              </w:rPr>
              <w:t>0/20</w:t>
            </w:r>
          </w:p>
        </w:tc>
        <w:tc>
          <w:tcPr>
            <w:tcW w:type="dxa" w:w="1701"/>
          </w:tcPr>
          <w:p>
            <w:pPr>
              <w:spacing w:line="288" w:lineRule="auto" w:before="20" w:after="20"/>
              <w:jc w:val="left"/>
            </w:pPr>
            <w:r/>
            <w:r>
              <w:rPr>
                <w:rFonts w:ascii="HY신명조" w:hAnsi="HY신명조" w:eastAsia="HY신명조"/>
                <w:b w:val="0"/>
                <w:sz w:val="19"/>
              </w:rPr>
              <w:t>10/20</w:t>
            </w:r>
          </w:p>
        </w:tc>
        <w:tc>
          <w:tcPr>
            <w:tcW w:type="dxa" w:w="1701"/>
          </w:tcPr>
          <w:p>
            <w:pPr>
              <w:spacing w:line="288" w:lineRule="auto" w:before="20" w:after="20"/>
              <w:jc w:val="left"/>
            </w:pPr>
            <w:r/>
            <w:r>
              <w:rPr>
                <w:rFonts w:ascii="HY신명조" w:hAnsi="HY신명조" w:eastAsia="HY신명조"/>
                <w:b w:val="0"/>
                <w:sz w:val="19"/>
              </w:rPr>
              <w:t>11/20</w:t>
            </w:r>
          </w:p>
        </w:tc>
      </w:tr>
    </w:tbl>
    <w:p>
      <w:pPr>
        <w:spacing w:line="312" w:lineRule="auto" w:before="0" w:after="0"/>
      </w:pPr>
      <w:r>
        <w:rPr>
          <w:rFonts w:ascii="HY신명조" w:hAnsi="HY신명조" w:eastAsia="HY신명조"/>
          <w:b w:val="0"/>
          <w:sz w:val="19"/>
        </w:rPr>
        <w:t>* S05의 A2·A4는 시뮬레이터 실패로 동일 시드 재실행(S05R) 결과이다. 확장 회차의 S12·S15 A2도 동일 방식의 재실행으로 충원했다. A4의 명시적 상한은 사후 점검에서 미전달로 판명되어(8절) A3·A4는 사실상 동일 정책이다.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A1은 라벨이 "위험 정지(HAZARD_STOPPED)"였으나 원장에 보행자 접촉이 기록된 충돌 후 정지 케이스이고, 반대로 대피 팔의 일부 회피 케이스는 라벨이 "대피 중 정체"로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14/20이 감지+즉시 정지에서 0/20으로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본 절제의 조우 시점은 감지+3 s 단일 시점으로 고정했으므로, 이 비교는 위험 발생 시점 분포 전반에 대한 정지/대피의 일반 비교가 아니라 해당 과도구간에 한정된 진술이다 — 정착 순항 0/8은 다른 시점의 보완 관측이나 표본이 작다. 다만 A2는 차로 내 정지이므로 차선 점유가 관찰 지평 내 해소되지 않는다. 대피의 대가(A2→A3/A4): 대피 팔은 이동을 계속하므로 과도구간 충돌이 잔존한다(A3 10/20, A4 11/20 — 두 팔의 충돌은 전부 감속 미완료 구간에서 발생). 사전 지정한 primary contrast의 exact McNemar 결과, A1↔A4의 불일치쌍은 4:1(A1만 충돌 4, A4만 충돌 1)로 p=0.375, A3↔A4는 0:1로 p=1.0이었다. 캠페인 후 전달 경로 점검(8절)에서 A4의 명시적 상한이 평가 스택의 속도 상한 중재자에 실제 전달되지 않았음이 확인되었다 — 발행 메시지 타입이 평가 버전의 구독 타입과 달라 무음 폐기되었다. 따라서 A3·A4는 사실상 동일 정책(자연 감속 대피)의 반복 측정이며, p=1.0과 두 팔의 근접한 충돌 수(10/20 대 11/20)는 그 정합적 결과이자 시드 간 반복성의 방증이다. 사후(secondary) 분석으로, 사전 지정에 포함하지 않았던 A2↔A4를 같은 방식으로 검정하면 불일치쌍은 11:0으로 정확 양측 p=9.8×10⁻⁴이다 — 이 8 m·과도구간 충돌 종결점에 한정하면 차로 내 정지가 대피보다 명백히 우세하며, RQ2 트레이드오프의 충돌 측 비용을 정량화한다(사전 지정이 아니므로 탐색적 사후 분석으로 표시한다). 즉 이 절제는 명시적 속도 상한의 증분을 검정할 수 없는 설계였음이 사후 판명되었고(두 팔 모두 사실상 무캡), 상한의 인과 효과는 전달을 수정한 별도 용량-반응 실험(8절)에서 검증한다. 동일 조건에서 무캡 대피(A3)의 충돌이 A1(14/20)보다 낮은 10/20에 머문 것은 대피 기동 자체의 자연 감속 때문으로 해석되며, 속도 상한은 여기에 명시적 상계를 추가한다(제6장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E20의 중앙값은 A2 정지 0.0 m, 대피 팔(A3·A4) 37.2 m, A1 순정 50.0 m였다. 차선 반환 시간 T_lat-clear는 제4장 8절의 정의를 따르며, 표본은 절제 본 캠페인의 대피 팔 전체(S02~S11의 A3·A4 20케이스; S05의 A4는 동일 시드 재실행분으로 대체, 비절제 케이스와 충돌 후 이탈 기록은 제외)이다. 결과는 충돌(반환 실패) 7건, 무충돌·지평 내 이탈 관측 6건, 무충돌·지평 내 미이탈(우측 중도절단) 7건으로 나뉘며, 검산하면 7+6+7=20이고 충돌 7건은 표 5-5 중 1차 회차(S02~S11)의 팔별 충돌 수(A3 3건+A4 4건)와 산술적으로 일치한다. 무충돌 13케이스에 조건부로 산출한 시간분포(그림 5-4)에서 이탈 관측 6건의 관측 중앙값은 11.0 s이고, 지평 내 반환 관측 비율은 6/13으로 Kaplan–Meier 생존곡선이 0.5를 하회하지 않아(최종 생존율 0.538) KM 추정 중앙값은 관찰 지평을 초과한다(미도달). 정지(A2)와 순정(A1)은 지평 내 차선 이탈이 0건으로, 우측 중도절단("지평 내 미반환")으로 표기하며 평균화하지 않는다.</w:t>
      </w:r>
    </w:p>
    <w:p>
      <w:pPr>
        <w:keepNext/>
        <w:spacing w:line="312" w:lineRule="auto" w:before="40" w:after="0"/>
      </w:pPr>
      <w:r>
        <w:rPr>
          <w:rFonts w:ascii="HY신명조" w:hAnsi="HY신명조" w:eastAsia="HY신명조"/>
          <w:b/>
          <w:sz w:val="19"/>
        </w:rPr>
        <w:t xml:space="preserve">표 5-6. </w:t>
      </w:r>
      <w:r>
        <w:rPr>
          <w:rFonts w:ascii="HY신명조" w:hAnsi="HY신명조" w:eastAsia="HY신명조"/>
          <w:b w:val="0"/>
          <w:sz w:val="19"/>
        </w:rPr>
        <w:t>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팔(1차 회차 A3+A4 합산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T_lat-clear의 정의와 분석 규칙(경쟁 사건 분리·조건부 시간분포·우측 중도절단)은 제4장 8절을, 검산과 KM 해석은 본문(5절)을 따른다. "지평 내 미반환"은 평균화의 대상이 아니다. 차선 반환 축은 1차 회차 표본 기준이며, 충돌 축의 확장 합산(표 5-4·5-5)과 달리 확장 회차의 재집계는 수행하지 않았다.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5-4. </w:t>
      </w:r>
      <w:r>
        <w:rPr>
          <w:rFonts w:ascii="HY신명조" w:hAnsi="HY신명조" w:eastAsia="HY신명조"/>
          <w:b w:val="0"/>
          <w:sz w:val="19"/>
        </w:rPr>
        <w:t>무충돌 대피 케이스의 차선 반환 Kaplan–Meier 곡선 (절제 1차 표본, 조건부 n=13). 이탈 관측 6건(중앙 11.0 s), 우측 중도절단 7건(|), 최종 생존율 0.538로 중앙값은 관찰 지평(20 s)을 초과한다. 표 5-6의 시간분포 규칙과 동일 산출이다(1차 회차 부분표본의 탐색적 분석, A3·A4 합산).</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저속 대피 정책의 조우 결과를 시간 체제로 나누면 대비가 선명하다(그림 5-5): 감지+3 s의 과도구간(감속 미완) 발사에서는 11/20이 충돌한 반면, 감속이 완료된 저속 정착 순항(재출발 순항, 8 m 조우 재실험; 공칭 상한 3.0 m/s 설정이나 미전달 — 실측 조우 속도 약 3.0 m/s는 재출발 프로파일에 기인, 8절) 발사에서는 0/8 무충돌이었다.</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5-5. </w:t>
      </w:r>
      <w:r>
        <w:rPr>
          <w:rFonts w:ascii="HY신명조" w:hAnsi="HY신명조" w:eastAsia="HY신명조"/>
          <w:b w:val="0"/>
          <w:sz w:val="19"/>
        </w:rPr>
        <w:t>절제 실험 결과(원장 판정, 합산 n=20). (a) 4팔의 충돌/회피 분해 — 감지+3 s 과도구간 발사. (b) 동일 저속 대피 정책의 2체제 대비 — 과도구간 11/20 대 저속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이 결과가 보이는 구조는 다음과 같다: 대피의 잔존 위험은 감지 후 과도구간 — 감지 시점부터 정착 속도 도달까지, 길이는 감속 소요 — 에 집중된다(과도 11/20 대 정착 0/8). 다만 이 대비는 감지 시점을 독립 조작한 인과 실험이 아니라 동일 정책의 조우 시점 체제를 나눈 관찰 비교이므로, 인과 효과 크기의 추정으로 읽지 않는다 — 해석은 제6장 1~2절에서 다룬다.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저속 정착 순항(공칭 상한 3.0 m/s 설정)에서 스폰 거리를 낮춰가며 경계를 실측했다(표 5-7). 8 m는 8/8 회피(6절), 7·6·5 m는 각 2/2 전량 충돌로, 3.0 m/s의 회피/충돌 경계는 7~8 m 구간이다. 4.2 m/s의 경계 8~11 m와 비교하면 조우 속도의 저감이 경계를 안쪽으로 이동시켰음이 실측으로 확인된다. 다만 세 가지를 명기한다. 첫째, 이 사다리 실행분에서도 명시적 상한은 미전달이었다(8절) — 저속은 재출발 가속 프로파일에 기인하나 경계의 기준축은 실측 조우 속도이므로 결론은 유지되고, 상한이 실제 전달·성립한 조건의 통제 검증은 8절이 수행한다. 둘째, 발사 프로토콜이 다르다 — 4.2 사다리는 정상 주행 길목 발사, 3.0 사다리는 재출발 순항 발사이며, 비교 축은 "정속 순항 중 조우"의 조우 속도이다. 셋째, 실측 경계(7~8 m)는 물리 모델의 순수 예측(5.79 m)보다 바깥이다. 차이는 이동 표적에 대한 여유 요구와 재출발 직후 가속 프로파일의 비정상 구간으로 설명되며, 모델은 하한 근사로 해석해야 한다. 종합하면 조우 속도별 경계는 4.2 m/s → 8~11 m, 약 3.0 m/s → 7~8 m로, 저속 조우는 "회피 불가능한 돌발"의 범위를 물리적으로 좁히며 그 효과와 한계(과도구간)는 정지거리 물리로 일관되게 설명된다.</w:t>
      </w:r>
    </w:p>
    <w:p>
      <w:pPr>
        <w:keepNext/>
        <w:spacing w:line="312" w:lineRule="auto" w:before="40" w:after="0"/>
      </w:pPr>
      <w:r>
        <w:rPr>
          <w:rFonts w:ascii="HY신명조" w:hAnsi="HY신명조" w:eastAsia="HY신명조"/>
          <w:b/>
          <w:sz w:val="19"/>
        </w:rPr>
        <w:t xml:space="preserve">표 5-7. </w:t>
      </w:r>
      <w:r>
        <w:rPr>
          <w:rFonts w:ascii="HY신명조" w:hAnsi="HY신명조" w:eastAsia="HY신명조"/>
          <w:b w:val="0"/>
          <w:sz w:val="19"/>
        </w:rPr>
        <w:t>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8. 속도 상한 인과 검증: 정착 조우 용량-반응 실험</w:t>
      </w:r>
    </w:p>
    <w:p>
      <w:pPr>
        <w:spacing w:line="501" w:lineRule="exact" w:before="0" w:after="0"/>
      </w:pPr>
    </w:p>
    <w:p>
      <w:pPr>
        <w:spacing w:line="501" w:lineRule="exact" w:before="0" w:after="0"/>
        <w:jc w:val="both"/>
      </w:pPr>
      <w:r>
        <w:rPr>
          <w:rFonts w:ascii="HY신명조" w:hAnsi="HY신명조" w:eastAsia="HY신명조"/>
          <w:b w:val="0"/>
          <w:sz w:val="22"/>
        </w:rPr>
        <w:t xml:space="preserve">   5절의 절제는 명시적 상한의 증분을 검정하지 못했고(전달 결함), 3절·7절의 두 사다리는 발사 프로토콜이 달랐다. 두 공백을 동시에 막기 위해, 전달을 수정한 뒤 상한이 실제 성립한 정착 상태의 조우만으로 통제된 용량-반응 실험을 수행했다. 결함의 발견 경위가 방법론적으로 중요하다: 상한 발행 로그는 전 캠페인에서 정상 기록되었으나, 이동 중 실차 속도가 상한이 아니라 구간 제한속도를 추종함이 틱 로그에서 확인되었다. 원인은 발행 메시지 타입이 평가 스택 버전의 셀렉터 구독 타입과 다른 것으로, 같은 토픽 이름에서 무음 폐기되었다 — "발행 로그는 전달의 증거가 아니다"(제6장 4절). 타입 정합과 이동 중 1 s 주기 재발행으로 수정한 뒤, 전달·준수를 실측 재확인하고 본 실험에 진입했다.</w:t>
      </w:r>
    </w:p>
    <w:p>
      <w:pPr>
        <w:spacing w:line="501" w:lineRule="exact" w:before="0" w:after="0"/>
        <w:jc w:val="both"/>
      </w:pPr>
      <w:r>
        <w:rPr>
          <w:rFonts w:ascii="HY신명조" w:hAnsi="HY신명조" w:eastAsia="HY신명조"/>
          <w:b w:val="0"/>
          <w:sz w:val="22"/>
        </w:rPr>
        <w:t xml:space="preserve">   설계는 상한 {4.2, 3.6, 3.0} m/s × 스폰 거리 {6, 7, 8, 9} m × 10시드 = 120런의 쌍대 매트릭스다(제4장 6절 (v)·7절). 4.2 m/s 팔은 도로 제한속도(15 km/h ≈ 4.17 m/s)와 사실상 동치인 고캡 대조로, 세 팔이 동일한 외부 속도 상한 인터페이스를 값만 달리해 사용하므로 소프트웨어 경로 차이가 없다. 발사는 정착 트리거 — 감독자 MRM_MOVE 상태에서 실측 속도가 상한별 밴드에 1.0 s 연속(변동폭 ≤0.25 m/s) 체류한 순간 전방 D m — 로, 5절 절제의 시간 트리거(감지+3 s, 과도구간)와 달리 "상한이 성립한 조우"를 트리거 수준에서 보장한다. 1차 종결점(8 m, 4.2↔3.0 쌍대 exact McNemar)과 조작 점검 채택 규칙은 자료 수집 전 계획서로 사전 지정했다(제4장 8절). 총 125시도 중 120런이 채택되었고 기각 5건(밴드 미성립 4·역방향 스폰 1)은 전조건 위반으로 결과 확인 전에 기각·재실행되었다. 판정은 에고 원장(RAW-HIT) 기준이다.</w:t>
      </w:r>
    </w:p>
    <w:p>
      <w:pPr>
        <w:keepNext/>
        <w:spacing w:line="312" w:lineRule="auto" w:before="40" w:after="0"/>
      </w:pPr>
      <w:r>
        <w:rPr>
          <w:rFonts w:ascii="HY신명조" w:hAnsi="HY신명조" w:eastAsia="HY신명조"/>
          <w:b/>
          <w:sz w:val="19"/>
        </w:rPr>
        <w:t xml:space="preserve">표 5-8. </w:t>
      </w:r>
      <w:r>
        <w:rPr>
          <w:rFonts w:ascii="HY신명조" w:hAnsi="HY신명조" w:eastAsia="HY신명조"/>
          <w:b w:val="0"/>
          <w:sz w:val="19"/>
        </w:rPr>
        <w:t>용량-반응 실험 결과 — 정착 조우의 충돌 수 (셀당 n=10 시드, 원장 판정)</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HY신명조" w:hAnsi="HY신명조" w:eastAsia="HY신명조"/>
                <w:b/>
                <w:sz w:val="19"/>
              </w:rPr>
              <w:t>속도 상한</w:t>
            </w:r>
          </w:p>
        </w:tc>
        <w:tc>
          <w:tcPr>
            <w:tcW w:type="dxa" w:w="1417"/>
          </w:tcPr>
          <w:p>
            <w:pPr>
              <w:keepNext/>
              <w:spacing w:line="288" w:lineRule="auto" w:before="20" w:after="20"/>
              <w:jc w:val="center"/>
            </w:pPr>
            <w:r/>
            <w:r>
              <w:rPr>
                <w:rFonts w:ascii="HY신명조" w:hAnsi="HY신명조" w:eastAsia="HY신명조"/>
                <w:b/>
                <w:sz w:val="19"/>
              </w:rPr>
              <w:t>6 m</w:t>
            </w:r>
          </w:p>
        </w:tc>
        <w:tc>
          <w:tcPr>
            <w:tcW w:type="dxa" w:w="1417"/>
          </w:tcPr>
          <w:p>
            <w:pPr>
              <w:keepNext/>
              <w:spacing w:line="288" w:lineRule="auto" w:before="20" w:after="20"/>
              <w:jc w:val="center"/>
            </w:pPr>
            <w:r/>
            <w:r>
              <w:rPr>
                <w:rFonts w:ascii="HY신명조" w:hAnsi="HY신명조" w:eastAsia="HY신명조"/>
                <w:b/>
                <w:sz w:val="19"/>
              </w:rPr>
              <w:t>7 m</w:t>
            </w:r>
          </w:p>
        </w:tc>
        <w:tc>
          <w:tcPr>
            <w:tcW w:type="dxa" w:w="1417"/>
          </w:tcPr>
          <w:p>
            <w:pPr>
              <w:keepNext/>
              <w:spacing w:line="288" w:lineRule="auto" w:before="20" w:after="20"/>
              <w:jc w:val="center"/>
            </w:pPr>
            <w:r/>
            <w:r>
              <w:rPr>
                <w:rFonts w:ascii="HY신명조" w:hAnsi="HY신명조" w:eastAsia="HY신명조"/>
                <w:b/>
                <w:sz w:val="19"/>
              </w:rPr>
              <w:t>8 m</w:t>
            </w:r>
          </w:p>
        </w:tc>
        <w:tc>
          <w:tcPr>
            <w:tcW w:type="dxa" w:w="1417"/>
          </w:tcPr>
          <w:p>
            <w:pPr>
              <w:keepNext/>
              <w:spacing w:line="288" w:lineRule="auto" w:before="20" w:after="20"/>
              <w:jc w:val="center"/>
            </w:pPr>
            <w:r/>
            <w:r>
              <w:rPr>
                <w:rFonts w:ascii="HY신명조" w:hAnsi="HY신명조" w:eastAsia="HY신명조"/>
                <w:b/>
                <w:sz w:val="19"/>
              </w:rPr>
              <w:t>9 m</w:t>
            </w:r>
          </w:p>
        </w:tc>
        <w:tc>
          <w:tcPr>
            <w:tcW w:type="dxa" w:w="1417"/>
          </w:tcPr>
          <w:p>
            <w:pPr>
              <w:keepNext/>
              <w:spacing w:line="288" w:lineRule="auto" w:before="20" w:after="20"/>
              <w:jc w:val="center"/>
            </w:pPr>
            <w:r/>
            <w:r>
              <w:rPr>
                <w:rFonts w:ascii="HY신명조" w:hAnsi="HY신명조" w:eastAsia="HY신명조"/>
                <w:b/>
                <w:sz w:val="19"/>
              </w:rPr>
              <w:t>추정 경계</w:t>
            </w:r>
          </w:p>
        </w:tc>
      </w:tr>
      <w:tr>
        <w:trPr>
          <w:cantSplit/>
        </w:trPr>
        <w:tc>
          <w:tcPr>
            <w:tcW w:type="dxa" w:w="1417"/>
          </w:tcPr>
          <w:p>
            <w:pPr>
              <w:keepNext/>
              <w:spacing w:line="288" w:lineRule="auto" w:before="20" w:after="20"/>
              <w:jc w:val="left"/>
            </w:pPr>
            <w:r/>
            <w:r>
              <w:rPr>
                <w:rFonts w:ascii="HY신명조" w:hAnsi="HY신명조" w:eastAsia="HY신명조"/>
                <w:b w:val="0"/>
                <w:sz w:val="19"/>
              </w:rPr>
              <w:t>4.2 m/s (고캡 대조)</w:t>
            </w:r>
          </w:p>
        </w:tc>
        <w:tc>
          <w:tcPr>
            <w:tcW w:type="dxa" w:w="1417"/>
          </w:tcPr>
          <w:p>
            <w:pPr>
              <w:keepNext/>
              <w:spacing w:line="288" w:lineRule="auto" w:before="20" w:after="20"/>
              <w:jc w:val="left"/>
            </w:pPr>
            <w:r/>
            <w:r>
              <w:rPr>
                <w:rFonts w:ascii="HY신명조" w:hAnsi="HY신명조" w:eastAsia="HY신명조"/>
                <w:b w:val="0"/>
                <w:sz w:val="19"/>
              </w:rPr>
              <w:t>10/10</w:t>
            </w:r>
          </w:p>
        </w:tc>
        <w:tc>
          <w:tcPr>
            <w:tcW w:type="dxa" w:w="1417"/>
          </w:tcPr>
          <w:p>
            <w:pPr>
              <w:keepNext/>
              <w:spacing w:line="288" w:lineRule="auto" w:before="20" w:after="20"/>
              <w:jc w:val="left"/>
            </w:pPr>
            <w:r/>
            <w:r>
              <w:rPr>
                <w:rFonts w:ascii="HY신명조" w:hAnsi="HY신명조" w:eastAsia="HY신명조"/>
                <w:b w:val="0"/>
                <w:sz w:val="19"/>
              </w:rPr>
              <w:t>10/10</w:t>
            </w:r>
          </w:p>
        </w:tc>
        <w:tc>
          <w:tcPr>
            <w:tcW w:type="dxa" w:w="1417"/>
          </w:tcPr>
          <w:p>
            <w:pPr>
              <w:keepNext/>
              <w:spacing w:line="288" w:lineRule="auto" w:before="20" w:after="20"/>
              <w:jc w:val="left"/>
            </w:pPr>
            <w:r/>
            <w:r>
              <w:rPr>
                <w:rFonts w:ascii="HY신명조" w:hAnsi="HY신명조" w:eastAsia="HY신명조"/>
                <w:b w:val="0"/>
                <w:sz w:val="19"/>
              </w:rPr>
              <w:t>10/10</w:t>
            </w:r>
          </w:p>
        </w:tc>
        <w:tc>
          <w:tcPr>
            <w:tcW w:type="dxa" w:w="1417"/>
          </w:tcPr>
          <w:p>
            <w:pPr>
              <w:keepNext/>
              <w:spacing w:line="288" w:lineRule="auto" w:before="20" w:after="20"/>
              <w:jc w:val="left"/>
            </w:pPr>
            <w:r/>
            <w:r>
              <w:rPr>
                <w:rFonts w:ascii="HY신명조" w:hAnsi="HY신명조" w:eastAsia="HY신명조"/>
                <w:b w:val="0"/>
                <w:sz w:val="19"/>
              </w:rPr>
              <w:t>10/10</w:t>
            </w:r>
          </w:p>
        </w:tc>
        <w:tc>
          <w:tcPr>
            <w:tcW w:type="dxa" w:w="1417"/>
          </w:tcPr>
          <w:p>
            <w:pPr>
              <w:keepNext/>
              <w:spacing w:line="288" w:lineRule="auto" w:before="20" w:after="20"/>
              <w:jc w:val="left"/>
            </w:pPr>
            <w:r/>
            <w:r>
              <w:rPr>
                <w:rFonts w:ascii="HY신명조" w:hAnsi="HY신명조" w:eastAsia="HY신명조"/>
                <w:b w:val="0"/>
                <w:sz w:val="19"/>
              </w:rPr>
              <w:t>9 m 초과</w:t>
            </w:r>
          </w:p>
        </w:tc>
      </w:tr>
      <w:tr>
        <w:trPr>
          <w:cantSplit/>
        </w:trPr>
        <w:tc>
          <w:tcPr>
            <w:tcW w:type="dxa" w:w="1417"/>
          </w:tcPr>
          <w:p>
            <w:pPr>
              <w:keepNext/>
              <w:spacing w:line="288" w:lineRule="auto" w:before="20" w:after="20"/>
              <w:jc w:val="left"/>
            </w:pPr>
            <w:r/>
            <w:r>
              <w:rPr>
                <w:rFonts w:ascii="HY신명조" w:hAnsi="HY신명조" w:eastAsia="HY신명조"/>
                <w:b w:val="0"/>
                <w:sz w:val="19"/>
              </w:rPr>
              <w:t>3.6 m/s</w:t>
            </w:r>
          </w:p>
        </w:tc>
        <w:tc>
          <w:tcPr>
            <w:tcW w:type="dxa" w:w="1417"/>
          </w:tcPr>
          <w:p>
            <w:pPr>
              <w:keepNext/>
              <w:spacing w:line="288" w:lineRule="auto" w:before="20" w:after="20"/>
              <w:jc w:val="left"/>
            </w:pPr>
            <w:r/>
            <w:r>
              <w:rPr>
                <w:rFonts w:ascii="HY신명조" w:hAnsi="HY신명조" w:eastAsia="HY신명조"/>
                <w:b w:val="0"/>
                <w:sz w:val="19"/>
              </w:rPr>
              <w:t>10/10</w:t>
            </w:r>
          </w:p>
        </w:tc>
        <w:tc>
          <w:tcPr>
            <w:tcW w:type="dxa" w:w="1417"/>
          </w:tcPr>
          <w:p>
            <w:pPr>
              <w:keepNext/>
              <w:spacing w:line="288" w:lineRule="auto" w:before="20" w:after="20"/>
              <w:jc w:val="left"/>
            </w:pPr>
            <w:r/>
            <w:r>
              <w:rPr>
                <w:rFonts w:ascii="HY신명조" w:hAnsi="HY신명조" w:eastAsia="HY신명조"/>
                <w:b w:val="0"/>
                <w:sz w:val="19"/>
              </w:rPr>
              <w:t>10/10</w:t>
            </w:r>
          </w:p>
        </w:tc>
        <w:tc>
          <w:tcPr>
            <w:tcW w:type="dxa" w:w="1417"/>
          </w:tcPr>
          <w:p>
            <w:pPr>
              <w:keepNext/>
              <w:spacing w:line="288" w:lineRule="auto" w:before="20" w:after="20"/>
              <w:jc w:val="left"/>
            </w:pPr>
            <w:r/>
            <w:r>
              <w:rPr>
                <w:rFonts w:ascii="HY신명조" w:hAnsi="HY신명조" w:eastAsia="HY신명조"/>
                <w:b w:val="0"/>
                <w:sz w:val="19"/>
              </w:rPr>
              <w:t>10/10</w:t>
            </w:r>
          </w:p>
        </w:tc>
        <w:tc>
          <w:tcPr>
            <w:tcW w:type="dxa" w:w="1417"/>
          </w:tcPr>
          <w:p>
            <w:pPr>
              <w:keepNext/>
              <w:spacing w:line="288" w:lineRule="auto" w:before="20" w:after="20"/>
              <w:jc w:val="left"/>
            </w:pPr>
            <w:r/>
            <w:r>
              <w:rPr>
                <w:rFonts w:ascii="HY신명조" w:hAnsi="HY신명조" w:eastAsia="HY신명조"/>
                <w:b w:val="0"/>
                <w:sz w:val="19"/>
              </w:rPr>
              <w:t>2/10</w:t>
            </w:r>
          </w:p>
        </w:tc>
        <w:tc>
          <w:tcPr>
            <w:tcW w:type="dxa" w:w="1417"/>
          </w:tcPr>
          <w:p>
            <w:pPr>
              <w:keepNext/>
              <w:spacing w:line="288" w:lineRule="auto" w:before="20" w:after="20"/>
              <w:jc w:val="left"/>
            </w:pPr>
            <w:r/>
            <w:r>
              <w:rPr>
                <w:rFonts w:ascii="HY신명조" w:hAnsi="HY신명조" w:eastAsia="HY신명조"/>
                <w:b w:val="0"/>
                <w:sz w:val="19"/>
              </w:rPr>
              <w:t>약 9 m</w:t>
            </w:r>
          </w:p>
        </w:tc>
      </w:tr>
      <w:tr>
        <w:trPr>
          <w:cantSplit/>
        </w:trPr>
        <w:tc>
          <w:tcPr>
            <w:tcW w:type="dxa" w:w="1417"/>
          </w:tcPr>
          <w:p>
            <w:pPr>
              <w:spacing w:line="288" w:lineRule="auto" w:before="20" w:after="20"/>
              <w:jc w:val="left"/>
            </w:pPr>
            <w:r/>
            <w:r>
              <w:rPr>
                <w:rFonts w:ascii="HY신명조" w:hAnsi="HY신명조" w:eastAsia="HY신명조"/>
                <w:b w:val="0"/>
                <w:sz w:val="19"/>
              </w:rPr>
              <w:t>3.0 m/s (정책값)</w:t>
            </w:r>
          </w:p>
        </w:tc>
        <w:tc>
          <w:tcPr>
            <w:tcW w:type="dxa" w:w="1417"/>
          </w:tcPr>
          <w:p>
            <w:pPr>
              <w:spacing w:line="288" w:lineRule="auto" w:before="20" w:after="20"/>
              <w:jc w:val="left"/>
            </w:pPr>
            <w:r/>
            <w:r>
              <w:rPr>
                <w:rFonts w:ascii="HY신명조" w:hAnsi="HY신명조" w:eastAsia="HY신명조"/>
                <w:b w:val="0"/>
                <w:sz w:val="19"/>
              </w:rPr>
              <w:t>8/10</w:t>
            </w:r>
          </w:p>
        </w:tc>
        <w:tc>
          <w:tcPr>
            <w:tcW w:type="dxa" w:w="1417"/>
          </w:tcPr>
          <w:p>
            <w:pPr>
              <w:spacing w:line="288" w:lineRule="auto" w:before="20" w:after="20"/>
              <w:jc w:val="left"/>
            </w:pPr>
            <w:r/>
            <w:r>
              <w:rPr>
                <w:rFonts w:ascii="HY신명조" w:hAnsi="HY신명조" w:eastAsia="HY신명조"/>
                <w:b w:val="0"/>
                <w:sz w:val="19"/>
              </w:rPr>
              <w:t>5/10</w:t>
            </w:r>
          </w:p>
        </w:tc>
        <w:tc>
          <w:tcPr>
            <w:tcW w:type="dxa" w:w="1417"/>
          </w:tcPr>
          <w:p>
            <w:pPr>
              <w:spacing w:line="288" w:lineRule="auto" w:before="20" w:after="20"/>
              <w:jc w:val="left"/>
            </w:pPr>
            <w:r/>
            <w:r>
              <w:rPr>
                <w:rFonts w:ascii="HY신명조" w:hAnsi="HY신명조" w:eastAsia="HY신명조"/>
                <w:b w:val="0"/>
                <w:sz w:val="19"/>
              </w:rPr>
              <w:t>0/10</w:t>
            </w:r>
          </w:p>
        </w:tc>
        <w:tc>
          <w:tcPr>
            <w:tcW w:type="dxa" w:w="1417"/>
          </w:tcPr>
          <w:p>
            <w:pPr>
              <w:spacing w:line="288" w:lineRule="auto" w:before="20" w:after="20"/>
              <w:jc w:val="left"/>
            </w:pPr>
            <w:r/>
            <w:r>
              <w:rPr>
                <w:rFonts w:ascii="HY신명조" w:hAnsi="HY신명조" w:eastAsia="HY신명조"/>
                <w:b w:val="0"/>
                <w:sz w:val="19"/>
              </w:rPr>
              <w:t>0/10</w:t>
            </w:r>
          </w:p>
        </w:tc>
        <w:tc>
          <w:tcPr>
            <w:tcW w:type="dxa" w:w="1417"/>
          </w:tcPr>
          <w:p>
            <w:pPr>
              <w:spacing w:line="288" w:lineRule="auto" w:before="20" w:after="20"/>
              <w:jc w:val="left"/>
            </w:pPr>
            <w:r/>
            <w:r>
              <w:rPr>
                <w:rFonts w:ascii="HY신명조" w:hAnsi="HY신명조" w:eastAsia="HY신명조"/>
                <w:b w:val="0"/>
                <w:sz w:val="19"/>
              </w:rPr>
              <w:t>약 7 m</w:t>
            </w:r>
          </w:p>
        </w:tc>
      </w:tr>
    </w:tbl>
    <w:p>
      <w:pPr>
        <w:spacing w:line="312" w:lineRule="auto" w:before="0" w:after="0"/>
      </w:pPr>
      <w:r>
        <w:rPr>
          <w:rFonts w:ascii="HY신명조" w:hAnsi="HY신명조" w:eastAsia="HY신명조"/>
          <w:b w:val="0"/>
          <w:sz w:val="19"/>
        </w:rPr>
        <w:t>조작 점검(조우 첫 틱 실측 속도): 4.2 팔 4.05~4.13(중앙 4.08), 3.6 팔 3.37~3.58(중앙 3.52), 3.0 팔 2.60~3.07(중앙 2.81) m/s — 전 런이 허용 오차 ±0.15 m/s를 포함한 요구 밴드 안이다. 회피 런의 보행자 최소간격은 1.8~5.4 m로 전부 실조우다.</w:t>
      </w:r>
    </w:p>
    <w:p>
      <w:pPr>
        <w:spacing w:line="501" w:lineRule="exact" w:before="0" w:after="0"/>
      </w:pPr>
    </w:p>
    <w:p>
      <w:pPr>
        <w:spacing w:line="501" w:lineRule="exact" w:before="0" w:after="0"/>
        <w:jc w:val="both"/>
      </w:pPr>
      <w:r>
        <w:rPr>
          <w:rFonts w:ascii="HY신명조" w:hAnsi="HY신명조" w:eastAsia="HY신명조"/>
          <w:b w:val="0"/>
          <w:sz w:val="22"/>
        </w:rPr>
        <w:t xml:space="preserve">   결과는 두 축 모두에서 단조다(표 5-8, 그림 5-6). 사전 지정 1차 종결점인 8 m 조우에서 상한 4.2는 10시드 전부 충돌, 3.0은 전부 회피로 불일치쌍 10:0, exact McNemar 양측 p=0.002이다 — 5절에서 검정 불능이었던 명시적 상한의 충돌 감소 효과가, 상한이 실제 성립한 정착 조우에서는 시드 전원 일치의 방향성으로 검출된다. 경계 특성화에서 회피/충돌 경계는 4.2 m/s → 9 m 초과(3절 사다리의 8~11 m와 정합), 3.6 m/s → 약 9 m(9 m에서 2/10), 3.0 m/s → 약 7 m(7 m에서 5/10, 8 m 이상 0/10)로, 상한을 낮출수록 안쪽으로 단조 이동한다. 특히 3.0 팔의 7 m 5/10은 7절 저속 사다리가 추정한 경계 구간(7~8 m)의 하단(약 7 m가 50% 충돌점)에 해당하는 상호 검증이다.</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5-6. </w:t>
      </w:r>
      <w:r>
        <w:rPr>
          <w:rFonts w:ascii="HY신명조" w:hAnsi="HY신명조" w:eastAsia="HY신명조"/>
          <w:b w:val="0"/>
          <w:sz w:val="19"/>
        </w:rPr>
        <w:t>용량-반응 실험(120런, 원장 판정). (a) 상한별 충돌률-스폰거리 곡선(Wilson 95% CI) — 상한을 낮출수록 회피/충돌 경계가 안쪽으로 단조 이동한다. (b) 사전 지정 1차 대비(8 m): 상한 4.2 m/s는 10/10 충돌, 3.0 m/s는 0/10 — 불일치 10:0, exact McNemar p=0.002.</w:t>
      </w:r>
    </w:p>
    <w:p>
      <w:pPr>
        <w:spacing w:line="501" w:lineRule="exact" w:before="0" w:after="0"/>
      </w:pPr>
    </w:p>
    <w:p>
      <w:pPr>
        <w:spacing w:line="501" w:lineRule="exact" w:before="0" w:after="0"/>
        <w:jc w:val="both"/>
      </w:pPr>
      <w:r>
        <w:rPr>
          <w:rFonts w:ascii="HY신명조" w:hAnsi="HY신명조" w:eastAsia="HY신명조"/>
          <w:b w:val="0"/>
          <w:sz w:val="22"/>
        </w:rPr>
        <w:t xml:space="preserve">   해석의 한계를 명기한다. 이 인과 결론은 상한이 성립한 정착 체제에 한정되며, 감지 직후 감속이 완료되기 전의 과도구간 위험(5~6절, 11/20)은 이 실험의 범위 밖이다 — 상한은 과도구간을 없애지 못하고, 정착 후의 물리적 안전 여유를 만든다. 상한값 3.0 m/s의 최적성은 주장하지 않으며(3.6 팔의 9 m 붕괴 시작은 중간 용량의 경계 위치를 보일 뿐이다), 셀당 n=10과 gn-mid 단일 고장·단일 대피 회랑의 조건 한정도 유지된다.</w:t>
      </w:r>
    </w:p>
    <w:p>
      <w:pPr>
        <w:spacing w:line="501" w:lineRule="exact" w:before="0" w:after="0"/>
      </w:pPr>
    </w:p>
    <w:p>
      <w:pPr>
        <w:spacing w:line="501" w:lineRule="exact" w:before="0" w:after="0"/>
      </w:pPr>
      <w:r>
        <w:rPr>
          <w:rFonts w:ascii="HY신명조" w:hAnsi="HY신명조" w:eastAsia="HY신명조"/>
          <w:b/>
          <w:sz w:val="28"/>
        </w:rPr>
        <w:t>9.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사양으로 둔다.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실행분, 본 캠페인과 동일 구조; 지연 n은 원장 지연 파싱 가능분, MRM 분모는 원장 도입 후 판정 가능분으로 시뮬레이터 실패 제외에 따라 90 미만이다)에서 원장 기반 시뮬레이션 시간으로 검증했다(표 5-9, 그림 5-1):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12" w:lineRule="auto" w:before="40" w:after="0"/>
      </w:pPr>
      <w:r>
        <w:rPr>
          <w:rFonts w:ascii="HY신명조" w:hAnsi="HY신명조" w:eastAsia="HY신명조"/>
          <w:b/>
          <w:sz w:val="19"/>
        </w:rPr>
        <w:t xml:space="preserve">표 5-9. </w:t>
      </w:r>
      <w:r>
        <w:rPr>
          <w:rFonts w:ascii="HY신명조" w:hAnsi="HY신명조" w:eastAsia="HY신명조"/>
          <w:b w:val="0"/>
          <w:sz w:val="19"/>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9"/>
              </w:rPr>
              <w:t>아종</w:t>
            </w:r>
          </w:p>
        </w:tc>
        <w:tc>
          <w:tcPr>
            <w:tcW w:type="dxa" w:w="1215"/>
          </w:tcPr>
          <w:p>
            <w:pPr>
              <w:keepNext/>
              <w:spacing w:line="288" w:lineRule="auto" w:before="20" w:after="20"/>
              <w:jc w:val="center"/>
            </w:pPr>
            <w:r/>
            <w:r>
              <w:rPr>
                <w:rFonts w:ascii="HY신명조" w:hAnsi="HY신명조" w:eastAsia="HY신명조"/>
                <w:b/>
                <w:sz w:val="19"/>
              </w:rPr>
              <w:t>n</w:t>
            </w:r>
          </w:p>
        </w:tc>
        <w:tc>
          <w:tcPr>
            <w:tcW w:type="dxa" w:w="1215"/>
          </w:tcPr>
          <w:p>
            <w:pPr>
              <w:keepNext/>
              <w:spacing w:line="288" w:lineRule="auto" w:before="20" w:after="20"/>
              <w:jc w:val="center"/>
            </w:pPr>
            <w:r/>
            <w:r>
              <w:rPr>
                <w:rFonts w:ascii="HY신명조" w:hAnsi="HY신명조" w:eastAsia="HY신명조"/>
                <w:b/>
                <w:sz w:val="19"/>
              </w:rPr>
              <w:t>중앙 [s]</w:t>
            </w:r>
          </w:p>
        </w:tc>
        <w:tc>
          <w:tcPr>
            <w:tcW w:type="dxa" w:w="1215"/>
          </w:tcPr>
          <w:p>
            <w:pPr>
              <w:keepNext/>
              <w:spacing w:line="288" w:lineRule="auto" w:before="20" w:after="20"/>
              <w:jc w:val="center"/>
            </w:pPr>
            <w:r/>
            <w:r>
              <w:rPr>
                <w:rFonts w:ascii="HY신명조" w:hAnsi="HY신명조" w:eastAsia="HY신명조"/>
                <w:b/>
                <w:sz w:val="19"/>
              </w:rPr>
              <w:t>P95 [s]</w:t>
            </w:r>
          </w:p>
        </w:tc>
        <w:tc>
          <w:tcPr>
            <w:tcW w:type="dxa" w:w="1215"/>
          </w:tcPr>
          <w:p>
            <w:pPr>
              <w:keepNext/>
              <w:spacing w:line="288" w:lineRule="auto" w:before="20" w:after="20"/>
              <w:jc w:val="center"/>
            </w:pPr>
            <w:r/>
            <w:r>
              <w:rPr>
                <w:rFonts w:ascii="HY신명조" w:hAnsi="HY신명조" w:eastAsia="HY신명조"/>
                <w:b/>
                <w:sz w:val="19"/>
              </w:rPr>
              <w:t>최대 [s]</w:t>
            </w:r>
          </w:p>
        </w:tc>
        <w:tc>
          <w:tcPr>
            <w:tcW w:type="dxa" w:w="1215"/>
          </w:tcPr>
          <w:p>
            <w:pPr>
              <w:keepNext/>
              <w:spacing w:line="288" w:lineRule="auto" w:before="20" w:after="20"/>
              <w:jc w:val="center"/>
            </w:pPr>
            <w:r/>
            <w:r>
              <w:rPr>
                <w:rFonts w:ascii="HY신명조" w:hAnsi="HY신명조" w:eastAsia="HY신명조"/>
                <w:b/>
                <w:sz w:val="19"/>
              </w:rPr>
              <w:t>&gt;1.5 s</w:t>
            </w:r>
          </w:p>
        </w:tc>
        <w:tc>
          <w:tcPr>
            <w:tcW w:type="dxa" w:w="1215"/>
          </w:tcPr>
          <w:p>
            <w:pPr>
              <w:keepNext/>
              <w:spacing w:line="288" w:lineRule="auto" w:before="20" w:after="20"/>
              <w:jc w:val="center"/>
            </w:pPr>
            <w:r/>
            <w:r>
              <w:rPr>
                <w:rFonts w:ascii="HY신명조" w:hAnsi="HY신명조" w:eastAsia="HY신명조"/>
                <w:b/>
                <w:sz w:val="19"/>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9"/>
              </w:rPr>
              <w:t>cf-제안</w:t>
            </w:r>
          </w:p>
        </w:tc>
        <w:tc>
          <w:tcPr>
            <w:tcW w:type="dxa" w:w="1215"/>
          </w:tcPr>
          <w:p>
            <w:pPr>
              <w:keepNext/>
              <w:spacing w:line="288" w:lineRule="auto" w:before="20" w:after="20"/>
              <w:jc w:val="left"/>
            </w:pPr>
            <w:r/>
            <w:r>
              <w:rPr>
                <w:rFonts w:ascii="HY신명조" w:hAnsi="HY신명조" w:eastAsia="HY신명조"/>
                <w:b w:val="0"/>
                <w:sz w:val="19"/>
              </w:rPr>
              <w:t>38</w:t>
            </w:r>
          </w:p>
        </w:tc>
        <w:tc>
          <w:tcPr>
            <w:tcW w:type="dxa" w:w="1215"/>
          </w:tcPr>
          <w:p>
            <w:pPr>
              <w:keepNext/>
              <w:spacing w:line="288" w:lineRule="auto" w:before="20" w:after="20"/>
              <w:jc w:val="left"/>
            </w:pPr>
            <w:r/>
            <w:r>
              <w:rPr>
                <w:rFonts w:ascii="HY신명조" w:hAnsi="HY신명조" w:eastAsia="HY신명조"/>
                <w:b w:val="0"/>
                <w:sz w:val="19"/>
              </w:rPr>
              <w:t>0.98</w:t>
            </w:r>
          </w:p>
        </w:tc>
        <w:tc>
          <w:tcPr>
            <w:tcW w:type="dxa" w:w="1215"/>
          </w:tcPr>
          <w:p>
            <w:pPr>
              <w:keepNext/>
              <w:spacing w:line="288" w:lineRule="auto" w:before="20" w:after="20"/>
              <w:jc w:val="left"/>
            </w:pPr>
            <w:r/>
            <w:r>
              <w:rPr>
                <w:rFonts w:ascii="HY신명조" w:hAnsi="HY신명조" w:eastAsia="HY신명조"/>
                <w:b w:val="0"/>
                <w:sz w:val="19"/>
              </w:rPr>
              <w:t>1.05</w:t>
            </w:r>
          </w:p>
        </w:tc>
        <w:tc>
          <w:tcPr>
            <w:tcW w:type="dxa" w:w="1215"/>
          </w:tcPr>
          <w:p>
            <w:pPr>
              <w:keepNext/>
              <w:spacing w:line="288" w:lineRule="auto" w:before="20" w:after="20"/>
              <w:jc w:val="left"/>
            </w:pPr>
            <w:r/>
            <w:r>
              <w:rPr>
                <w:rFonts w:ascii="HY신명조" w:hAnsi="HY신명조" w:eastAsia="HY신명조"/>
                <w:b w:val="0"/>
                <w:sz w:val="19"/>
              </w:rPr>
              <w:t>1.10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44/44</w:t>
            </w:r>
          </w:p>
        </w:tc>
      </w:tr>
      <w:tr>
        <w:trPr>
          <w:cantSplit/>
        </w:trPr>
        <w:tc>
          <w:tcPr>
            <w:tcW w:type="dxa" w:w="1215"/>
          </w:tcPr>
          <w:p>
            <w:pPr>
              <w:keepNext/>
              <w:spacing w:line="288" w:lineRule="auto" w:before="20" w:after="20"/>
              <w:jc w:val="left"/>
            </w:pPr>
            <w:r/>
            <w:r>
              <w:rPr>
                <w:rFonts w:ascii="HY신명조" w:hAnsi="HY신명조" w:eastAsia="HY신명조"/>
                <w:b w:val="0"/>
                <w:sz w:val="19"/>
              </w:rPr>
              <w:t>cf-baseline</w:t>
            </w:r>
          </w:p>
        </w:tc>
        <w:tc>
          <w:tcPr>
            <w:tcW w:type="dxa" w:w="1215"/>
          </w:tcPr>
          <w:p>
            <w:pPr>
              <w:keepNext/>
              <w:spacing w:line="288" w:lineRule="auto" w:before="20" w:after="20"/>
              <w:jc w:val="left"/>
            </w:pPr>
            <w:r/>
            <w:r>
              <w:rPr>
                <w:rFonts w:ascii="HY신명조" w:hAnsi="HY신명조" w:eastAsia="HY신명조"/>
                <w:b w:val="0"/>
                <w:sz w:val="19"/>
              </w:rPr>
              <w:t>40</w:t>
            </w:r>
          </w:p>
        </w:tc>
        <w:tc>
          <w:tcPr>
            <w:tcW w:type="dxa" w:w="1215"/>
          </w:tcPr>
          <w:p>
            <w:pPr>
              <w:keepNext/>
              <w:spacing w:line="288" w:lineRule="auto" w:before="20" w:after="20"/>
              <w:jc w:val="left"/>
            </w:pPr>
            <w:r/>
            <w:r>
              <w:rPr>
                <w:rFonts w:ascii="HY신명조" w:hAnsi="HY신명조" w:eastAsia="HY신명조"/>
                <w:b w:val="0"/>
                <w:sz w:val="19"/>
              </w:rPr>
              <w:t>1.00</w:t>
            </w:r>
          </w:p>
        </w:tc>
        <w:tc>
          <w:tcPr>
            <w:tcW w:type="dxa" w:w="1215"/>
          </w:tcPr>
          <w:p>
            <w:pPr>
              <w:keepNext/>
              <w:spacing w:line="288" w:lineRule="auto" w:before="20" w:after="20"/>
              <w:jc w:val="left"/>
            </w:pPr>
            <w:r/>
            <w:r>
              <w:rPr>
                <w:rFonts w:ascii="HY신명조" w:hAnsi="HY신명조" w:eastAsia="HY신명조"/>
                <w:b w:val="0"/>
                <w:sz w:val="19"/>
              </w:rPr>
              <w:t>1.05</w:t>
            </w:r>
          </w:p>
        </w:tc>
        <w:tc>
          <w:tcPr>
            <w:tcW w:type="dxa" w:w="1215"/>
          </w:tcPr>
          <w:p>
            <w:pPr>
              <w:keepNext/>
              <w:spacing w:line="288" w:lineRule="auto" w:before="20" w:after="20"/>
              <w:jc w:val="left"/>
            </w:pPr>
            <w:r/>
            <w:r>
              <w:rPr>
                <w:rFonts w:ascii="HY신명조" w:hAnsi="HY신명조" w:eastAsia="HY신명조"/>
                <w:b w:val="0"/>
                <w:sz w:val="19"/>
              </w:rPr>
              <w:t>1.10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44/44</w:t>
            </w:r>
          </w:p>
        </w:tc>
      </w:tr>
      <w:tr>
        <w:trPr>
          <w:cantSplit/>
        </w:trPr>
        <w:tc>
          <w:tcPr>
            <w:tcW w:type="dxa" w:w="1215"/>
          </w:tcPr>
          <w:p>
            <w:pPr>
              <w:keepNext/>
              <w:spacing w:line="288" w:lineRule="auto" w:before="20" w:after="20"/>
              <w:jc w:val="left"/>
            </w:pPr>
            <w:r/>
            <w:r>
              <w:rPr>
                <w:rFonts w:ascii="HY신명조" w:hAnsi="HY신명조" w:eastAsia="HY신명조"/>
                <w:b w:val="0"/>
                <w:sz w:val="19"/>
              </w:rPr>
              <w:t>lf-제안</w:t>
            </w:r>
          </w:p>
        </w:tc>
        <w:tc>
          <w:tcPr>
            <w:tcW w:type="dxa" w:w="1215"/>
          </w:tcPr>
          <w:p>
            <w:pPr>
              <w:keepNext/>
              <w:spacing w:line="288" w:lineRule="auto" w:before="20" w:after="20"/>
              <w:jc w:val="left"/>
            </w:pPr>
            <w:r/>
            <w:r>
              <w:rPr>
                <w:rFonts w:ascii="HY신명조" w:hAnsi="HY신명조" w:eastAsia="HY신명조"/>
                <w:b w:val="0"/>
                <w:sz w:val="19"/>
              </w:rPr>
              <w:t>41</w:t>
            </w:r>
          </w:p>
        </w:tc>
        <w:tc>
          <w:tcPr>
            <w:tcW w:type="dxa" w:w="1215"/>
          </w:tcPr>
          <w:p>
            <w:pPr>
              <w:keepNext/>
              <w:spacing w:line="288" w:lineRule="auto" w:before="20" w:after="20"/>
              <w:jc w:val="left"/>
            </w:pPr>
            <w:r/>
            <w:r>
              <w:rPr>
                <w:rFonts w:ascii="HY신명조" w:hAnsi="HY신명조" w:eastAsia="HY신명조"/>
                <w:b w:val="0"/>
                <w:sz w:val="19"/>
              </w:rPr>
              <w:t>1.00</w:t>
            </w:r>
          </w:p>
        </w:tc>
        <w:tc>
          <w:tcPr>
            <w:tcW w:type="dxa" w:w="1215"/>
          </w:tcPr>
          <w:p>
            <w:pPr>
              <w:keepNext/>
              <w:spacing w:line="288" w:lineRule="auto" w:before="20" w:after="20"/>
              <w:jc w:val="left"/>
            </w:pPr>
            <w:r/>
            <w:r>
              <w:rPr>
                <w:rFonts w:ascii="HY신명조" w:hAnsi="HY신명조" w:eastAsia="HY신명조"/>
                <w:b w:val="0"/>
                <w:sz w:val="19"/>
              </w:rPr>
              <w:t>1.15</w:t>
            </w:r>
          </w:p>
        </w:tc>
        <w:tc>
          <w:tcPr>
            <w:tcW w:type="dxa" w:w="1215"/>
          </w:tcPr>
          <w:p>
            <w:pPr>
              <w:keepNext/>
              <w:spacing w:line="288" w:lineRule="auto" w:before="20" w:after="20"/>
              <w:jc w:val="left"/>
            </w:pPr>
            <w:r/>
            <w:r>
              <w:rPr>
                <w:rFonts w:ascii="HY신명조" w:hAnsi="HY신명조" w:eastAsia="HY신명조"/>
                <w:b w:val="0"/>
                <w:sz w:val="19"/>
              </w:rPr>
              <w:t>1.20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33/33</w:t>
            </w:r>
          </w:p>
        </w:tc>
      </w:tr>
      <w:tr>
        <w:trPr>
          <w:cantSplit/>
        </w:trPr>
        <w:tc>
          <w:tcPr>
            <w:tcW w:type="dxa" w:w="1215"/>
          </w:tcPr>
          <w:p>
            <w:pPr>
              <w:spacing w:line="288" w:lineRule="auto" w:before="20" w:after="20"/>
              <w:jc w:val="left"/>
            </w:pPr>
            <w:r/>
            <w:r>
              <w:rPr>
                <w:rFonts w:ascii="HY신명조" w:hAnsi="HY신명조" w:eastAsia="HY신명조"/>
                <w:b w:val="0"/>
                <w:sz w:val="19"/>
              </w:rPr>
              <w:t>lf-baseline</w:t>
            </w:r>
          </w:p>
        </w:tc>
        <w:tc>
          <w:tcPr>
            <w:tcW w:type="dxa" w:w="1215"/>
          </w:tcPr>
          <w:p>
            <w:pPr>
              <w:spacing w:line="288" w:lineRule="auto" w:before="20" w:after="20"/>
              <w:jc w:val="left"/>
            </w:pPr>
            <w:r/>
            <w:r>
              <w:rPr>
                <w:rFonts w:ascii="HY신명조" w:hAnsi="HY신명조" w:eastAsia="HY신명조"/>
                <w:b w:val="0"/>
                <w:sz w:val="19"/>
              </w:rPr>
              <w:t>40</w:t>
            </w:r>
          </w:p>
        </w:tc>
        <w:tc>
          <w:tcPr>
            <w:tcW w:type="dxa" w:w="1215"/>
          </w:tcPr>
          <w:p>
            <w:pPr>
              <w:spacing w:line="288" w:lineRule="auto" w:before="20" w:after="20"/>
              <w:jc w:val="left"/>
            </w:pPr>
            <w:r/>
            <w:r>
              <w:rPr>
                <w:rFonts w:ascii="HY신명조" w:hAnsi="HY신명조" w:eastAsia="HY신명조"/>
                <w:b w:val="0"/>
                <w:sz w:val="19"/>
              </w:rPr>
              <w:t>1.00</w:t>
            </w:r>
          </w:p>
        </w:tc>
        <w:tc>
          <w:tcPr>
            <w:tcW w:type="dxa" w:w="1215"/>
          </w:tcPr>
          <w:p>
            <w:pPr>
              <w:spacing w:line="288" w:lineRule="auto" w:before="20" w:after="20"/>
              <w:jc w:val="left"/>
            </w:pPr>
            <w:r/>
            <w:r>
              <w:rPr>
                <w:rFonts w:ascii="HY신명조" w:hAnsi="HY신명조" w:eastAsia="HY신명조"/>
                <w:b w:val="0"/>
                <w:sz w:val="19"/>
              </w:rPr>
              <w:t>1.15</w:t>
            </w:r>
          </w:p>
        </w:tc>
        <w:tc>
          <w:tcPr>
            <w:tcW w:type="dxa" w:w="1215"/>
          </w:tcPr>
          <w:p>
            <w:pPr>
              <w:spacing w:line="288" w:lineRule="auto" w:before="20" w:after="20"/>
              <w:jc w:val="left"/>
            </w:pPr>
            <w:r/>
            <w:r>
              <w:rPr>
                <w:rFonts w:ascii="HY신명조" w:hAnsi="HY신명조" w:eastAsia="HY신명조"/>
                <w:b w:val="0"/>
                <w:sz w:val="19"/>
              </w:rPr>
              <w:t>1.20</w:t>
            </w:r>
          </w:p>
        </w:tc>
        <w:tc>
          <w:tcPr>
            <w:tcW w:type="dxa" w:w="1215"/>
          </w:tcPr>
          <w:p>
            <w:pPr>
              <w:spacing w:line="288" w:lineRule="auto" w:before="20" w:after="20"/>
              <w:jc w:val="left"/>
            </w:pPr>
            <w:r/>
            <w:r>
              <w:rPr>
                <w:rFonts w:ascii="HY신명조" w:hAnsi="HY신명조" w:eastAsia="HY신명조"/>
                <w:b w:val="0"/>
                <w:sz w:val="19"/>
              </w:rPr>
              <w:t>0건</w:t>
            </w:r>
          </w:p>
        </w:tc>
        <w:tc>
          <w:tcPr>
            <w:tcW w:type="dxa" w:w="1215"/>
          </w:tcPr>
          <w:p>
            <w:pPr>
              <w:spacing w:line="288" w:lineRule="auto" w:before="20" w:after="20"/>
              <w:jc w:val="left"/>
            </w:pPr>
            <w:r/>
            <w:r>
              <w:rPr>
                <w:rFonts w:ascii="HY신명조" w:hAnsi="HY신명조" w:eastAsia="HY신명조"/>
                <w:b w:val="0"/>
                <w:sz w:val="19"/>
              </w:rPr>
              <w:t>35/35</w:t>
            </w:r>
          </w:p>
        </w:tc>
      </w:tr>
    </w:tbl>
    <w:p>
      <w:pPr>
        <w:spacing w:line="312" w:lineRule="auto" w:before="0" w:after="0"/>
      </w:pPr>
      <w:r>
        <w:rPr>
          <w:rFonts w:ascii="HY신명조" w:hAnsi="HY신명조" w:eastAsia="HY신명조"/>
          <w:b w:val="0"/>
          <w:sz w:val="19"/>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과도구간 발사라는 최악 조건에서도 가장 낮은 충돌률을 보였으나(제5장 5절) 그 대가는 차선 점유의 지속이며(제5장 2절), 대피는 통제된 이동 노출과 과도구간 잔존 위험을 감수하는 대신 성공 시 차선을 반환하고 주행차선 밖 대피 위치로 이동한다. 차선 반환은 차로 점유 해소의 지표이지 최종 위치의 안전성 입증이 아니며, 갓길 위치의 2차 위험(후방 접근 차량 등)은 본 연구에서 직접 비교하지 않았다.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발생했고 정착 순항에서는 무충돌이었다는 사실(과도 11/20 대 정착 0/8, 제5장 5~6절)은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것임이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 인과 효과와 한계</w:t>
      </w:r>
    </w:p>
    <w:p>
      <w:pPr>
        <w:spacing w:line="501" w:lineRule="exact" w:before="0" w:after="0"/>
      </w:pPr>
    </w:p>
    <w:p>
      <w:pPr>
        <w:spacing w:line="501" w:lineRule="exact" w:before="0" w:after="0"/>
        <w:jc w:val="both"/>
      </w:pPr>
      <w:r>
        <w:rPr>
          <w:rFonts w:ascii="HY신명조" w:hAnsi="HY신명조" w:eastAsia="HY신명조"/>
          <w:b w:val="0"/>
          <w:sz w:val="22"/>
        </w:rPr>
        <w:t xml:space="preserve">   절제(제5장 5절)의 A3↔A4 무차이는 상한 효과의 부재가 아니라 검정 불능이었다 — 전달 결함으로 두 팔 모두 사실상 무캡이었음이 사후 판명되었고, 이 발견 자체가 판정 방법론(4절)의 연장이다. 전달을 수정하고 상한이 실제 성립한 정착 조우로 통제한 용량-반응 실험(제5장 8절)은 상한의 인과 효과를 검출했다: 8 m 쌍대 불일치 10:0(p=0.002), 경계의 단조 이동(9 m 초과→약 7 m). 이로써 상한의 역할은 두 겹으로 정리된다 — 정착 체제에서는 회피 경계를 물리적으로 안쪽 이동시키는 검증된 효과이고, 과도구간에서는 상한 속도 자체가 아직 성립하지 않아 보호가 미치지 않는다(4절 과도 조건에서 실측한 조우 속도 3.5~3.8 m/s; 절제 충돌 11/20). 즉 상한의 가치는 자연 감속에 의존하지 않는 명시적 재가속 억제 상계이되, 그 보호는 감속 완료 후에만 유효하다. 상한값 3.0 m/s는 근거를 갖되 최적성을 주장하지 않으며(3.6의 9 m 경계는 중간 용량의 위치를 보인다), 형식적 폐루프 속도 보장도 아니며, 이 검증은 gn-mid 단일 고장·단일 대피 회랑 조건에 한정된다(제5장 8절).</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오라클·사람 육안의 교차, 종료 라벨·공식 인프랙션의 함정 명시로 이를 다뤘다. 속도 상한 미전달 사건(제5장 8절)은 같은 교훈의 인터페이스 판이다 — 발행 로그는 전달의 증거가 아니며, 토픽 이름이 아니라 메시지 타입까지가 인터페이스 계약이고, 액추에이션 명령은 하류 실효(실차 속도)로 검증해야 한다.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의존성도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m)와 용량-반응 결과(제5장 8절)는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실험은 확장 회차를 더해 팔당 n=20이나, 여전히 primary contrast의 미검출을 동등성으로 확장할 수 없는 표본 크기이며, 대피 팔의 충돌률 점추정이 표본 확대로 30~40%에서 50~55%로 이동한 사례가 소표본 점추정의 취약성을 보여준다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조우 근접도 보조 지표로 기록한 최소 간격(min-gap)의 임계(1.25 m)는 횡 접근 기준으로, 종방향 접근에서는 과대평가일 수 있다. (vi) 보행자 명령 속도({2.5, 3.0} m/s)와 실측 속도의 괴리는 워커 컨트롤러의 스폰 후 가속 과도에 기인한다 — 틱 계측 조우 런(n=90)에서 스폰 0.5 s 창 중앙 2.46 m/s(1.2~3.0), 1 s 창 중앙 2.50 m/s로 이후 명령의 약 95%에 도달한다. 절제 실험에서는 시드별 명령 속도 고정으로 통제하고 물리 틱 로그로 실측 속도를 남겼으며, 경계의 물리 해석에는 명령이 아닌 실측 분포를 기준으로 삼아야 한다.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검출률을 보였고(중앙 감지 지연: 하드 페일 약 1.0 s·열화형 2.1~5.0 s) 무고장 45케이스에서 오발동이 없었으며, 감시는 고장 상태 노출을 무감시 238~275 m에서 카메라·항법 계열 기준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m(모델 8.8 m와 일치), 3.0 m/s에서 7~8 m(모델 5.79 m는 하한 근사)였고, 동일 시드 4팔 절제(팔당 n=20)에서 감지+정지는 0/20, 대피는 10~11/20(전부 과도구간), 순정 지속 주행은 14/20 충돌이었으며, 같은 저속 대피 정책이 정착 순항에서는 0/8 무충돌이었다. 절제의 명시적 상한이 전달 결함으로 무효였음을 사후 발견·수정한 뒤, 상한이 실제 성립한 정착 조우의 용량-반응 실험(상한 3종×거리 4종×10시드=120런, 사전 지정 계획서)에서 상한 4.2 대 3.0 m/s는 8 m 쌍대 불일치 10:0(exact McNemar p=0.002)으로 충돌 감소 효과가 검출되었고, 회피/충돌 경계는 상한을 낮출수록 단조로 안쪽 이동했다(9 m 초과→약 7 m). 하드 페일(신호 두절)은 증거 성격을 구분하는 고속 판정 경로로 감지·판정을 1.5 s 마감 안에 완료한다(전 매트릭스 실측 최대 1.20 s, 제5장 9절).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집중되고, 정착 후의 저속은 회피 경계를 실제로 안쪽 이동시킨다(과도 11/20 대 정착 0/8; 용량-반응 10:0, p=0.002)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용량-반응 실험의 복수 고장·복수 회랑 확장,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from 238-275 m (unsupervised stock) to 32-58 m (detect + evacuate, camera and navigation families).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pedestrian-physics oracle, and a human visual cross-check protocol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nominally capped (3.0 m/s) evacuation in 11/20 (exact McNemar, native continuation (A1) vs nominally capped evacuation (A4): p=0.375). A post-campaign audit found that the explicit cap had never been delivered to the planning layer (messages silently discarded on the same topic name due to a message-type mismatch), so both evacuation arms were de facto the same policy; the cap was fixed (type match + periodic republish) and its effect was then tested causally in a dose-response experiment restricted to settled encounters where the cap actually held (3 caps × 4 spawn distances × 10 seeds = 120 runs, settlement-state trigger, pre-specified primary endpoint): at 8 m, cap 4.2 vs 3.0 m/s gave discordant pairs 10:0 (exact McNemar p=0.002),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1.5-s detection-to-decision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