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35</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53</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54</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59</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59</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62</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64</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71</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39</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56</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16개소(레인렛 형상)와 주차장 후보 4개소(폴리곤), 기준 경로(파선)</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31</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그림 5-2. 연속 건강도 궤적 — 상태 전이 입력(perception 능력) 점수의 대역 분리: (a) 라이다 희박화(lso), (b) 카메라 화소 노이즈(cn), 이중 임계 0.7/0.3 병기</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54</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HY신명조" w:hAnsi="HY신명조" w:eastAsia="HY신명조"/>
          <w:b w:val="0"/>
          <w:sz w:val="22"/>
        </w:rPr>
        <w:t>그림 1-1. 문제 설정. (a) 센서 고장 시의 단계적 대피 선택지 — ① 여유 공간(free space), ② 주차장, ③ 전방 갓길, ④ 차선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CARLA-브리지-Autoware 폐루프의 상류(브리지)에서 센서 고장이 주입되고, 감독 계층(그림 표기 CDR Monitor = cdr_monitor, MRM Supervisor = mrm_supervisor)이 부가(add-on)로 부착된다. 감시 모듈이 센서 토픽을 읽기 전용 구독해 건강 점수를 발행하면, 감독자가 경로 재설정·속도 상한(대피) 또는 진단 ERROR 주입(위임)으로 실행 계층에 개입한다.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HY신명조" w:hAnsi="HY신명조" w:eastAsia="HY신명조"/>
          <w:b w:val="0"/>
          <w:sz w:val="22"/>
        </w:rPr>
        <w:t>그림 3-3. 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16개소(레인렛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HY신명조" w:hAnsi="HY신명조" w:eastAsia="HY신명조"/>
          <w:b w:val="0"/>
          <w:sz w:val="22"/>
        </w:rPr>
        <w:t>그림 4-2.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 — 백색 노이즈(gn)·상관 편향(gb)·바이어스 램프(imd)의 시간 구조.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HY신명조" w:hAnsi="HY신명조" w:eastAsia="HY신명조"/>
          <w:b w:val="0"/>
          <w:sz w:val="22"/>
        </w:rPr>
        <w:t>그림 4-3. 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HY신명조" w:hAnsi="HY신명조" w:eastAsia="HY신명조"/>
          <w:b w:val="0"/>
          <w:sz w:val="22"/>
        </w:rPr>
        <w:t>그림 5-1. 고장 조건별 감지 지연 분포(제안 팔, 주입 시점 기준). 상단은 본 캠페인, 하단은 보조 캠페인(항법 확장, 표 4-2 †)이며, 카메라·라이다 사망(†)은 하드 페일 고속경로의 원장 기반 시뮬레이션 시간 재계측이다(제5장 8절). 굵은 가로 막대는 중앙값이고, GNSS 두절(gf)의 우측 꼬리는 적신호 정차 중 주입되어 재출발 후 감지된 케이스이다.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obstacle 채널은 상태 전이 발동 채널이 아닌 MRM 이동 게이트 전용이며, 0.7 하방 요동(개활지·선회 시 섹터 커버리지 변화)은 발동 대상이 아니므로 오발동 0건과 모순되지 않는다. 단, 항법 계열(gn·imn)의 건강도는 /monitor/scores 토픽이 아니라 감독자 내부의 잔차 감지기(loc_meas/loc_jump)에서 산출되는 구조이므로, 본 관측은 /monitor/scores의 라이다 열화 채널 기준이다.</w:t>
      </w:r>
    </w:p>
    <w:p>
      <w:pPr>
        <w:keepNext/>
        <w:spacing w:line="240" w:lineRule="auto"/>
        <w:jc w:val="center"/>
      </w:pPr>
      <w:r>
        <w:drawing>
          <wp:inline xmlns:a="http://schemas.openxmlformats.org/drawingml/2006/main" xmlns:pic="http://schemas.openxmlformats.org/drawingml/2006/picture">
            <wp:extent cx="5220000" cy="2011345"/>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2011345"/>
                    </a:xfrm>
                    <a:prstGeom prst="rect"/>
                  </pic:spPr>
                </pic:pic>
              </a:graphicData>
            </a:graphic>
          </wp:inline>
        </w:drawing>
      </w:r>
    </w:p>
    <w:p>
      <w:pPr>
        <w:keepLines/>
        <w:spacing w:line="360" w:lineRule="auto" w:before="0" w:after="0"/>
      </w:pPr>
      <w:r>
        <w:rPr>
          <w:rFonts w:ascii="HY신명조" w:hAnsi="HY신명조" w:eastAsia="HY신명조"/>
          <w:b w:val="0"/>
          <w:sz w:val="22"/>
        </w:rPr>
        <w:t>그림 5-2. 연속 건강도 궤적 — 상태 전이 입력(perception 능력) 점수의 대역 분리: (a) 라이다 희박화(lso), (b) 카메라 화소 노이즈(cn), 이중 임계 0.7/0.3 병기. 조건당 대표 단일 런이며 워밍업·종료 stale 아티팩트는 절단했다. 항법 계열(gn·imn)의 결정 변수는 /monitor/scores가 아닌 감독자 내부 잔차 감지기에서 산출되므로 본 그림의 대상이 아니다. 수직 점선은 해당 센서 원시 점수의 계단 하강으로 검출한 고장 발현 시점이다(lso-mid는 계단이 품질 지표 변동에 묻혀 미표기 — 감내 등급과 정합).</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거동(전 조합: 고장-심각도 × 방법)을 표 5-2에 요약한다.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HY신명조" w:hAnsi="HY신명조" w:eastAsia="HY신명조"/>
          <w:b w:val="0"/>
          <w:sz w:val="22"/>
        </w:rPr>
        <w:t>그림 5-3. 정지거리 모델 d = vτ + v²/2a(τ=1.5 s, a=3.5 m/s²)와 거리 사다리 실측 회피/충돌 경계(음영 밴드). 4.2 m/s의 실측 경계(8~11 m)는 모델 예측 8.8 m와 일치하고, 3.0 m/s의 경계(7~8 m)는 예측 5.79 m 대비 보수적이다(플래너 반응 분산).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HY신명조" w:hAnsi="HY신명조" w:eastAsia="HY신명조"/>
          <w:b w:val="0"/>
          <w:sz w:val="22"/>
        </w:rPr>
        <w:t>그림 5-4.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 감지+3 s의 과도구간(감속 미완) 발사에서는 11/20이 충돌한 반면, 감속이 완료된 정착 순항(3.0 m/s 재출발 순항, 8 m 조우 재실험)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결과(원장 판정, 합산 n=20). (a) 4팔의 충돌/회피 분해 — 감지+3 s 과도구간 발사. (b) 동일 상한(3.0 m/s) 대피 정책의 2체제 대비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본 캠페인과 동일 구조)에서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60" w:lineRule="auto" w:before="0" w:after="0"/>
      </w:pPr>
      <w:r>
        <w:rPr>
          <w:rFonts w:ascii="HY신명조" w:hAnsi="HY신명조" w:eastAsia="HY신명조"/>
          <w:b w:val="0"/>
          <w:sz w:val="22"/>
        </w:rPr>
        <w:t>표 5-8. 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