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jc w:val="center"/>
      </w:pPr>
      <w:r>
        <w:rPr>
          <w:rFonts w:ascii="Times New Roman" w:hAnsi="Times New Roman" w:eastAsia="HY신명조"/>
          <w:b w:val="0"/>
          <w:sz w:val="28"/>
        </w:rPr>
        <w:t>자율주행 차량의 페일세이프 운행을 위한 연속 센서 건강도 감시와</w:t>
      </w:r>
    </w:p>
    <w:p>
      <w:pPr>
        <w:spacing w:line="360" w:lineRule="auto" w:before="0" w:after="0"/>
        <w:jc w:val="center"/>
      </w:pPr>
      <w:r>
        <w:rPr>
          <w:rFonts w:ascii="Times New Roman" w:hAnsi="Times New Roman" w:eastAsia="HY신명조"/>
          <w:b w:val="0"/>
          <w:sz w:val="28"/>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jc w:val="center"/>
      </w:pPr>
      <w:r>
        <w:rPr>
          <w:rFonts w:ascii="Times New Roman" w:hAnsi="Times New Roman" w:eastAsia="HY신명조"/>
          <w:b w:val="0"/>
          <w:sz w:val="28"/>
        </w:rPr>
        <w:t>자율주행 차량의 페일세이프 운행을 위한 연속 센서 건강도 감시와</w:t>
      </w:r>
    </w:p>
    <w:p>
      <w:pPr>
        <w:spacing w:line="360" w:lineRule="auto" w:before="0" w:after="0"/>
        <w:jc w:val="center"/>
      </w:pPr>
      <w:r>
        <w:rPr>
          <w:rFonts w:ascii="Times New Roman" w:hAnsi="Times New Roman" w:eastAsia="HY신명조"/>
          <w:b w:val="0"/>
          <w:sz w:val="28"/>
        </w:rPr>
        <w:t>위험·잔여능력 기반 단계적 최소위험기동 감독</w:t>
      </w:r>
    </w:p>
    <w:p>
      <w:pPr>
        <w:spacing w:line="360" w:lineRule="auto" w:before="0" w:after="0"/>
      </w:pPr>
    </w:p>
    <w:p>
      <w:pPr>
        <w:spacing w:line="360" w:lineRule="auto" w:before="0" w:after="0"/>
        <w:jc w:val="center"/>
      </w:pPr>
      <w:r>
        <w:rPr>
          <w:rFonts w:ascii="Times New Roman" w:hAnsi="Times New Roman" w:eastAsia="HY신명조"/>
          <w:b w:val="0"/>
          <w:sz w:val="26"/>
        </w:rPr>
        <w:t>A thesis submitted to the Graduate School of Sungkyunkwan University</w:t>
      </w:r>
    </w:p>
    <w:p>
      <w:pPr>
        <w:spacing w:line="360" w:lineRule="auto" w:before="0" w:after="0"/>
        <w:jc w:val="center"/>
      </w:pPr>
      <w:r>
        <w:rPr>
          <w:rFonts w:ascii="Times New Roman" w:hAnsi="Times New Roman" w:eastAsia="HY신명조"/>
          <w:b w:val="0"/>
          <w:sz w:val="26"/>
        </w:rPr>
        <w:t>in partial fulfillment of the requirements for the degree of</w:t>
      </w:r>
    </w:p>
    <w:p>
      <w:pPr>
        <w:spacing w:line="360" w:lineRule="auto" w:before="0" w:after="0"/>
        <w:jc w:val="center"/>
      </w:pPr>
      <w:r>
        <w:rPr>
          <w:rFonts w:ascii="Times New Roman" w:hAnsi="Times New Roman" w:eastAsia="HY신명조"/>
          <w:b w:val="0"/>
          <w:sz w:val="26"/>
        </w:rPr>
        <w:t>Master of Science in Engineering</w:t>
      </w:r>
    </w:p>
    <w:p>
      <w:pPr>
        <w:spacing w:line="360" w:lineRule="auto" w:before="0" w:after="0"/>
      </w:pPr>
    </w:p>
    <w:p>
      <w:pPr>
        <w:spacing w:line="360" w:lineRule="auto" w:before="0" w:after="0"/>
        <w:jc w:val="center"/>
      </w:pPr>
      <w:r>
        <w:rPr>
          <w:rFonts w:ascii="Times New Roman" w:hAnsi="Times New Roman" w:eastAsia="HY신명조"/>
          <w:b w:val="0"/>
          <w:sz w:val="28"/>
        </w:rPr>
        <w:t>April 2026</w:t>
      </w: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sz w:val="32"/>
        </w:rPr>
        <w:t>This certifies that the master's thesis</w:t>
      </w:r>
    </w:p>
    <w:p>
      <w:pPr>
        <w:spacing w:line="501" w:lineRule="exact" w:before="0" w:after="0"/>
        <w:jc w:val="center"/>
      </w:pPr>
      <w:r>
        <w:rPr>
          <w:rFonts w:ascii="Times New Roman" w:hAnsi="Times New Roman" w:eastAsia="HY신명조"/>
          <w:b/>
          <w:sz w:val="32"/>
        </w:rPr>
        <w:t>of ○ ○ ○ is approved.</w:t>
      </w: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val="0"/>
          <w:sz w:val="32"/>
        </w:rPr>
        <w:t>June 2026</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Times New Roman" w:hAnsi="Times New Roman" w:eastAsia="HY신명조"/>
          <w:b w:val="0"/>
          <w:sz w:val="28"/>
        </w:rPr>
        <w:t>Committee Chair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Times New Roman" w:hAnsi="Times New Roman" w:eastAsia="HY신명조"/>
          <w:b/>
          <w:sz w:val="32"/>
        </w:rPr>
        <w:t>Table of Contents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Chapter 1. Introduction</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1. Research Background</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2. Research Questions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3. Contributions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4. Thesis Organization</w:t>
      </w:r>
      <w:r>
        <w:rPr>
          <w:rFonts w:ascii="Times New Roman" w:hAnsi="Times New Roman" w:eastAsia="HY신명조"/>
          <w:b w:val="0"/>
          <w:sz w:val="22"/>
        </w:rPr>
        <w:tab/>
        <w:t>6</w:t>
      </w:r>
    </w:p>
    <w:p>
      <w:pPr>
        <w:tabs>
          <w:tab w:pos="8504" w:val="right" w:leader="dot"/>
        </w:tabs>
        <w:spacing w:line="501" w:lineRule="exact"/>
        <w:ind w:left="0"/>
      </w:pPr>
      <w:r>
        <w:rPr>
          <w:rFonts w:ascii="Times New Roman" w:hAnsi="Times New Roman" w:eastAsia="HY신명조"/>
          <w:b w:val="0"/>
          <w:sz w:val="22"/>
        </w:rPr>
        <w:t>Chapter 2. Background and Related Work</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1. Standards and Regulatory Frameworks</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2. FTTI and the Derivation of Time Budgets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3. Fault Detection Theory and Sensor Degradation Models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4. Fallback and MRM Planning</w:t>
      </w:r>
      <w:r>
        <w:rPr>
          <w:rFonts w:ascii="Times New Roman" w:hAnsi="Times New Roman" w:eastAsia="HY신명조"/>
          <w:b w:val="0"/>
          <w:sz w:val="22"/>
        </w:rPr>
        <w:tab/>
        <w:t>9</w:t>
      </w:r>
    </w:p>
    <w:p>
      <w:pPr>
        <w:tabs>
          <w:tab w:pos="7937" w:val="right" w:leader="dot"/>
        </w:tabs>
        <w:spacing w:line="501" w:lineRule="exact"/>
        <w:ind w:left="567"/>
      </w:pPr>
      <w:r>
        <w:rPr>
          <w:rFonts w:ascii="Times New Roman" w:hAnsi="Times New Roman" w:eastAsia="HY신명조"/>
          <w:b w:val="0"/>
          <w:sz w:val="22"/>
        </w:rPr>
        <w:t>5. Capability-Based Self-Monitoring and Runtime Monitoring</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6. Simulation-Based Evaluation and Fault Injection</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7. Comparison with Prior Work</w:t>
      </w:r>
      <w:r>
        <w:rPr>
          <w:rFonts w:ascii="Times New Roman" w:hAnsi="Times New Roman" w:eastAsia="HY신명조"/>
          <w:b w:val="0"/>
          <w:sz w:val="22"/>
        </w:rPr>
        <w:tab/>
        <w:t>12</w:t>
      </w:r>
    </w:p>
    <w:p>
      <w:pPr>
        <w:tabs>
          <w:tab w:pos="8504" w:val="right" w:leader="dot"/>
        </w:tabs>
        <w:spacing w:line="501" w:lineRule="exact"/>
        <w:ind w:left="0"/>
      </w:pPr>
      <w:r>
        <w:rPr>
          <w:rFonts w:ascii="Times New Roman" w:hAnsi="Times New Roman" w:eastAsia="HY신명조"/>
          <w:b w:val="0"/>
          <w:sz w:val="22"/>
        </w:rPr>
        <w:t>Chapter 3. Proposed System</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1. System Architecture</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2. Sensor Scoring</w:t>
      </w:r>
      <w:r>
        <w:rPr>
          <w:rFonts w:ascii="Times New Roman" w:hAnsi="Times New Roman" w:eastAsia="HY신명조"/>
          <w:b w:val="0"/>
          <w:sz w:val="22"/>
        </w:rPr>
        <w:tab/>
        <w:t>16</w:t>
      </w:r>
    </w:p>
    <w:p>
      <w:pPr>
        <w:tabs>
          <w:tab w:pos="7937" w:val="right" w:leader="dot"/>
        </w:tabs>
        <w:spacing w:line="501" w:lineRule="exact"/>
        <w:ind w:left="567"/>
      </w:pPr>
      <w:r>
        <w:rPr>
          <w:rFonts w:ascii="Times New Roman" w:hAnsi="Times New Roman" w:eastAsia="HY신명조"/>
          <w:b w:val="0"/>
          <w:sz w:val="22"/>
        </w:rPr>
        <w:t>3. Spatial Sectors and Capability Synthesis</w:t>
      </w:r>
      <w:r>
        <w:rPr>
          <w:rFonts w:ascii="Times New Roman" w:hAnsi="Times New Roman" w:eastAsia="HY신명조"/>
          <w:b w:val="0"/>
          <w:sz w:val="22"/>
        </w:rPr>
        <w:tab/>
        <w:t>18</w:t>
      </w:r>
    </w:p>
    <w:p>
      <w:pPr>
        <w:tabs>
          <w:tab w:pos="7937" w:val="right" w:leader="dot"/>
        </w:tabs>
        <w:spacing w:line="501" w:lineRule="exact"/>
        <w:ind w:left="567"/>
      </w:pPr>
      <w:r>
        <w:rPr>
          <w:rFonts w:ascii="Times New Roman" w:hAnsi="Times New Roman" w:eastAsia="HY신명조"/>
          <w:b w:val="0"/>
          <w:sz w:val="22"/>
        </w:rPr>
        <w:t>4. Risk-Coupled Dynamic Detection Budget</w:t>
      </w:r>
      <w:r>
        <w:rPr>
          <w:rFonts w:ascii="Times New Roman" w:hAnsi="Times New Roman" w:eastAsia="HY신명조"/>
          <w:b w:val="0"/>
          <w:sz w:val="22"/>
        </w:rPr>
        <w:tab/>
        <w:t>19</w:t>
      </w:r>
    </w:p>
    <w:p>
      <w:pPr>
        <w:tabs>
          <w:tab w:pos="7937" w:val="right" w:leader="dot"/>
        </w:tabs>
        <w:spacing w:line="501" w:lineRule="exact"/>
        <w:ind w:left="567"/>
      </w:pPr>
      <w:r>
        <w:rPr>
          <w:rFonts w:ascii="Times New Roman" w:hAnsi="Times New Roman" w:eastAsia="HY신명조"/>
          <w:b w:val="0"/>
          <w:sz w:val="22"/>
        </w:rPr>
        <w:t>5. MRM Supervisor</w:t>
      </w:r>
      <w:r>
        <w:rPr>
          <w:rFonts w:ascii="Times New Roman" w:hAnsi="Times New Roman" w:eastAsia="HY신명조"/>
          <w:b w:val="0"/>
          <w:sz w:val="22"/>
        </w:rPr>
        <w:tab/>
        <w:t>21</w:t>
      </w:r>
    </w:p>
    <w:p>
      <w:pPr>
        <w:tabs>
          <w:tab w:pos="7937" w:val="right" w:leader="dot"/>
        </w:tabs>
        <w:spacing w:line="501" w:lineRule="exact"/>
        <w:ind w:left="567"/>
      </w:pPr>
      <w:r>
        <w:rPr>
          <w:rFonts w:ascii="Times New Roman" w:hAnsi="Times New Roman" w:eastAsia="HY신명조"/>
          <w:b w:val="0"/>
          <w:sz w:val="22"/>
        </w:rPr>
        <w:t>6. Remaining-Capability-Based Conservative Low-Speed MRM Movement (Speed Cap)</w:t>
      </w:r>
      <w:r>
        <w:rPr>
          <w:rFonts w:ascii="Times New Roman" w:hAnsi="Times New Roman" w:eastAsia="HY신명조"/>
          <w:b w:val="0"/>
          <w:sz w:val="22"/>
        </w:rPr>
        <w:tab/>
        <w:t>25</w:t>
      </w:r>
    </w:p>
    <w:p>
      <w:pPr>
        <w:tabs>
          <w:tab w:pos="7937" w:val="right" w:leader="dot"/>
        </w:tabs>
        <w:spacing w:line="501" w:lineRule="exact"/>
        <w:ind w:left="567"/>
      </w:pPr>
      <w:r>
        <w:rPr>
          <w:rFonts w:ascii="Times New Roman" w:hAnsi="Times New Roman" w:eastAsia="HY신명조"/>
          <w:b w:val="0"/>
          <w:sz w:val="22"/>
        </w:rPr>
        <w:t>7. MRM Candidate Map Annotation</w:t>
      </w:r>
      <w:r>
        <w:rPr>
          <w:rFonts w:ascii="Times New Roman" w:hAnsi="Times New Roman" w:eastAsia="HY신명조"/>
          <w:b w:val="0"/>
          <w:sz w:val="22"/>
        </w:rPr>
        <w:tab/>
        <w:t>27</w:t>
      </w:r>
    </w:p>
    <w:p>
      <w:pPr>
        <w:tabs>
          <w:tab w:pos="7937" w:val="right" w:leader="dot"/>
        </w:tabs>
        <w:spacing w:line="501" w:lineRule="exact"/>
        <w:ind w:left="567"/>
      </w:pPr>
      <w:r>
        <w:rPr>
          <w:rFonts w:ascii="Times New Roman" w:hAnsi="Times New Roman" w:eastAsia="HY신명조"/>
          <w:b w:val="0"/>
          <w:sz w:val="22"/>
        </w:rPr>
        <w:t>8. Boundary and Interface with the Execution Layer</w:t>
      </w:r>
      <w:r>
        <w:rPr>
          <w:rFonts w:ascii="Times New Roman" w:hAnsi="Times New Roman" w:eastAsia="HY신명조"/>
          <w:b w:val="0"/>
          <w:sz w:val="22"/>
        </w:rPr>
        <w:tab/>
        <w:t>28</w:t>
      </w:r>
    </w:p>
    <w:p>
      <w:pPr>
        <w:tabs>
          <w:tab w:pos="8504" w:val="right" w:leader="dot"/>
        </w:tabs>
        <w:spacing w:line="501" w:lineRule="exact"/>
        <w:ind w:left="0"/>
      </w:pPr>
      <w:r>
        <w:rPr>
          <w:rFonts w:ascii="Times New Roman" w:hAnsi="Times New Roman" w:eastAsia="HY신명조"/>
          <w:b w:val="0"/>
          <w:sz w:val="22"/>
        </w:rPr>
        <w:t>Chapter 4. Experimental Environment and Design</w:t>
      </w:r>
      <w:r>
        <w:rPr>
          <w:rFonts w:ascii="Times New Roman" w:hAnsi="Times New Roman" w:eastAsia="HY신명조"/>
          <w:b w:val="0"/>
          <w:sz w:val="22"/>
        </w:rPr>
        <w:tab/>
        <w:t>29</w:t>
      </w:r>
    </w:p>
    <w:p>
      <w:pPr>
        <w:tabs>
          <w:tab w:pos="7937" w:val="right" w:leader="dot"/>
        </w:tabs>
        <w:spacing w:line="501" w:lineRule="exact"/>
        <w:ind w:left="567"/>
      </w:pPr>
      <w:r>
        <w:rPr>
          <w:rFonts w:ascii="Times New Roman" w:hAnsi="Times New Roman" w:eastAsia="HY신명조"/>
          <w:b w:val="0"/>
          <w:sz w:val="22"/>
        </w:rPr>
        <w:t>1. Experimental Environment</w:t>
      </w:r>
      <w:r>
        <w:rPr>
          <w:rFonts w:ascii="Times New Roman" w:hAnsi="Times New Roman" w:eastAsia="HY신명조"/>
          <w:b w:val="0"/>
          <w:sz w:val="22"/>
        </w:rPr>
        <w:tab/>
        <w:t>29</w:t>
      </w:r>
    </w:p>
    <w:p>
      <w:pPr>
        <w:tabs>
          <w:tab w:pos="7937" w:val="right" w:leader="dot"/>
        </w:tabs>
        <w:spacing w:line="501" w:lineRule="exact"/>
        <w:ind w:left="567"/>
      </w:pPr>
      <w:r>
        <w:rPr>
          <w:rFonts w:ascii="Times New Roman" w:hAnsi="Times New Roman" w:eastAsia="HY신명조"/>
          <w:b w:val="0"/>
          <w:sz w:val="22"/>
        </w:rPr>
        <w:t>2. Fault Model</w:t>
      </w:r>
      <w:r>
        <w:rPr>
          <w:rFonts w:ascii="Times New Roman" w:hAnsi="Times New Roman" w:eastAsia="HY신명조"/>
          <w:b w:val="0"/>
          <w:sz w:val="22"/>
        </w:rPr>
        <w:tab/>
        <w:t>31</w:t>
      </w:r>
    </w:p>
    <w:p>
      <w:pPr>
        <w:tabs>
          <w:tab w:pos="7937" w:val="right" w:leader="dot"/>
        </w:tabs>
        <w:spacing w:line="501" w:lineRule="exact"/>
        <w:ind w:left="567"/>
      </w:pPr>
      <w:r>
        <w:rPr>
          <w:rFonts w:ascii="Times New Roman" w:hAnsi="Times New Roman" w:eastAsia="HY신명조"/>
          <w:b w:val="0"/>
          <w:sz w:val="22"/>
        </w:rPr>
        <w:t>3. Main Campaign Matrix</w:t>
      </w:r>
      <w:r>
        <w:rPr>
          <w:rFonts w:ascii="Times New Roman" w:hAnsi="Times New Roman" w:eastAsia="HY신명조"/>
          <w:b w:val="0"/>
          <w:sz w:val="22"/>
        </w:rPr>
        <w:tab/>
        <w:t>33</w:t>
      </w:r>
    </w:p>
    <w:p>
      <w:pPr>
        <w:tabs>
          <w:tab w:pos="7937" w:val="right" w:leader="dot"/>
        </w:tabs>
        <w:spacing w:line="501" w:lineRule="exact"/>
        <w:ind w:left="567"/>
      </w:pPr>
      <w:r>
        <w:rPr>
          <w:rFonts w:ascii="Times New Roman" w:hAnsi="Times New Roman" w:eastAsia="HY신명조"/>
          <w:b w:val="0"/>
          <w:sz w:val="22"/>
        </w:rPr>
        <w:t>4. Pedestrian Dart-out Encounter Injector</w:t>
      </w:r>
      <w:r>
        <w:rPr>
          <w:rFonts w:ascii="Times New Roman" w:hAnsi="Times New Roman" w:eastAsia="HY신명조"/>
          <w:b w:val="0"/>
          <w:sz w:val="22"/>
        </w:rPr>
        <w:tab/>
        <w:t>36</w:t>
      </w:r>
    </w:p>
    <w:p>
      <w:pPr>
        <w:tabs>
          <w:tab w:pos="7937" w:val="right" w:leader="dot"/>
        </w:tabs>
        <w:spacing w:line="501" w:lineRule="exact"/>
        <w:ind w:left="567"/>
      </w:pPr>
      <w:r>
        <w:rPr>
          <w:rFonts w:ascii="Times New Roman" w:hAnsi="Times New Roman" w:eastAsia="HY신명조"/>
          <w:b w:val="0"/>
          <w:sz w:val="22"/>
        </w:rPr>
        <w:t>5. Collision Adjudication Methodology</w:t>
      </w:r>
      <w:r>
        <w:rPr>
          <w:rFonts w:ascii="Times New Roman" w:hAnsi="Times New Roman" w:eastAsia="HY신명조"/>
          <w:b w:val="0"/>
          <w:sz w:val="22"/>
        </w:rPr>
        <w:tab/>
        <w:t>38</w:t>
      </w:r>
    </w:p>
    <w:p>
      <w:pPr>
        <w:tabs>
          <w:tab w:pos="7937" w:val="right" w:leader="dot"/>
        </w:tabs>
        <w:spacing w:line="501" w:lineRule="exact"/>
        <w:ind w:left="567"/>
      </w:pPr>
      <w:r>
        <w:rPr>
          <w:rFonts w:ascii="Times New Roman" w:hAnsi="Times New Roman" w:eastAsia="HY신명조"/>
          <w:b w:val="0"/>
          <w:sz w:val="22"/>
        </w:rPr>
        <w:t>6. Distance Ladder and 8 m Encounter Experiment Design</w:t>
      </w:r>
      <w:r>
        <w:rPr>
          <w:rFonts w:ascii="Times New Roman" w:hAnsi="Times New Roman" w:eastAsia="HY신명조"/>
          <w:b w:val="0"/>
          <w:sz w:val="22"/>
        </w:rPr>
        <w:tab/>
        <w:t>40</w:t>
      </w:r>
    </w:p>
    <w:p>
      <w:pPr>
        <w:tabs>
          <w:tab w:pos="7937" w:val="right" w:leader="dot"/>
        </w:tabs>
        <w:spacing w:line="501" w:lineRule="exact"/>
        <w:ind w:left="567"/>
      </w:pPr>
      <w:r>
        <w:rPr>
          <w:rFonts w:ascii="Times New Roman" w:hAnsi="Times New Roman" w:eastAsia="HY신명조"/>
          <w:b w:val="0"/>
          <w:sz w:val="22"/>
        </w:rPr>
        <w:t>7. Ablation Study Design</w:t>
      </w:r>
      <w:r>
        <w:rPr>
          <w:rFonts w:ascii="Times New Roman" w:hAnsi="Times New Roman" w:eastAsia="HY신명조"/>
          <w:b w:val="0"/>
          <w:sz w:val="22"/>
        </w:rPr>
        <w:tab/>
        <w:t>41</w:t>
      </w:r>
    </w:p>
    <w:p>
      <w:pPr>
        <w:tabs>
          <w:tab w:pos="7937" w:val="right" w:leader="dot"/>
        </w:tabs>
        <w:spacing w:line="501" w:lineRule="exact"/>
        <w:ind w:left="567"/>
      </w:pPr>
      <w:r>
        <w:rPr>
          <w:rFonts w:ascii="Times New Roman" w:hAnsi="Times New Roman" w:eastAsia="HY신명조"/>
          <w:b w:val="0"/>
          <w:sz w:val="22"/>
        </w:rPr>
        <w:t>8. Metrics and Statistics</w:t>
      </w:r>
      <w:r>
        <w:rPr>
          <w:rFonts w:ascii="Times New Roman" w:hAnsi="Times New Roman" w:eastAsia="HY신명조"/>
          <w:b w:val="0"/>
          <w:sz w:val="22"/>
        </w:rPr>
        <w:tab/>
        <w:t>42</w:t>
      </w:r>
    </w:p>
    <w:p>
      <w:pPr>
        <w:tabs>
          <w:tab w:pos="7937" w:val="right" w:leader="dot"/>
        </w:tabs>
        <w:spacing w:line="501" w:lineRule="exact"/>
        <w:ind w:left="567"/>
      </w:pPr>
      <w:r>
        <w:rPr>
          <w:rFonts w:ascii="Times New Roman" w:hAnsi="Times New Roman" w:eastAsia="HY신명조"/>
          <w:b w:val="0"/>
          <w:sz w:val="22"/>
        </w:rPr>
        <w:t>9. Reproducibility: Key Experimental Parameters</w:t>
      </w:r>
      <w:r>
        <w:rPr>
          <w:rFonts w:ascii="Times New Roman" w:hAnsi="Times New Roman" w:eastAsia="HY신명조"/>
          <w:b w:val="0"/>
          <w:sz w:val="22"/>
        </w:rPr>
        <w:tab/>
        <w:t>44</w:t>
      </w:r>
    </w:p>
    <w:p>
      <w:pPr>
        <w:tabs>
          <w:tab w:pos="8504" w:val="right" w:leader="dot"/>
        </w:tabs>
        <w:spacing w:line="501" w:lineRule="exact"/>
        <w:ind w:left="0"/>
      </w:pPr>
      <w:r>
        <w:rPr>
          <w:rFonts w:ascii="Times New Roman" w:hAnsi="Times New Roman" w:eastAsia="HY신명조"/>
          <w:b w:val="0"/>
          <w:sz w:val="22"/>
        </w:rPr>
        <w:t>Chapter 5. Experimental Results</w:t>
      </w:r>
      <w:r>
        <w:rPr>
          <w:rFonts w:ascii="Times New Roman" w:hAnsi="Times New Roman" w:eastAsia="HY신명조"/>
          <w:b w:val="0"/>
          <w:sz w:val="22"/>
        </w:rPr>
        <w:tab/>
        <w:t>46</w:t>
      </w:r>
    </w:p>
    <w:p>
      <w:pPr>
        <w:tabs>
          <w:tab w:pos="7937" w:val="right" w:leader="dot"/>
        </w:tabs>
        <w:spacing w:line="501" w:lineRule="exact"/>
        <w:ind w:left="567"/>
      </w:pPr>
      <w:r>
        <w:rPr>
          <w:rFonts w:ascii="Times New Roman" w:hAnsi="Times New Roman" w:eastAsia="HY신명조"/>
          <w:b w:val="0"/>
          <w:sz w:val="22"/>
        </w:rPr>
        <w:t>1. Main Campaign: Detection Performance and Per-Fault Monitoring and Evacuation Behavior</w:t>
      </w:r>
      <w:r>
        <w:rPr>
          <w:rFonts w:ascii="Times New Roman" w:hAnsi="Times New Roman" w:eastAsia="HY신명조"/>
          <w:b w:val="0"/>
          <w:sz w:val="22"/>
        </w:rPr>
        <w:tab/>
        <w:t>46</w:t>
      </w:r>
    </w:p>
    <w:p>
      <w:pPr>
        <w:tabs>
          <w:tab w:pos="7937" w:val="right" w:leader="dot"/>
        </w:tabs>
        <w:spacing w:line="501" w:lineRule="exact"/>
        <w:ind w:left="567"/>
      </w:pPr>
      <w:r>
        <w:rPr>
          <w:rFonts w:ascii="Times New Roman" w:hAnsi="Times New Roman" w:eastAsia="HY신명조"/>
          <w:b w:val="0"/>
          <w:sz w:val="22"/>
        </w:rPr>
        <w:t>2. Exposure Metric: Degraded-State Driving Distance</w:t>
      </w:r>
      <w:r>
        <w:rPr>
          <w:rFonts w:ascii="Times New Roman" w:hAnsi="Times New Roman" w:eastAsia="HY신명조"/>
          <w:b w:val="0"/>
          <w:sz w:val="22"/>
        </w:rPr>
        <w:tab/>
        <w:t>53</w:t>
      </w:r>
    </w:p>
    <w:p>
      <w:pPr>
        <w:tabs>
          <w:tab w:pos="7937" w:val="right" w:leader="dot"/>
        </w:tabs>
        <w:spacing w:line="501" w:lineRule="exact"/>
        <w:ind w:left="567"/>
      </w:pPr>
      <w:r>
        <w:rPr>
          <w:rFonts w:ascii="Times New Roman" w:hAnsi="Times New Roman" w:eastAsia="HY신명조"/>
          <w:b w:val="0"/>
          <w:sz w:val="22"/>
        </w:rPr>
        <w:t>3. Distance Ladder: Measuring the Avoidance/Collision Boundary</w:t>
      </w:r>
      <w:r>
        <w:rPr>
          <w:rFonts w:ascii="Times New Roman" w:hAnsi="Times New Roman" w:eastAsia="HY신명조"/>
          <w:b w:val="0"/>
          <w:sz w:val="22"/>
        </w:rPr>
        <w:tab/>
        <w:t>54</w:t>
      </w:r>
    </w:p>
    <w:p>
      <w:pPr>
        <w:tabs>
          <w:tab w:pos="7937" w:val="right" w:leader="dot"/>
        </w:tabs>
        <w:spacing w:line="501" w:lineRule="exact"/>
        <w:ind w:left="567"/>
      </w:pPr>
      <w:r>
        <w:rPr>
          <w:rFonts w:ascii="Times New Roman" w:hAnsi="Times New Roman" w:eastAsia="HY신명조"/>
          <w:b w:val="0"/>
          <w:sz w:val="22"/>
        </w:rPr>
        <w:t>4. The 8 m Encounter: Low-Speed MRM versus Stock</w:t>
      </w:r>
      <w:r>
        <w:rPr>
          <w:rFonts w:ascii="Times New Roman" w:hAnsi="Times New Roman" w:eastAsia="HY신명조"/>
          <w:b w:val="0"/>
          <w:sz w:val="22"/>
        </w:rPr>
        <w:tab/>
        <w:t>57</w:t>
      </w:r>
    </w:p>
    <w:p>
      <w:pPr>
        <w:tabs>
          <w:tab w:pos="7937" w:val="right" w:leader="dot"/>
        </w:tabs>
        <w:spacing w:line="501" w:lineRule="exact"/>
        <w:ind w:left="567"/>
      </w:pPr>
      <w:r>
        <w:rPr>
          <w:rFonts w:ascii="Times New Roman" w:hAnsi="Times New Roman" w:eastAsia="HY신명조"/>
          <w:b w:val="0"/>
          <w:sz w:val="22"/>
        </w:rPr>
        <w:t>5. Ablation Study: Ablating Non-intervention, Stop, Evacuation, and the Speed Cap</w:t>
      </w:r>
      <w:r>
        <w:rPr>
          <w:rFonts w:ascii="Times New Roman" w:hAnsi="Times New Roman" w:eastAsia="HY신명조"/>
          <w:b w:val="0"/>
          <w:sz w:val="22"/>
        </w:rPr>
        <w:tab/>
        <w:t>58</w:t>
      </w:r>
    </w:p>
    <w:p>
      <w:pPr>
        <w:tabs>
          <w:tab w:pos="7937" w:val="right" w:leader="dot"/>
        </w:tabs>
        <w:spacing w:line="501" w:lineRule="exact"/>
        <w:ind w:left="567"/>
      </w:pPr>
      <w:r>
        <w:rPr>
          <w:rFonts w:ascii="Times New Roman" w:hAnsi="Times New Roman" w:eastAsia="HY신명조"/>
          <w:b w:val="0"/>
          <w:sz w:val="22"/>
        </w:rPr>
        <w:t>6. Two-Regime Analysis: Temporal Trade-off</w:t>
      </w:r>
      <w:r>
        <w:rPr>
          <w:rFonts w:ascii="Times New Roman" w:hAnsi="Times New Roman" w:eastAsia="HY신명조"/>
          <w:b w:val="0"/>
          <w:sz w:val="22"/>
        </w:rPr>
        <w:tab/>
        <w:t>64</w:t>
      </w:r>
    </w:p>
    <w:p>
      <w:pPr>
        <w:tabs>
          <w:tab w:pos="7937" w:val="right" w:leader="dot"/>
        </w:tabs>
        <w:spacing w:line="501" w:lineRule="exact"/>
        <w:ind w:left="567"/>
      </w:pPr>
      <w:r>
        <w:rPr>
          <w:rFonts w:ascii="Times New Roman" w:hAnsi="Times New Roman" w:eastAsia="HY신명조"/>
          <w:b w:val="0"/>
          <w:sz w:val="22"/>
        </w:rPr>
        <w:t>7. Low-Speed Ladder: Shift of the Boundary</w:t>
      </w:r>
      <w:r>
        <w:rPr>
          <w:rFonts w:ascii="Times New Roman" w:hAnsi="Times New Roman" w:eastAsia="HY신명조"/>
          <w:b w:val="0"/>
          <w:sz w:val="22"/>
        </w:rPr>
        <w:tab/>
        <w:t>65</w:t>
      </w:r>
    </w:p>
    <w:p>
      <w:pPr>
        <w:tabs>
          <w:tab w:pos="7937" w:val="right" w:leader="dot"/>
        </w:tabs>
        <w:spacing w:line="501" w:lineRule="exact"/>
        <w:ind w:left="567"/>
      </w:pPr>
      <w:r>
        <w:rPr>
          <w:rFonts w:ascii="Times New Roman" w:hAnsi="Times New Roman" w:eastAsia="HY신명조"/>
          <w:b w:val="0"/>
          <w:sz w:val="22"/>
        </w:rPr>
        <w:t>8. Causal Verification of the Speed Cap: A Dose-Response Experiment on Settled Encounters</w:t>
      </w:r>
      <w:r>
        <w:rPr>
          <w:rFonts w:ascii="Times New Roman" w:hAnsi="Times New Roman" w:eastAsia="HY신명조"/>
          <w:b w:val="0"/>
          <w:sz w:val="22"/>
        </w:rPr>
        <w:tab/>
        <w:t>67</w:t>
      </w:r>
    </w:p>
    <w:p>
      <w:pPr>
        <w:tabs>
          <w:tab w:pos="7937" w:val="right" w:leader="dot"/>
        </w:tabs>
        <w:spacing w:line="501" w:lineRule="exact"/>
        <w:ind w:left="567"/>
      </w:pPr>
      <w:r>
        <w:rPr>
          <w:rFonts w:ascii="Times New Roman" w:hAnsi="Times New Roman" w:eastAsia="HY신명조"/>
          <w:b w:val="0"/>
          <w:sz w:val="22"/>
        </w:rPr>
        <w:t>9. Hard-Fail Decision Latency: Verifying the 1.5 s Deadline</w:t>
      </w:r>
      <w:r>
        <w:rPr>
          <w:rFonts w:ascii="Times New Roman" w:hAnsi="Times New Roman" w:eastAsia="HY신명조"/>
          <w:b w:val="0"/>
          <w:sz w:val="22"/>
        </w:rPr>
        <w:tab/>
        <w:t>70</w:t>
      </w:r>
    </w:p>
    <w:p>
      <w:pPr>
        <w:tabs>
          <w:tab w:pos="8504" w:val="right" w:leader="dot"/>
        </w:tabs>
        <w:spacing w:line="501" w:lineRule="exact"/>
        <w:ind w:left="0"/>
      </w:pPr>
      <w:r>
        <w:rPr>
          <w:rFonts w:ascii="Times New Roman" w:hAnsi="Times New Roman" w:eastAsia="HY신명조"/>
          <w:b w:val="0"/>
          <w:sz w:val="22"/>
        </w:rPr>
        <w:t>Chapter 6. Limitations and Discussion</w:t>
      </w:r>
      <w:r>
        <w:rPr>
          <w:rFonts w:ascii="Times New Roman" w:hAnsi="Times New Roman" w:eastAsia="HY신명조"/>
          <w:b w:val="0"/>
          <w:sz w:val="22"/>
        </w:rPr>
        <w:tab/>
        <w:t>72</w:t>
      </w:r>
    </w:p>
    <w:p>
      <w:pPr>
        <w:tabs>
          <w:tab w:pos="7937" w:val="right" w:leader="dot"/>
        </w:tabs>
        <w:spacing w:line="501" w:lineRule="exact"/>
        <w:ind w:left="567"/>
      </w:pPr>
      <w:r>
        <w:rPr>
          <w:rFonts w:ascii="Times New Roman" w:hAnsi="Times New Roman" w:eastAsia="HY신명조"/>
          <w:b w:val="0"/>
          <w:sz w:val="22"/>
        </w:rPr>
        <w:t>1. The Temporal Trade-off Between Stopping and Evacuation</w:t>
      </w:r>
      <w:r>
        <w:rPr>
          <w:rFonts w:ascii="Times New Roman" w:hAnsi="Times New Roman" w:eastAsia="HY신명조"/>
          <w:b w:val="0"/>
          <w:sz w:val="22"/>
        </w:rPr>
        <w:tab/>
        <w:t>72</w:t>
      </w:r>
    </w:p>
    <w:p>
      <w:pPr>
        <w:tabs>
          <w:tab w:pos="7937" w:val="right" w:leader="dot"/>
        </w:tabs>
        <w:spacing w:line="501" w:lineRule="exact"/>
        <w:ind w:left="567"/>
      </w:pPr>
      <w:r>
        <w:rPr>
          <w:rFonts w:ascii="Times New Roman" w:hAnsi="Times New Roman" w:eastAsia="HY신명조"/>
          <w:b w:val="0"/>
          <w:sz w:val="22"/>
        </w:rPr>
        <w:t>2. The Post-Detection Transient, the Overall Fault-Response Risk Window, and FTTI</w:t>
      </w:r>
      <w:r>
        <w:rPr>
          <w:rFonts w:ascii="Times New Roman" w:hAnsi="Times New Roman" w:eastAsia="HY신명조"/>
          <w:b w:val="0"/>
          <w:sz w:val="22"/>
        </w:rPr>
        <w:tab/>
        <w:t>72</w:t>
      </w:r>
    </w:p>
    <w:p>
      <w:pPr>
        <w:tabs>
          <w:tab w:pos="7937" w:val="right" w:leader="dot"/>
        </w:tabs>
        <w:spacing w:line="501" w:lineRule="exact"/>
        <w:ind w:left="567"/>
      </w:pPr>
      <w:r>
        <w:rPr>
          <w:rFonts w:ascii="Times New Roman" w:hAnsi="Times New Roman" w:eastAsia="HY신명조"/>
          <w:b w:val="0"/>
          <w:sz w:val="22"/>
        </w:rPr>
        <w:t>3. The Role of the Speed Cap: Causal Effect and Limits</w:t>
      </w:r>
      <w:r>
        <w:rPr>
          <w:rFonts w:ascii="Times New Roman" w:hAnsi="Times New Roman" w:eastAsia="HY신명조"/>
          <w:b w:val="0"/>
          <w:sz w:val="22"/>
        </w:rPr>
        <w:tab/>
        <w:t>73</w:t>
      </w:r>
    </w:p>
    <w:p>
      <w:pPr>
        <w:tabs>
          <w:tab w:pos="7937" w:val="right" w:leader="dot"/>
        </w:tabs>
        <w:spacing w:line="501" w:lineRule="exact"/>
        <w:ind w:left="567"/>
      </w:pPr>
      <w:r>
        <w:rPr>
          <w:rFonts w:ascii="Times New Roman" w:hAnsi="Times New Roman" w:eastAsia="HY신명조"/>
          <w:b w:val="0"/>
          <w:sz w:val="22"/>
        </w:rPr>
        <w:t>4. Lessons for Adjudication Methodology</w:t>
      </w:r>
      <w:r>
        <w:rPr>
          <w:rFonts w:ascii="Times New Roman" w:hAnsi="Times New Roman" w:eastAsia="HY신명조"/>
          <w:b w:val="0"/>
          <w:sz w:val="22"/>
        </w:rPr>
        <w:tab/>
        <w:t>74</w:t>
      </w:r>
    </w:p>
    <w:p>
      <w:pPr>
        <w:tabs>
          <w:tab w:pos="7937" w:val="right" w:leader="dot"/>
        </w:tabs>
        <w:spacing w:line="501" w:lineRule="exact"/>
        <w:ind w:left="567"/>
      </w:pPr>
      <w:r>
        <w:rPr>
          <w:rFonts w:ascii="Times New Roman" w:hAnsi="Times New Roman" w:eastAsia="HY신명조"/>
          <w:b w:val="0"/>
          <w:sz w:val="22"/>
        </w:rPr>
        <w:t>5. The Cost of Design Conservatism and the Execution and Map Layers</w:t>
      </w:r>
      <w:r>
        <w:rPr>
          <w:rFonts w:ascii="Times New Roman" w:hAnsi="Times New Roman" w:eastAsia="HY신명조"/>
          <w:b w:val="0"/>
          <w:sz w:val="22"/>
        </w:rPr>
        <w:tab/>
        <w:t>75</w:t>
      </w:r>
    </w:p>
    <w:p>
      <w:pPr>
        <w:tabs>
          <w:tab w:pos="7937" w:val="right" w:leader="dot"/>
        </w:tabs>
        <w:spacing w:line="501" w:lineRule="exact"/>
        <w:ind w:left="567"/>
      </w:pPr>
      <w:r>
        <w:rPr>
          <w:rFonts w:ascii="Times New Roman" w:hAnsi="Times New Roman" w:eastAsia="HY신명조"/>
          <w:b w:val="0"/>
          <w:sz w:val="22"/>
        </w:rPr>
        <w:t>6. Limitations</w:t>
      </w:r>
      <w:r>
        <w:rPr>
          <w:rFonts w:ascii="Times New Roman" w:hAnsi="Times New Roman" w:eastAsia="HY신명조"/>
          <w:b w:val="0"/>
          <w:sz w:val="22"/>
        </w:rPr>
        <w:tab/>
        <w:t>72</w:t>
      </w:r>
    </w:p>
    <w:p>
      <w:pPr>
        <w:tabs>
          <w:tab w:pos="8504" w:val="right" w:leader="dot"/>
        </w:tabs>
        <w:spacing w:line="501" w:lineRule="exact"/>
        <w:ind w:left="0"/>
      </w:pPr>
      <w:r>
        <w:rPr>
          <w:rFonts w:ascii="Times New Roman" w:hAnsi="Times New Roman" w:eastAsia="HY신명조"/>
          <w:b w:val="0"/>
          <w:sz w:val="22"/>
        </w:rPr>
        <w:t>Chapter 7. Conclusion</w:t>
      </w:r>
      <w:r>
        <w:rPr>
          <w:rFonts w:ascii="Times New Roman" w:hAnsi="Times New Roman" w:eastAsia="HY신명조"/>
          <w:b w:val="0"/>
          <w:sz w:val="22"/>
        </w:rPr>
        <w:tab/>
        <w:t>79</w:t>
      </w:r>
    </w:p>
    <w:p>
      <w:pPr>
        <w:tabs>
          <w:tab w:pos="8504" w:val="right" w:leader="dot"/>
        </w:tabs>
        <w:spacing w:line="501" w:lineRule="exact"/>
        <w:ind w:left="0"/>
      </w:pPr>
      <w:r>
        <w:rPr>
          <w:rFonts w:ascii="Times New Roman" w:hAnsi="Times New Roman" w:eastAsia="HY신명조"/>
          <w:b w:val="0"/>
          <w:sz w:val="22"/>
        </w:rPr>
        <w:t>References</w:t>
      </w:r>
      <w:r>
        <w:rPr>
          <w:rFonts w:ascii="Times New Roman" w:hAnsi="Times New Roman" w:eastAsia="HY신명조"/>
          <w:b w:val="0"/>
          <w:sz w:val="22"/>
        </w:rPr>
        <w:tab/>
        <w:t>82</w:t>
      </w:r>
    </w:p>
    <w:p>
      <w:pPr>
        <w:tabs>
          <w:tab w:pos="8504" w:val="right" w:leader="dot"/>
        </w:tabs>
        <w:spacing w:line="501" w:lineRule="exact"/>
        <w:ind w:left="0"/>
      </w:pPr>
      <w:r>
        <w:rPr>
          <w:rFonts w:ascii="Times New Roman" w:hAnsi="Times New Roman" w:eastAsia="HY신명조"/>
          <w:b w:val="0"/>
          <w:sz w:val="22"/>
        </w:rPr>
        <w:t>논문요약</w:t>
      </w:r>
      <w:r>
        <w:rPr>
          <w:rFonts w:ascii="Times New Roman" w:hAnsi="Times New Roman" w:eastAsia="HY신명조"/>
          <w:b w:val="0"/>
          <w:sz w:val="22"/>
        </w:rPr>
        <w:tab/>
        <w:t>88</w:t>
      </w:r>
    </w:p>
    <w:p>
      <w:pPr>
        <w:pageBreakBefore/>
        <w:spacing w:line="501" w:lineRule="exact" w:before="0" w:after="0"/>
        <w:jc w:val="center"/>
      </w:pPr>
      <w:r>
        <w:rPr>
          <w:rFonts w:ascii="Times New Roman" w:hAnsi="Times New Roman" w:eastAsia="HY신명조"/>
          <w:b/>
          <w:sz w:val="28"/>
        </w:rPr>
        <w:t>List of Tables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Table 2-1. Comparison of prior research lines with this study (○ explicitly provided / △ partial or conceptual / × not addressed)</w:t>
      </w:r>
      <w:r>
        <w:rPr>
          <w:rFonts w:ascii="Times New Roman" w:hAnsi="Times New Roman" w:eastAsia="HY신명조"/>
          <w:b w:val="0"/>
          <w:sz w:val="22"/>
        </w:rPr>
        <w:tab/>
        <w:t>13</w:t>
      </w:r>
    </w:p>
    <w:p>
      <w:pPr>
        <w:tabs>
          <w:tab w:pos="8504" w:val="right" w:leader="dot"/>
        </w:tabs>
        <w:spacing w:line="501" w:lineRule="exact"/>
        <w:ind w:left="0"/>
      </w:pPr>
      <w:r>
        <w:rPr>
          <w:rFonts w:ascii="Times New Roman" w:hAnsi="Times New Roman" w:eastAsia="HY신명조"/>
          <w:b w:val="0"/>
          <w:sz w:val="22"/>
        </w:rPr>
        <w:t>Table 4-1. Termination labels of the runner's automatic adjudicator</w:t>
      </w:r>
      <w:r>
        <w:rPr>
          <w:rFonts w:ascii="Times New Roman" w:hAnsi="Times New Roman" w:eastAsia="HY신명조"/>
          <w:b w:val="0"/>
          <w:sz w:val="22"/>
        </w:rPr>
        <w:tab/>
        <w:t>31</w:t>
      </w:r>
    </w:p>
    <w:p>
      <w:pPr>
        <w:tabs>
          <w:tab w:pos="8504" w:val="right" w:leader="dot"/>
        </w:tabs>
        <w:spacing w:line="501" w:lineRule="exact"/>
        <w:ind w:left="0"/>
      </w:pPr>
      <w:r>
        <w:rPr>
          <w:rFonts w:ascii="Times New Roman" w:hAnsi="Times New Roman" w:eastAsia="HY신명조"/>
          <w:b w:val="0"/>
          <w:sz w:val="22"/>
        </w:rPr>
        <w:t>Table 4-2. Fault model (v4.6)</w:t>
      </w:r>
      <w:r>
        <w:rPr>
          <w:rFonts w:ascii="Times New Roman" w:hAnsi="Times New Roman" w:eastAsia="HY신명조"/>
          <w:b w:val="0"/>
          <w:sz w:val="22"/>
        </w:rPr>
        <w:tab/>
        <w:t>32</w:t>
      </w:r>
    </w:p>
    <w:p>
      <w:pPr>
        <w:tabs>
          <w:tab w:pos="8504" w:val="right" w:leader="dot"/>
        </w:tabs>
        <w:spacing w:line="501" w:lineRule="exact"/>
        <w:ind w:left="0"/>
      </w:pPr>
      <w:r>
        <w:rPr>
          <w:rFonts w:ascii="Times New Roman" w:hAnsi="Times New Roman" w:eastAsia="HY신명조"/>
          <w:b w:val="0"/>
          <w:sz w:val="22"/>
        </w:rPr>
        <w:t>Table 4-3. Main-campaign case accounting — planned versus final valid</w:t>
      </w:r>
      <w:r>
        <w:rPr>
          <w:rFonts w:ascii="Times New Roman" w:hAnsi="Times New Roman" w:eastAsia="HY신명조"/>
          <w:b w:val="0"/>
          <w:sz w:val="22"/>
        </w:rPr>
        <w:tab/>
        <w:t>35</w:t>
      </w:r>
    </w:p>
    <w:p>
      <w:pPr>
        <w:tabs>
          <w:tab w:pos="8504" w:val="right" w:leader="dot"/>
        </w:tabs>
        <w:spacing w:line="501" w:lineRule="exact"/>
        <w:ind w:left="0"/>
      </w:pPr>
      <w:r>
        <w:rPr>
          <w:rFonts w:ascii="Times New Roman" w:hAnsi="Times New Roman" w:eastAsia="HY신명조"/>
          <w:b w:val="0"/>
          <w:sz w:val="22"/>
        </w:rPr>
        <w:t>Table 4-4. Definition of the four ablation arms</w:t>
      </w:r>
      <w:r>
        <w:rPr>
          <w:rFonts w:ascii="Times New Roman" w:hAnsi="Times New Roman" w:eastAsia="HY신명조"/>
          <w:b w:val="0"/>
          <w:sz w:val="22"/>
        </w:rPr>
        <w:tab/>
        <w:t>41</w:t>
      </w:r>
    </w:p>
    <w:p>
      <w:pPr>
        <w:tabs>
          <w:tab w:pos="8504" w:val="right" w:leader="dot"/>
        </w:tabs>
        <w:spacing w:line="501" w:lineRule="exact"/>
        <w:ind w:left="0"/>
      </w:pPr>
      <w:r>
        <w:rPr>
          <w:rFonts w:ascii="Times New Roman" w:hAnsi="Times New Roman" w:eastAsia="HY신명조"/>
          <w:b w:val="0"/>
          <w:sz w:val="22"/>
        </w:rPr>
        <w:t>Table 4-5. Summary of key experimental parameters</w:t>
      </w:r>
      <w:r>
        <w:rPr>
          <w:rFonts w:ascii="Times New Roman" w:hAnsi="Times New Roman" w:eastAsia="HY신명조"/>
          <w:b w:val="0"/>
          <w:sz w:val="22"/>
        </w:rPr>
        <w:tab/>
        <w:t>44</w:t>
      </w:r>
    </w:p>
    <w:p>
      <w:pPr>
        <w:tabs>
          <w:tab w:pos="8504" w:val="right" w:leader="dot"/>
        </w:tabs>
        <w:spacing w:line="501" w:lineRule="exact"/>
        <w:ind w:left="0"/>
      </w:pPr>
      <w:r>
        <w:rPr>
          <w:rFonts w:ascii="Times New Roman" w:hAnsi="Times New Roman" w:eastAsia="HY신명조"/>
          <w:b w:val="0"/>
          <w:sz w:val="22"/>
        </w:rPr>
        <w:t>Table 5-1. Detection performance: detection rate and median detection latency per fault condition (main and supplementary† campaigns, proposed detectors)</w:t>
      </w:r>
      <w:r>
        <w:rPr>
          <w:rFonts w:ascii="Times New Roman" w:hAnsi="Times New Roman" w:eastAsia="HY신명조"/>
          <w:b w:val="0"/>
          <w:sz w:val="22"/>
        </w:rPr>
        <w:tab/>
        <w:t>47</w:t>
      </w:r>
    </w:p>
    <w:p>
      <w:pPr>
        <w:tabs>
          <w:tab w:pos="8504" w:val="right" w:leader="dot"/>
        </w:tabs>
        <w:spacing w:line="501" w:lineRule="exact"/>
        <w:ind w:left="0"/>
      </w:pPr>
      <w:r>
        <w:rPr>
          <w:rFonts w:ascii="Times New Roman" w:hAnsi="Times New Roman" w:eastAsia="HY신명조"/>
          <w:b w:val="0"/>
          <w:sz w:val="22"/>
        </w:rPr>
        <w:t>Table 5-2. Summary of evacuation behavior in the main campaign (proposed method)</w:t>
      </w:r>
      <w:r>
        <w:rPr>
          <w:rFonts w:ascii="Times New Roman" w:hAnsi="Times New Roman" w:eastAsia="HY신명조"/>
          <w:b w:val="0"/>
          <w:sz w:val="22"/>
        </w:rPr>
        <w:tab/>
        <w:t>52</w:t>
      </w:r>
    </w:p>
    <w:p>
      <w:pPr>
        <w:tabs>
          <w:tab w:pos="8504" w:val="right" w:leader="dot"/>
        </w:tabs>
        <w:spacing w:line="501" w:lineRule="exact"/>
        <w:ind w:left="0"/>
      </w:pPr>
      <w:r>
        <w:rPr>
          <w:rFonts w:ascii="Times New Roman" w:hAnsi="Times New Roman" w:eastAsia="HY신명조"/>
          <w:b w:val="0"/>
          <w:sz w:val="22"/>
        </w:rPr>
        <w:t>Table 5-3. Distance ladder results (ledger and video adjudication)</w:t>
      </w:r>
      <w:r>
        <w:rPr>
          <w:rFonts w:ascii="Times New Roman" w:hAnsi="Times New Roman" w:eastAsia="HY신명조"/>
          <w:b w:val="0"/>
          <w:sz w:val="22"/>
        </w:rPr>
        <w:tab/>
        <w:t>55</w:t>
      </w:r>
    </w:p>
    <w:p>
      <w:pPr>
        <w:tabs>
          <w:tab w:pos="8504" w:val="right" w:leader="dot"/>
        </w:tabs>
        <w:spacing w:line="501" w:lineRule="exact"/>
        <w:ind w:left="0"/>
      </w:pPr>
      <w:r>
        <w:rPr>
          <w:rFonts w:ascii="Times New Roman" w:hAnsi="Times New Roman" w:eastAsia="HY신명조"/>
          <w:b w:val="0"/>
          <w:sz w:val="22"/>
        </w:rPr>
        <w:t>Table 5-4. Ablation study results — 8 m dart-out @ detection+3 s (transient), ledger adjudication (n=20 per arm: first round S02–S11 + extension S12–S21)</w:t>
      </w:r>
      <w:r>
        <w:rPr>
          <w:rFonts w:ascii="Times New Roman" w:hAnsi="Times New Roman" w:eastAsia="HY신명조"/>
          <w:b w:val="0"/>
          <w:sz w:val="22"/>
        </w:rPr>
        <w:tab/>
        <w:t>58</w:t>
      </w:r>
    </w:p>
    <w:p>
      <w:pPr>
        <w:tabs>
          <w:tab w:pos="8504" w:val="right" w:leader="dot"/>
        </w:tabs>
        <w:spacing w:line="501" w:lineRule="exact"/>
        <w:ind w:left="0"/>
      </w:pPr>
      <w:r>
        <w:rPr>
          <w:rFonts w:ascii="Times New Roman" w:hAnsi="Times New Roman" w:eastAsia="HY신명조"/>
          <w:b w:val="0"/>
          <w:sz w:val="22"/>
        </w:rPr>
        <w:t>Table 5-5. Per-seed adjudication of the ablation study, S02–S21 (ledger basis; C collision / A avoidance)</w:t>
      </w:r>
      <w:r>
        <w:rPr>
          <w:rFonts w:ascii="Times New Roman" w:hAnsi="Times New Roman" w:eastAsia="HY신명조"/>
          <w:b w:val="0"/>
          <w:sz w:val="22"/>
        </w:rPr>
        <w:tab/>
        <w:t>58</w:t>
      </w:r>
    </w:p>
    <w:p>
      <w:pPr>
        <w:tabs>
          <w:tab w:pos="8504" w:val="right" w:leader="dot"/>
        </w:tabs>
        <w:spacing w:line="501" w:lineRule="exact"/>
        <w:ind w:left="0"/>
      </w:pPr>
      <w:r>
        <w:rPr>
          <w:rFonts w:ascii="Times New Roman" w:hAnsi="Times New Roman" w:eastAsia="HY신명조"/>
          <w:b w:val="0"/>
          <w:sz w:val="22"/>
        </w:rPr>
        <w:t>Table 5-6. Lane clearance axis aggregation (ablation sample, physics-tick basis)</w:t>
      </w:r>
      <w:r>
        <w:rPr>
          <w:rFonts w:ascii="Times New Roman" w:hAnsi="Times New Roman" w:eastAsia="HY신명조"/>
          <w:b w:val="0"/>
          <w:sz w:val="22"/>
        </w:rPr>
        <w:tab/>
        <w:t>63</w:t>
      </w:r>
    </w:p>
    <w:p>
      <w:pPr>
        <w:tabs>
          <w:tab w:pos="8504" w:val="right" w:leader="dot"/>
        </w:tabs>
        <w:spacing w:line="501" w:lineRule="exact"/>
        <w:ind w:left="0"/>
      </w:pPr>
      <w:r>
        <w:rPr>
          <w:rFonts w:ascii="Times New Roman" w:hAnsi="Times New Roman" w:eastAsia="HY신명조"/>
          <w:b w:val="0"/>
          <w:sz w:val="22"/>
        </w:rPr>
        <w:t>Table 5-7. Low-speed (3.0 m/s) ladder results (ledger adjudication)</w:t>
      </w:r>
      <w:r>
        <w:rPr>
          <w:rFonts w:ascii="Times New Roman" w:hAnsi="Times New Roman" w:eastAsia="HY신명조"/>
          <w:b w:val="0"/>
          <w:sz w:val="22"/>
        </w:rPr>
        <w:tab/>
        <w:t>66</w:t>
      </w:r>
    </w:p>
    <w:p>
      <w:pPr>
        <w:tabs>
          <w:tab w:pos="8504" w:val="right" w:leader="dot"/>
        </w:tabs>
        <w:spacing w:line="501" w:lineRule="exact"/>
        <w:ind w:left="0"/>
      </w:pPr>
      <w:r>
        <w:rPr>
          <w:rFonts w:ascii="Times New Roman" w:hAnsi="Times New Roman" w:eastAsia="HY신명조"/>
          <w:b w:val="0"/>
          <w:sz w:val="22"/>
        </w:rPr>
        <w:t>Table 5-8. Speed-dose experiment — collisions in settled encounters (n=10 seeds per cell, ledger adjudication)</w:t>
      </w:r>
      <w:r>
        <w:rPr>
          <w:rFonts w:ascii="Times New Roman" w:hAnsi="Times New Roman" w:eastAsia="HY신명조"/>
          <w:b w:val="0"/>
          <w:sz w:val="22"/>
        </w:rPr>
        <w:tab/>
        <w:t>68</w:t>
      </w:r>
    </w:p>
    <w:p>
      <w:pPr>
        <w:tabs>
          <w:tab w:pos="8504" w:val="right" w:leader="dot"/>
        </w:tabs>
        <w:spacing w:line="501" w:lineRule="exact"/>
        <w:ind w:left="0"/>
      </w:pPr>
      <w:r>
        <w:rPr>
          <w:rFonts w:ascii="Times New Roman" w:hAnsi="Times New Roman" w:eastAsia="HY신명조"/>
          <w:b w:val="0"/>
          <w:sz w:val="22"/>
        </w:rPr>
        <w:t>Table 5-9. Hard-fail detection and decision latency (simulation time, ledger basis) and 1.5 s deadline compliance</w:t>
      </w:r>
      <w:r>
        <w:rPr>
          <w:rFonts w:ascii="Times New Roman" w:hAnsi="Times New Roman" w:eastAsia="HY신명조"/>
          <w:b w:val="0"/>
          <w:sz w:val="22"/>
        </w:rPr>
        <w:tab/>
        <w:t>70</w:t>
      </w:r>
    </w:p>
    <w:p>
      <w:pPr>
        <w:pageBreakBefore/>
        <w:spacing w:line="501" w:lineRule="exact" w:before="0" w:after="0"/>
        <w:jc w:val="center"/>
      </w:pPr>
      <w:r>
        <w:rPr>
          <w:rFonts w:ascii="Times New Roman" w:hAnsi="Times New Roman" w:eastAsia="HY신명조"/>
          <w:b/>
          <w:sz w:val="28"/>
        </w:rPr>
        <w:t>List of Figures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Figure 1-1. Problem setting</w:t>
      </w:r>
      <w:r>
        <w:rPr>
          <w:rFonts w:ascii="Times New Roman" w:hAnsi="Times New Roman" w:eastAsia="HY신명조"/>
          <w:b w:val="0"/>
          <w:sz w:val="22"/>
        </w:rPr>
        <w:tab/>
        <w:t>3</w:t>
      </w:r>
    </w:p>
    <w:p>
      <w:pPr>
        <w:tabs>
          <w:tab w:pos="8504" w:val="right" w:leader="dot"/>
        </w:tabs>
        <w:spacing w:line="501" w:lineRule="exact"/>
        <w:ind w:left="0"/>
      </w:pPr>
      <w:r>
        <w:rPr>
          <w:rFonts w:ascii="Times New Roman" w:hAnsi="Times New Roman" w:eastAsia="HY신명조"/>
          <w:b w:val="0"/>
          <w:sz w:val="22"/>
        </w:rPr>
        <w:t>Figure 3-1. Dual-channel structure of the proposed system</w:t>
      </w:r>
      <w:r>
        <w:rPr>
          <w:rFonts w:ascii="Times New Roman" w:hAnsi="Times New Roman" w:eastAsia="HY신명조"/>
          <w:b w:val="0"/>
          <w:sz w:val="22"/>
        </w:rPr>
        <w:tab/>
        <w:t>15</w:t>
      </w:r>
    </w:p>
    <w:p>
      <w:pPr>
        <w:tabs>
          <w:tab w:pos="8504" w:val="right" w:leader="dot"/>
        </w:tabs>
        <w:spacing w:line="501" w:lineRule="exact"/>
        <w:ind w:left="0"/>
      </w:pPr>
      <w:r>
        <w:rPr>
          <w:rFonts w:ascii="Times New Roman" w:hAnsi="Times New Roman" w:eastAsia="HY신명조"/>
          <w:b w:val="0"/>
          <w:sz w:val="22"/>
        </w:rPr>
        <w:t>Figure 3-2. cdr_monitor behavior-tree structure</w:t>
      </w:r>
      <w:r>
        <w:rPr>
          <w:rFonts w:ascii="Times New Roman" w:hAnsi="Times New Roman" w:eastAsia="HY신명조"/>
          <w:b w:val="0"/>
          <w:sz w:val="22"/>
        </w:rPr>
        <w:tab/>
        <w:t>19</w:t>
      </w:r>
    </w:p>
    <w:p>
      <w:pPr>
        <w:tabs>
          <w:tab w:pos="8504" w:val="right" w:leader="dot"/>
        </w:tabs>
        <w:spacing w:line="501" w:lineRule="exact"/>
        <w:ind w:left="0"/>
      </w:pPr>
      <w:r>
        <w:rPr>
          <w:rFonts w:ascii="Times New Roman" w:hAnsi="Times New Roman" w:eastAsia="HY신명조"/>
          <w:b w:val="0"/>
          <w:sz w:val="22"/>
        </w:rPr>
        <w:t>Figure 3-3. MRM selection policy matrix by monitoring state</w:t>
      </w:r>
      <w:r>
        <w:rPr>
          <w:rFonts w:ascii="Times New Roman" w:hAnsi="Times New Roman" w:eastAsia="HY신명조"/>
          <w:b w:val="0"/>
          <w:sz w:val="22"/>
        </w:rPr>
        <w:tab/>
        <w:t>22</w:t>
      </w:r>
    </w:p>
    <w:p>
      <w:pPr>
        <w:tabs>
          <w:tab w:pos="8504" w:val="right" w:leader="dot"/>
        </w:tabs>
        <w:spacing w:line="501" w:lineRule="exact"/>
        <w:ind w:left="0"/>
      </w:pPr>
      <w:r>
        <w:rPr>
          <w:rFonts w:ascii="Times New Roman" w:hAnsi="Times New Roman" w:eastAsia="HY신명조"/>
          <w:b w:val="0"/>
          <w:sz w:val="22"/>
        </w:rPr>
        <w:t>Figure 3-4. Town07 evacuation candidate map — 16 shoulder candidates extracted from the vector map (lanelet shapes), 4 parking-lot candidates (polygons), and the reference route (dashed line)</w:t>
      </w:r>
      <w:r>
        <w:rPr>
          <w:rFonts w:ascii="Times New Roman" w:hAnsi="Times New Roman" w:eastAsia="HY신명조"/>
          <w:b w:val="0"/>
          <w:sz w:val="22"/>
        </w:rPr>
        <w:tab/>
        <w:t>24</w:t>
      </w:r>
    </w:p>
    <w:p>
      <w:pPr>
        <w:tabs>
          <w:tab w:pos="8504" w:val="right" w:leader="dot"/>
        </w:tabs>
        <w:spacing w:line="501" w:lineRule="exact"/>
        <w:ind w:left="0"/>
      </w:pPr>
      <w:r>
        <w:rPr>
          <w:rFonts w:ascii="Times New Roman" w:hAnsi="Times New Roman" w:eastAsia="HY신명조"/>
          <w:b w:val="0"/>
          <w:sz w:val="22"/>
        </w:rPr>
        <w:t>Figure 4-1. 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r>
        <w:rPr>
          <w:rFonts w:ascii="Times New Roman" w:hAnsi="Times New Roman" w:eastAsia="HY신명조"/>
          <w:b w:val="0"/>
          <w:sz w:val="22"/>
        </w:rPr>
        <w:tab/>
        <w:t>30</w:t>
      </w:r>
    </w:p>
    <w:p>
      <w:pPr>
        <w:tabs>
          <w:tab w:pos="8504" w:val="right" w:leader="dot"/>
        </w:tabs>
        <w:spacing w:line="501" w:lineRule="exact"/>
        <w:ind w:left="0"/>
      </w:pPr>
      <w:r>
        <w:rPr>
          <w:rFonts w:ascii="Times New Roman" w:hAnsi="Times New Roman" w:eastAsia="HY신명조"/>
          <w:b w:val="0"/>
          <w:sz w:val="22"/>
        </w:rPr>
        <w:t>Figure 4-2. Sensor-level effects of fault injection — before/after applying the same physical equations and parameters as the injector to one measured Town07 LiDAR scan and camera frame</w:t>
      </w:r>
      <w:r>
        <w:rPr>
          <w:rFonts w:ascii="Times New Roman" w:hAnsi="Times New Roman" w:eastAsia="HY신명조"/>
          <w:b w:val="0"/>
          <w:sz w:val="22"/>
        </w:rPr>
        <w:tab/>
        <w:t>32</w:t>
      </w:r>
    </w:p>
    <w:p>
      <w:pPr>
        <w:tabs>
          <w:tab w:pos="8504" w:val="right" w:leader="dot"/>
        </w:tabs>
        <w:spacing w:line="501" w:lineRule="exact"/>
        <w:ind w:left="0"/>
      </w:pPr>
      <w:r>
        <w:rPr>
          <w:rFonts w:ascii="Times New Roman" w:hAnsi="Times New Roman" w:eastAsia="HY신명조"/>
          <w:b w:val="0"/>
          <w:sz w:val="22"/>
        </w:rPr>
        <w:t>Figure 4-3. Pedestrian dart-out injection protocol</w:t>
      </w:r>
      <w:r>
        <w:rPr>
          <w:rFonts w:ascii="Times New Roman" w:hAnsi="Times New Roman" w:eastAsia="HY신명조"/>
          <w:b w:val="0"/>
          <w:sz w:val="22"/>
        </w:rPr>
        <w:tab/>
        <w:t>37</w:t>
      </w:r>
    </w:p>
    <w:p>
      <w:pPr>
        <w:tabs>
          <w:tab w:pos="8504" w:val="right" w:leader="dot"/>
        </w:tabs>
        <w:spacing w:line="501" w:lineRule="exact"/>
        <w:ind w:left="0"/>
      </w:pPr>
      <w:r>
        <w:rPr>
          <w:rFonts w:ascii="Times New Roman" w:hAnsi="Times New Roman" w:eastAsia="HY신명조"/>
          <w:b w:val="0"/>
          <w:sz w:val="22"/>
        </w:rPr>
        <w:t>Figure 5-1. Detection latency distributions per fault condition (proposed arm, measured from injection time)</w:t>
      </w:r>
      <w:r>
        <w:rPr>
          <w:rFonts w:ascii="Times New Roman" w:hAnsi="Times New Roman" w:eastAsia="HY신명조"/>
          <w:b w:val="0"/>
          <w:sz w:val="22"/>
        </w:rPr>
        <w:tab/>
        <w:t>49</w:t>
      </w:r>
    </w:p>
    <w:p>
      <w:pPr>
        <w:tabs>
          <w:tab w:pos="8504" w:val="right" w:leader="dot"/>
        </w:tabs>
        <w:spacing w:line="501" w:lineRule="exact"/>
        <w:ind w:left="0"/>
      </w:pPr>
      <w:r>
        <w:rPr>
          <w:rFonts w:ascii="Times New Roman" w:hAnsi="Times New Roman" w:eastAsia="HY신명조"/>
          <w:b w:val="0"/>
          <w:sz w:val="22"/>
        </w:rPr>
        <w:t>Figure 5-2. Injection-aligned continuous health traces — (top) the perception capability score that feeds the state transitions (dual thresholds 0.7/0.3) and (bottom) the affected sensor's raw score: (a) LiDAR sparsification (lso), (b) camera pixel noise (cn)</w:t>
      </w:r>
      <w:r>
        <w:rPr>
          <w:rFonts w:ascii="Times New Roman" w:hAnsi="Times New Roman" w:eastAsia="HY신명조"/>
          <w:b w:val="0"/>
          <w:sz w:val="22"/>
        </w:rPr>
        <w:tab/>
        <w:t>51</w:t>
      </w:r>
    </w:p>
    <w:p>
      <w:pPr>
        <w:tabs>
          <w:tab w:pos="8504" w:val="right" w:leader="dot"/>
        </w:tabs>
        <w:spacing w:line="501" w:lineRule="exact"/>
        <w:ind w:left="0"/>
      </w:pPr>
      <w:r>
        <w:rPr>
          <w:rFonts w:ascii="Times New Roman" w:hAnsi="Times New Roman" w:eastAsia="HY신명조"/>
          <w:b w:val="0"/>
          <w:sz w:val="22"/>
        </w:rPr>
        <w:t>Figure 5-3. Stopping-distance model d = vτ + v²/2a (τ=1.5 s, a=3.5 m/s²) and the measured avoidance/collision boundaries from the distance ladder (shaded bands)</w:t>
      </w:r>
      <w:r>
        <w:rPr>
          <w:rFonts w:ascii="Times New Roman" w:hAnsi="Times New Roman" w:eastAsia="HY신명조"/>
          <w:b w:val="0"/>
          <w:sz w:val="22"/>
        </w:rPr>
        <w:tab/>
        <w:t>56</w:t>
      </w:r>
    </w:p>
    <w:p>
      <w:pPr>
        <w:tabs>
          <w:tab w:pos="8504" w:val="right" w:leader="dot"/>
        </w:tabs>
        <w:spacing w:line="501" w:lineRule="exact"/>
        <w:ind w:left="0"/>
      </w:pPr>
      <w:r>
        <w:rPr>
          <w:rFonts w:ascii="Times New Roman" w:hAnsi="Times New Roman" w:eastAsia="HY신명조"/>
          <w:b w:val="0"/>
          <w:sz w:val="22"/>
        </w:rPr>
        <w:t>Figure 5-4. Kaplan–Meier curve of lane clearance for no-collision evacuation cases (exploratory analysis on the first-round ablation subset, A3/A4 pooled; conditional n=13)</w:t>
      </w:r>
      <w:r>
        <w:rPr>
          <w:rFonts w:ascii="Times New Roman" w:hAnsi="Times New Roman" w:eastAsia="HY신명조"/>
          <w:b w:val="0"/>
          <w:sz w:val="22"/>
        </w:rPr>
        <w:tab/>
        <w:t>64</w:t>
      </w:r>
    </w:p>
    <w:p>
      <w:pPr>
        <w:tabs>
          <w:tab w:pos="8504" w:val="right" w:leader="dot"/>
        </w:tabs>
        <w:spacing w:line="501" w:lineRule="exact"/>
        <w:ind w:left="0"/>
      </w:pPr>
      <w:r>
        <w:rPr>
          <w:rFonts w:ascii="Times New Roman" w:hAnsi="Times New Roman" w:eastAsia="HY신명조"/>
          <w:b w:val="0"/>
          <w:sz w:val="22"/>
        </w:rPr>
        <w:t>Figure 5-5. Ablation results (ledger verdicts, pooled n = 20)</w:t>
      </w:r>
      <w:r>
        <w:rPr>
          <w:rFonts w:ascii="Times New Roman" w:hAnsi="Times New Roman" w:eastAsia="HY신명조"/>
          <w:b w:val="0"/>
          <w:sz w:val="22"/>
        </w:rPr>
        <w:tab/>
        <w:t>65</w:t>
      </w:r>
    </w:p>
    <w:p>
      <w:pPr>
        <w:tabs>
          <w:tab w:pos="8504" w:val="right" w:leader="dot"/>
        </w:tabs>
        <w:spacing w:line="501" w:lineRule="exact"/>
        <w:ind w:left="0"/>
      </w:pPr>
      <w:r>
        <w:rPr>
          <w:rFonts w:ascii="Times New Roman" w:hAnsi="Times New Roman" w:eastAsia="HY신명조"/>
          <w:b w:val="0"/>
          <w:sz w:val="22"/>
        </w:rPr>
        <w:t>Figure 5-6. Speed-dose experiment (120 runs, ledger adjudication)</w:t>
      </w:r>
      <w:r>
        <w:rPr>
          <w:rFonts w:ascii="Times New Roman" w:hAnsi="Times New Roman" w:eastAsia="HY신명조"/>
          <w:b w:val="0"/>
          <w:sz w:val="22"/>
        </w:rPr>
        <w:tab/>
        <w:t>69</w:t>
      </w:r>
    </w:p>
    <w:p>
      <w:pPr>
        <w:pageBreakBefore/>
        <w:spacing w:line="501" w:lineRule="exact" w:before="0" w:after="0"/>
      </w:pPr>
      <w:r>
        <w:rPr>
          <w:rFonts w:ascii="Times New Roman" w:hAnsi="Times New Roman" w:eastAsia="HY신명조"/>
          <w:b/>
          <w:sz w:val="28"/>
        </w:rPr>
        <w:t>Abstract</w:t>
      </w:r>
    </w:p>
    <w:p>
      <w:pPr>
        <w:spacing w:line="501" w:lineRule="exact" w:before="0" w:after="0"/>
      </w:pPr>
    </w:p>
    <w:p>
      <w:pPr>
        <w:spacing w:line="360" w:lineRule="auto" w:before="0" w:after="0"/>
        <w:jc w:val="center"/>
      </w:pPr>
      <w:r>
        <w:rPr>
          <w:rFonts w:ascii="Times New Roman" w:hAnsi="Times New Roman" w:eastAsia="HY신명조"/>
          <w:b/>
          <w:sz w:val="32"/>
        </w:rPr>
        <w:t>Continuous Sensor Health Monitoring and</w:t>
      </w:r>
    </w:p>
    <w:p>
      <w:pPr>
        <w:spacing w:line="360" w:lineRule="auto" w:before="0" w:after="0"/>
        <w:jc w:val="center"/>
      </w:pPr>
      <w:r>
        <w:rPr>
          <w:rFonts w:ascii="Times New Roman" w:hAnsi="Times New Roman" w:eastAsia="HY신명조"/>
          <w:b/>
          <w:sz w:val="32"/>
        </w:rPr>
        <w:t>Risk/Capability-aware Graded MRM Supervision</w:t>
      </w:r>
    </w:p>
    <w:p>
      <w:pPr>
        <w:spacing w:line="360" w:lineRule="auto" w:before="0" w:after="0"/>
        <w:jc w:val="center"/>
      </w:pPr>
      <w:r>
        <w:rPr>
          <w:rFonts w:ascii="Times New Roman" w:hAnsi="Times New Roman" w:eastAsia="HY신명조"/>
          <w:b/>
          <w:sz w:val="32"/>
        </w:rPr>
        <w:t>for Fail-Safe Operation of Autonomous Vehicles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Times New Roman" w:hAnsi="Times New Roman"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in 11 of 12 fault conditions, with median detection latencies of about 1.0 s for hard fails (ledger re-measurement) and 2.1-5.0 s for degradation faults (the exception being mild LiDAR sparsification that is tolerated by design) with zero false activations in 45 fault-free cases, and supervision reduced degraded-state driving exposure from 238-275 m (unsupervised stock) to 32-58 m (detect + evacuate, camera and localization faults).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Times New Roman" w:hAnsi="Times New Roman" w:eastAsia="HY신명조"/>
          <w:b w:val="0"/>
          <w:sz w:val="22"/>
        </w:rPr>
        <w:t xml:space="preserve">     Distance-ladder experiments located the avoid/collide boundary at 8-11 m for 4.2 m/s driving (consistent with the stopping-distance model prediction of 8.8 m) and at 7-8 m for 3.0 m/s. In a paired same-seed four-arm ablation (20 seeds over two identically-protocoled rounds, pedestrian dart-out at 8 m launched at detection+3 s, i.e., during the deceleration transient), native continuation collided in 14/20 seeds, detection with in-lane stop in 0/20, uncapped evacuation in 10/20, and nominally capped (3.0 m/s) evacuation in 11/20 (exact McNemar, native continuation (A1) vs capped evacuation (A4): p=0.375). A post-campaign audit found that the explicit cap had never been delivered to the planning layer (a message-type mismatch silently discarded on the same topic name), so both evacuation arms were de facto the same policy; the cap was fixed (type match + periodic republish) and its effect was then tested causally in a dose-response experiment restricted to settled encounters where the cap actually held (3 caps x 4 spawn distances x 10 seeds = 120 runs, settlement-state trigger, pre-registered primary endpoint): at 8 m, cap 4.2 vs 3.0 m/s gave discordant pairs 10:0 (exact McNemar p=0.002), and the avoid/collide boundary moved inward monotonically with lower caps (beyond 9 m to about 7 m). The same low-speed evacuation policy launched in the deceleration transient remains at risk, and the low-speed settled cruise avoided all encounters (0/8).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(11/20 transient vs 0/8 settled; a single launch instant at detection + 3 s) — an observational two-regime comparison, not a causal manipulation of detection timing, that nevertheless provides quantitative observational evidence supporting the need for earlier detection and faster deceleration in widening the safety margin within the fault-tolerant time interval (FTTI). Hard failures (complete signal loss) are decided through an evidence-aware fast path that skips noise-oriented debounce and futile recovery holds, meeting a 1.5-s detection-to-decision deadline across the full cf/lf matrix (max 1.20 s, simulation-time, ledger-based). A supplementary campaign extended the fault model to correlated GNSS bias, GNSS outage, and IMU bias/drift faults (611 valid cases, 100% detection in all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Times New Roman" w:hAnsi="Times New Roman" w:eastAsia="HY신명조"/>
          <w:b/>
          <w:sz w:val="22"/>
        </w:rPr>
        <w:t>Keywords: autonomous vehicle, fail-safe, functional safety, minimal risk maneuver, sensor fault detection,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Times New Roman" w:hAnsi="Times New Roman" w:eastAsia="HY신명조"/>
          <w:b/>
          <w:sz w:val="32"/>
        </w:rPr>
        <w:t>Chapter 1. Introduction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Research Background</w:t>
      </w:r>
    </w:p>
    <w:p>
      <w:pPr>
        <w:spacing w:line="501" w:lineRule="exact" w:before="0" w:after="0"/>
      </w:pPr>
    </w:p>
    <w:p>
      <w:pPr>
        <w:spacing w:line="501" w:lineRule="exact" w:before="0" w:after="0"/>
        <w:jc w:val="both"/>
      </w:pPr>
      <w:r>
        <w:rPr>
          <w:rFonts w:ascii="Times New Roman" w:hAnsi="Times New Roman" w:eastAsia="HY신명조"/>
          <w:b w:val="0"/>
          <w:sz w:val="22"/>
        </w:rPr>
        <w:t xml:space="preserve">   Autonomous driving systems at SAE J3016 Level 4 or higher cannot presuppose driver intervention; when a fault occurs, they must therefore execute a minimal risk maneuver (MRM) that brings the vehicle to a minimal risk condition (MRC) on its own. ISO 26262 requires that detection and response be completed within the Fault Tolerant Time Interval (FTTI), the time allowed from fault occurrence to a hazardous event, while SOTIF (ISO 21448) requires the management of hazards arising from sensor performance limitations.</w:t>
      </w:r>
    </w:p>
    <w:p>
      <w:pPr>
        <w:spacing w:line="501" w:lineRule="exact" w:before="0" w:after="0"/>
        <w:jc w:val="both"/>
      </w:pPr>
      <w:r>
        <w:rPr>
          <w:rFonts w:ascii="Times New Roman" w:hAnsi="Times New Roman" w:eastAsia="HY신명조"/>
          <w:b w:val="0"/>
          <w:sz w:val="22"/>
        </w:rPr>
        <w:t xml:space="preserve">   The open-source autonomous driving stack Autoware provides comfortable_stop and emergency_stop as its default MRMs. However, in the version and execution configuration evaluated in this study (Autoware 0.39.0, Chapter 4, Section 1), most of the injected sensor faults were not detected by the stack's own diagnostics, and the available fallbacks were limited to in-lane stop-type MRMs. Above all, no supervisory layer is provided that "evaluates the type and degree of a sensor fault together with the remaining maneuvering capability, selects between evacuation and stopping accordingly, and further limits the speed of the evacuation movement to match the fault state." The contribution of this study lies in this supervisory layer, not in the shoulder maneuver itself. We state explicitly that this observation is not a claim about Autoware in general, but a fact limited to the evaluated version and execution configuration.</w:t>
      </w:r>
    </w:p>
    <w:p>
      <w:pPr>
        <w:spacing w:line="501" w:lineRule="exact" w:before="0" w:after="0"/>
        <w:jc w:val="both"/>
      </w:pPr>
      <w:r>
        <w:rPr>
          <w:rFonts w:ascii="Times New Roman" w:hAnsi="Times New Roman" w:eastAsia="HY신명조"/>
          <w:b w:val="0"/>
          <w:sz w:val="22"/>
        </w:rPr>
        <w:t xml:space="preserve">   An in-lane stop is simple to implement and immediate, but a stopped vehicle blocks following traffic and creates opportunities for secondary collisions, and this cost persists until the lane occupancy is cleared. Conversely, continuing to drive without detecting the fault extends the distance over which the vehicle is exposed to hazards under degraded perception — in the unmonitored observations of this study, the stock stack effectively completed 238–275 m of the route with faults injected (Chapter 5, Section 2). The design space of fault response thus has three axes: "whether to stop now, how far to move, and, if moving, how fast to move."</w:t>
      </w:r>
    </w:p>
    <w:p>
      <w:pPr>
        <w:spacing w:line="501" w:lineRule="exact" w:before="0" w:after="0"/>
        <w:jc w:val="both"/>
      </w:pPr>
      <w:r>
        <w:rPr>
          <w:rFonts w:ascii="Times New Roman" w:hAnsi="Times New Roman" w:eastAsia="HY신명조"/>
          <w:b w:val="0"/>
          <w:sz w:val="22"/>
        </w:rPr>
        <w:t xml:space="preserve">   When a human driver senses something wrong with the vehicle, the priority is to pull over to the shoulder as far as circumstances permit. Automating this shoulder-evacuation-type MRM requires three prior judgments (Figure 1-1): (i) distinguishing whether the fault is "mild enough to allow moving to the shoulder" or "severe enough to require stopping immediately"; (ii) a continuous evaluation of the type and degree of the fault that makes this distinction possible (a binary normal/faulty diagnostic state is insufficient); and (iii) managing the risk of movement itself in a degraded state when movement is chosen — the stopping distance in a dart-out situation. This study implements these, respectively, as a continuous health score, risk- and remaining-capability-based state transitions, and a conservative remaining-capability-based speed cap (fixed at 3.0 m/s).</w:t>
      </w:r>
    </w:p>
    <w:p>
      <w:pPr>
        <w:keepNext/>
        <w:spacing w:line="240" w:lineRule="auto"/>
        <w:jc w:val="center"/>
      </w:pPr>
      <w:r>
        <w:drawing>
          <wp:inline xmlns:a="http://schemas.openxmlformats.org/drawingml/2006/main" xmlns:pic="http://schemas.openxmlformats.org/drawingml/2006/picture">
            <wp:extent cx="4500000" cy="2460555"/>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60555"/>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1-1. </w:t>
      </w:r>
      <w:r>
        <w:rPr>
          <w:rFonts w:ascii="Times New Roman" w:hAnsi="Times New Roman" w:eastAsia="HY신명조"/>
          <w:b w:val="0"/>
          <w:sz w:val="19"/>
        </w:rPr>
        <w:t>Problem setting. (a) The graded evacuation options upon sensor fault — ① free space, ② parking lot, ③ shoulder ahead, ④ in-lane stop — are ranked by a cost function. (b) Edge case of a dart-out pedestrian encounter during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Finally, simulation-based safety claims stand only on the reliability of the collision determination itself. In the course of the experiments, this study empirically uncovered cases in which the simulator's collision sensor configuration remained silent; prompted by this, we built a triple determination scheme consisting of a real-time ledger of the ego vehicle's collision sensor, a pedestrian physics oracle, and human visual cross-checking, and used it as the basis for the safety conclusions (Chapter 4, Section 5).</w:t>
      </w:r>
    </w:p>
    <w:p>
      <w:pPr>
        <w:spacing w:line="501" w:lineRule="exact" w:before="0" w:after="0"/>
        <w:jc w:val="both"/>
      </w:pPr>
      <w:r>
        <w:rPr>
          <w:rFonts w:ascii="Times New Roman" w:hAnsi="Times New Roman" w:eastAsia="HY신명조"/>
          <w:b w:val="0"/>
          <w:sz w:val="22"/>
        </w:rPr>
        <w:t xml:space="preserve">   The proposed supervisory layer is an add-on layer that does not replace the stack itself. Monitoring operates solely by subscribing to sensor topics, intervention occurs only through standard interfaces, and the execution of stopping maneuvers is delegated to the stock stack. This non-intrusive design leaves the certification boundary of the base stack undisturbed while allowing defects in the decision layer and the execution layer to be traced separately at the log level (Chapter 3, Section 8). At the same time, it carries the limitation that execution quality is dependent on the base stack — this trade-off is discussed in Chapter 6.</w:t>
      </w:r>
    </w:p>
    <w:p>
      <w:pPr>
        <w:spacing w:line="501" w:lineRule="exact" w:before="0" w:after="0"/>
      </w:pPr>
    </w:p>
    <w:p>
      <w:pPr>
        <w:spacing w:line="501" w:lineRule="exact" w:before="0" w:after="0"/>
      </w:pPr>
      <w:r>
        <w:rPr>
          <w:rFonts w:ascii="Times New Roman" w:hAnsi="Times New Roman" w:eastAsia="HY신명조"/>
          <w:b/>
          <w:sz w:val="28"/>
        </w:rPr>
        <w:t>2. Research Questions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RQ1. If sensor faults are estimated as a continuous health score, can the response strategy (shoulder/parking-lot evacuation vs. immediate stop deferral) be selected differentially according to the type and degree of the fault? How much does that selection reduce exposure to the fault state?</w:t>
      </w:r>
    </w:p>
    <w:p>
      <w:pPr>
        <w:spacing w:line="501" w:lineRule="exact" w:before="0" w:after="0"/>
        <w:jc w:val="both"/>
      </w:pPr>
      <w:r>
        <w:rPr>
          <w:rFonts w:ascii="Times New Roman" w:hAnsi="Times New Roman" w:eastAsia="HY신명조"/>
          <w:b w:val="0"/>
          <w:sz w:val="22"/>
        </w:rPr>
        <w:t xml:space="preserve">   RQ2. What does a shoulder-evacuation-type MRM gain and lose compared with a stop-type MRM? What temporal structure does the trade-off between immediate collision risk and lane clearance / final safe position have?</w:t>
      </w:r>
    </w:p>
    <w:p>
      <w:pPr>
        <w:spacing w:line="501" w:lineRule="exact" w:before="0" w:after="0"/>
        <w:jc w:val="both"/>
      </w:pPr>
      <w:r>
        <w:rPr>
          <w:rFonts w:ascii="Times New Roman" w:hAnsi="Times New Roman" w:eastAsia="HY신명조"/>
          <w:b w:val="0"/>
          <w:sz w:val="22"/>
        </w:rPr>
        <w:t xml:space="preserve">   RQ3. How does conservative low-speed movement based on remaining capability (a fixed speed cap) change safety at the level of dart-out encounters, and what does its limiting condition — the transient before deceleration is complete — imply?</w:t>
      </w:r>
    </w:p>
    <w:p>
      <w:pPr>
        <w:spacing w:line="501" w:lineRule="exact" w:before="0" w:after="0"/>
      </w:pPr>
    </w:p>
    <w:p>
      <w:pPr>
        <w:spacing w:line="501" w:lineRule="exact" w:before="0" w:after="0"/>
      </w:pPr>
      <w:r>
        <w:rPr>
          <w:rFonts w:ascii="Times New Roman" w:hAnsi="Times New Roman" w:eastAsia="HY신명조"/>
          <w:b/>
          <w:sz w:val="28"/>
        </w:rPr>
        <w:t>3. Contributions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First, we propose a behavior-tree-based sensor monitoring module. For each sensor, it independently scores data freshness (timeout) and data quality (noise and valid ratio), and composes these across eight-direction spatial sectors and functional capability (perception and localization) layers, publishing the result as a continuous health score.</w:t>
      </w:r>
    </w:p>
    <w:p>
      <w:pPr>
        <w:spacing w:line="501" w:lineRule="exact" w:before="0" w:after="0"/>
        <w:jc w:val="both"/>
      </w:pPr>
      <w:r>
        <w:rPr>
          <w:rFonts w:ascii="Times New Roman" w:hAnsi="Times New Roman" w:eastAsia="HY신명조"/>
          <w:b w:val="0"/>
          <w:sz w:val="22"/>
        </w:rPr>
        <w:t xml:space="preserve">   Second, we propose a risk- and remaining-capability-based MRM supervisor. According to health-score bands, it selects between shoulder/parking-lot evacuation (MRM_MOVE) and deferral to the stock stopping behavior (MRM_DEFER); the evacuation site is chosen by a cost function reflecting degraded-state exposure time, traffic-light observability, and sector deficits; and during evacuation movement, a conservative fixed speed cap (3.0 m/s; below the model-derived upper bound (under nominal parameters) v_max≈3.89 m/s), back-computed from the stopping distance model d=vτ+v²/2a, is imposed on the planning layer. The effect of the cap is verified at the causal level in a dose-response experiment restricted to settled encounters where the cap actually held (Chapter 5, Section 8).</w:t>
      </w:r>
    </w:p>
    <w:p>
      <w:pPr>
        <w:spacing w:line="501" w:lineRule="exact" w:before="0" w:after="0"/>
        <w:jc w:val="both"/>
      </w:pPr>
      <w:r>
        <w:rPr>
          <w:rFonts w:ascii="Times New Roman" w:hAnsi="Times New Roman" w:eastAsia="HY신명조"/>
          <w:b w:val="0"/>
          <w:sz w:val="22"/>
        </w:rPr>
        <w:t xml:space="preserve">   Third, we establish a triple scheme for simulation collision determination as a methodology. It combines a real-time ledger of the ego collision sensor (RAW-HIT), a pedestrian physics oracle (kinematic anomalies at collision), and a human visual cross-checking protocol, and identifies the determination pitfalls inherent in the experiment runner's termination labels and the official infraction records.</w:t>
      </w:r>
    </w:p>
    <w:p>
      <w:pPr>
        <w:spacing w:line="501" w:lineRule="exact" w:before="0" w:after="0"/>
        <w:jc w:val="both"/>
      </w:pPr>
      <w:r>
        <w:rPr>
          <w:rFonts w:ascii="Times New Roman" w:hAnsi="Times New Roman" w:eastAsia="HY신명조"/>
          <w:b w:val="0"/>
          <w:sz w:val="22"/>
        </w:rPr>
        <w:t xml:space="preserve">   Fourth, as a validation contribution, we perform encounter-level quantitative validation and large-scale matrix validation. Using a pedestrian dart-out distance ladder, we empirically measure the avoidance/collision boundary by speed (8–11 m at 4.2 m/s, 7–8 m at 3.0 m/s) and compare it against the stopping distance model; through same-seed paired four-arm ablation and a two-regime analysis of the transient versus settled cruise, we show that the residual risk of evacuation is concentrated in the post-detection transient — a quantitative observation supporting the need to shorten detection and response times (widening the margin within the FTTI); and with the main matrix of fault type × severity × traffic density × method comprising 1,131 valid cases, we quantify the monitoring and evacuation behavior and the reduction in exposure.</w:t>
      </w:r>
    </w:p>
    <w:p>
      <w:pPr>
        <w:spacing w:line="501" w:lineRule="exact" w:before="0" w:after="0"/>
        <w:jc w:val="both"/>
      </w:pPr>
      <w:r>
        <w:rPr>
          <w:rFonts w:ascii="Times New Roman" w:hAnsi="Times New Roman" w:eastAsia="HY신명조"/>
          <w:b w:val="0"/>
          <w:sz w:val="22"/>
        </w:rPr>
        <w:t xml:space="preserve">   The novelty of this study lies not in the individual techniques (CUSUM, residual monitoring, noisy-OR fusion, the stopping distance model, and so on — each is a known technique), but in the system architecture that integrates them into a continuous health score and combines it with remaining maneuvering capability, risk deferral, and movement speed limiting to select MRMs in a graded manner, and in the encounter-level closed-loop demonstration whose determination reliability is secured at the methodological level.</w:t>
      </w:r>
    </w:p>
    <w:p>
      <w:pPr>
        <w:spacing w:line="501" w:lineRule="exact" w:before="0" w:after="0"/>
      </w:pPr>
    </w:p>
    <w:p>
      <w:pPr>
        <w:spacing w:line="501" w:lineRule="exact" w:before="0" w:after="0"/>
      </w:pPr>
      <w:r>
        <w:rPr>
          <w:rFonts w:ascii="Times New Roman" w:hAnsi="Times New Roman" w:eastAsia="HY신명조"/>
          <w:b/>
          <w:sz w:val="28"/>
        </w:rPr>
        <w:t>4. Thesis Organization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Chapter 2 reviews the relevant standards and prior research, and Chapter 3 describes the architecture of the proposed system and each of its components. Chapter 4 presents the experimental environment, the fault model, the collision determination methodology, and the ablation study design; Chapter 5 presents the results; Chapter 6 presents the limitations and discussion; and Chapter 7 concludes.</w:t>
      </w:r>
    </w:p>
    <w:p>
      <w:pPr>
        <w:pageBreakBefore/>
        <w:spacing w:line="501" w:lineRule="exact" w:before="0" w:after="0"/>
        <w:jc w:val="center"/>
      </w:pPr>
      <w:r>
        <w:rPr>
          <w:rFonts w:ascii="Times New Roman" w:hAnsi="Times New Roman" w:eastAsia="HY신명조"/>
          <w:b/>
          <w:sz w:val="32"/>
        </w:rPr>
        <w:t>Chapter 2. Background and Related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Related work is organized into six strands (Sections 1-6): standards and regulation, time budgets, detection theory and degradation models, fallback and MRM planning, capability-based self-monitoring, and simulation-based evaluation and fault injection; Section 7 compares them with this study.</w:t>
      </w:r>
    </w:p>
    <w:p>
      <w:pPr>
        <w:spacing w:line="501" w:lineRule="exact" w:before="0" w:after="0"/>
      </w:pPr>
    </w:p>
    <w:p>
      <w:pPr>
        <w:spacing w:line="501" w:lineRule="exact" w:before="0" w:after="0"/>
      </w:pPr>
      <w:r>
        <w:rPr>
          <w:rFonts w:ascii="Times New Roman" w:hAnsi="Times New Roman" w:eastAsia="HY신명조"/>
          <w:b/>
          <w:sz w:val="28"/>
        </w:rPr>
        <w:t>1. Standards and Regulatory Frameworks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foundational frameworks of functional safety, SOTIF, and driving-automation level taxonomy [1-3], together with production-regulation and safety-case standards [4-7], consistently require runtime monitoring and responses to degradation. ISO 23793-1:2024 [51], which addresses MRM directly, specifies a classification framework for MRM types and the principle of "selecting the type according to the situation," but covers only the simplest types (straight-line and in-lane stops); shoulder stops are being standardized as Part 2.</w:t>
      </w:r>
    </w:p>
    <w:p>
      <w:pPr>
        <w:spacing w:line="501" w:lineRule="exact" w:before="0" w:after="0"/>
        <w:jc w:val="both"/>
      </w:pPr>
      <w:r>
        <w:rPr>
          <w:rFonts w:ascii="Times New Roman" w:hAnsi="Times New Roman" w:eastAsia="HY신명조"/>
          <w:b w:val="0"/>
          <w:sz w:val="22"/>
        </w:rPr>
        <w:t xml:space="preserve">   As a reference from an adjacent domain, the industrial driverless truck standard ISO 3691-4 [60], rather than prohibiting movement in a degraded state outright, prescribes the principle of "limited speed for limited capability," combining monitored speed limits with stop functions; the conservative low-speed MRM movement of this study (Chapter 3, Section 6) transfers this principle to autonomous-driving MRM. However, these standards do not provide a method for continuously estimating the kind and degree of a fault and selecting the response and speed accordingly.</w:t>
      </w:r>
    </w:p>
    <w:p>
      <w:pPr>
        <w:spacing w:line="501" w:lineRule="exact" w:before="0" w:after="0"/>
      </w:pPr>
    </w:p>
    <w:p>
      <w:pPr>
        <w:spacing w:line="501" w:lineRule="exact" w:before="0" w:after="0"/>
      </w:pPr>
      <w:r>
        <w:rPr>
          <w:rFonts w:ascii="Times New Roman" w:hAnsi="Times New Roman" w:eastAsia="HY신명조"/>
          <w:b/>
          <w:sz w:val="28"/>
        </w:rPr>
        <w:t>2. FTTI and the Derivation of Time Budgets</w:t>
      </w:r>
    </w:p>
    <w:p>
      <w:pPr>
        <w:spacing w:line="501" w:lineRule="exact" w:before="0" w:after="0"/>
      </w:pPr>
    </w:p>
    <w:p>
      <w:pPr>
        <w:spacing w:line="501" w:lineRule="exact" w:before="0" w:after="0"/>
        <w:jc w:val="both"/>
      </w:pPr>
      <w:r>
        <w:rPr>
          <w:rFonts w:ascii="Times New Roman" w:hAnsi="Times New Roman" w:eastAsia="HY신명조"/>
          <w:b w:val="0"/>
          <w:sz w:val="22"/>
        </w:rPr>
        <w:t xml:space="preserve">   ISO 26262 (2nd edition) defines the FTTI as "the minimum time from the occurrence of a fault to the point at which a hazardous event may occur, assuming the safety mechanisms are not activated," but provides no concrete values; the FTTI must be derived per safety goal from vehicle dynamics and scenarios — Bosch's estimation method [8] is a representative case, deriving 1.4–1.8 s in a lane-keeping-loss scenario. As risk metrics, time-to-collision (TTC) [9] and its extensions [10], and RSS [11], which formalizes safe distances with worst-case kinematics, are standard. This study implements this framework as a dynamic detection budget that ties the detection-time requirement to driving risk (including the FDTI/FRTI and safety-margin decomposition framework, Chapter 3, Section 4), and, by measuring at the encounter level that the residual risk of evacuation-type MRMs concentrates in the post-detection transient (Chapter 5, Sections 5-6), provides an observation supporting the need to shorten detection and response times (widening the margin within the FTTI).</w:t>
      </w:r>
    </w:p>
    <w:p>
      <w:pPr>
        <w:spacing w:line="501" w:lineRule="exact" w:before="0" w:after="0"/>
      </w:pPr>
    </w:p>
    <w:p>
      <w:pPr>
        <w:spacing w:line="501" w:lineRule="exact" w:before="0" w:after="0"/>
      </w:pPr>
      <w:r>
        <w:rPr>
          <w:rFonts w:ascii="Times New Roman" w:hAnsi="Times New Roman" w:eastAsia="HY신명조"/>
          <w:b/>
          <w:sz w:val="28"/>
        </w:rPr>
        <w:t>3. Fault Detection Theory and Sensor Degradation Models</w:t>
      </w:r>
    </w:p>
    <w:p>
      <w:pPr>
        <w:spacing w:line="501" w:lineRule="exact" w:before="0" w:after="0"/>
      </w:pPr>
    </w:p>
    <w:p>
      <w:pPr>
        <w:spacing w:line="501" w:lineRule="exact" w:before="0" w:after="0"/>
      </w:pPr>
      <w:r>
        <w:rPr>
          <w:rFonts w:ascii="Times New Roman" w:hAnsi="Times New Roman" w:eastAsia="HY신명조"/>
          <w:b/>
          <w:sz w:val="22"/>
        </w:rPr>
        <w:t>A. Classical FDI Theory</w:t>
      </w:r>
    </w:p>
    <w:p>
      <w:pPr>
        <w:spacing w:line="501" w:lineRule="exact" w:before="0" w:after="0"/>
        <w:jc w:val="both"/>
      </w:pPr>
      <w:r>
        <w:rPr>
          <w:rFonts w:ascii="Times New Roman" w:hAnsi="Times New Roman" w:eastAsia="HY신명조"/>
          <w:b w:val="0"/>
          <w:sz w:val="22"/>
        </w:rPr>
        <w:t xml:space="preserve">   Classical FDI has developed along two lines: residual generation and decision [12-15] and sequential change detection [16][17]; the lidar quality channel of this study borrows the CUSUM [16] from the latter (Chapter 3, Section 2). These theories cover only up to "detection"; the selection of maneuvers after detection is outside their scope.</w:t>
      </w:r>
    </w:p>
    <w:p>
      <w:pPr>
        <w:spacing w:line="501" w:lineRule="exact" w:before="0" w:after="0"/>
      </w:pPr>
      <w:r>
        <w:rPr>
          <w:rFonts w:ascii="Times New Roman" w:hAnsi="Times New Roman" w:eastAsia="HY신명조"/>
          <w:b/>
          <w:sz w:val="22"/>
        </w:rPr>
        <w:t>B. Empirical Evidence and Models of Lidar Degradation</w:t>
      </w:r>
    </w:p>
    <w:p>
      <w:pPr>
        <w:spacing w:line="501" w:lineRule="exact" w:before="0" w:after="0"/>
        <w:jc w:val="both"/>
      </w:pPr>
      <w:r>
        <w:rPr>
          <w:rFonts w:ascii="Times New Roman" w:hAnsi="Times New Roman" w:eastAsia="HY신명조"/>
          <w:b w:val="0"/>
          <w:sz w:val="22"/>
        </w:rPr>
        <w:t xml:space="preserve">   Lidar degradation is covered by fault taxonomies [57], field measurements and physical models of soiling and rainfall [53-56], and adverse-weather simulation and quantification studies [20-23][58][59]. The sparsification (lidar soiling occlusion, lso) model of this study follows field measurements of soiling-induced detection-range reduction [55], and the clutter (lidar clutter, lcl) model follows the attenuation, jitter, and threshold formulas for rain scattering [53] and near-range-biased clutter [54] (Chapter 4, Section 2). Autoware preprocessing and diagnostics [18] and PCL [19] aim at the "removal" of outliers, a purpose distinct from continuous "scoring" of sensor condition.</w:t>
      </w:r>
    </w:p>
    <w:p>
      <w:pPr>
        <w:spacing w:line="501" w:lineRule="exact" w:before="0" w:after="0"/>
      </w:pPr>
      <w:r>
        <w:rPr>
          <w:rFonts w:ascii="Times New Roman" w:hAnsi="Times New Roman" w:eastAsia="HY신명조"/>
          <w:b/>
          <w:sz w:val="22"/>
        </w:rPr>
        <w:t>C. Camera, IMU, and GNSS</w:t>
      </w:r>
    </w:p>
    <w:p>
      <w:pPr>
        <w:spacing w:line="501" w:lineRule="exact" w:before="0" w:after="0"/>
        <w:jc w:val="both"/>
      </w:pPr>
      <w:r>
        <w:rPr>
          <w:rFonts w:ascii="Times New Roman" w:hAnsi="Times New Roman" w:eastAsia="HY신명조"/>
          <w:b w:val="0"/>
          <w:sz w:val="22"/>
        </w:rPr>
        <w:t xml:space="preserve">   The camera failure-mode taxonomy [24] is the reference for the cn and cf injections of this study; for the IMU, the separate evaluation of measurement white noise and time-accumulating bias [25][26] serves as the reference, and for GNSS, the failure-mode framework [62], urban error measurements [27], and integrity monitoring [28][29]; the multipath-type correlated bias (gm) is injected following a first-order Gauss-Markov model [61].</w:t>
      </w:r>
    </w:p>
    <w:p>
      <w:pPr>
        <w:spacing w:line="501" w:lineRule="exact" w:before="0" w:after="0"/>
      </w:pPr>
    </w:p>
    <w:p>
      <w:pPr>
        <w:spacing w:line="501" w:lineRule="exact" w:before="0" w:after="0"/>
      </w:pPr>
      <w:r>
        <w:rPr>
          <w:rFonts w:ascii="Times New Roman" w:hAnsi="Times New Roman" w:eastAsia="HY신명조"/>
          <w:b/>
          <w:sz w:val="28"/>
        </w:rPr>
        <w:t>4. Fallback and MRM Planning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Among safe-stop planning approaches for faults and performance limits, the trajectory-planning line [30-32] addresses the parallel maintenance of stop trajectories, optimal-control formulations, and online verification, but takes the assessment of the fault and the choice of response as given. In the fallback-strategy line, Emzivat et al. [33] proposed, as a fallback for systems with impaired monitoring capability, virtual obstacles and TTC-based deceleration, and Reschka and Maurer [34] pointed out that the "safe state" of an automated vehicle is situation-dependent and that an in-lane stop is not always safe — the same concern from which this study starts.</w:t>
      </w:r>
    </w:p>
    <w:p>
      <w:pPr>
        <w:spacing w:line="501" w:lineRule="exact" w:before="0" w:after="0"/>
        <w:jc w:val="both"/>
      </w:pPr>
      <w:r>
        <w:rPr>
          <w:rFonts w:ascii="Times New Roman" w:hAnsi="Times New Roman" w:eastAsia="HY신명조"/>
          <w:b w:val="0"/>
          <w:sz w:val="22"/>
        </w:rPr>
        <w:t xml:space="preserve">   The closest prior work is the line of sensor-fault-presupposing evacuation and adaptive MRM. Xue et al. [49][50], presupposing a forward-sensor fault, proposed a safe-zone stop fallback under MPC safety constraints and an adaptive MPC extension based on virtual vehicles in unobserved regions; Tang et al. [48] proposed a method that, under multiple sensor faults, adaptively selects MRM behaviors (deceleration, lane-keeping stop, shoulder-oriented stop, etc.) using HAZOP risk analysis and virtual-object, TTC, and THW evaluation, and validated it in a MATLAB-CARLA closed loop. The differences from this study are as follows. (i) They presuppose that the sensor-fault state is given and address the subsequent maneuvers and selection, whereas this study starts from estimating the occurrence, kind, and severity of the fault through online monitoring of sensor data. (ii) As selection criteria they use TTC/THW with surrounding traffic, whereas this study combines, in addition to risk grace time, the remaining perception and localization capability, and further limits the speed of the evacuation movement itself to match the fault state. (iii) The focus of validation differs: rather than checking whether maneuvers succeed in representative scenarios, this study performed behavioral verification of 1,131 valid cases of the main matrix on a real open-source stack (Autoware), together with a pedestrian-encounter ablation study whose verdict reliability was secured at the methodology level.</w:t>
      </w:r>
    </w:p>
    <w:p>
      <w:pPr>
        <w:spacing w:line="501" w:lineRule="exact" w:before="0" w:after="0"/>
        <w:jc w:val="both"/>
      </w:pPr>
      <w:r>
        <w:rPr>
          <w:rFonts w:ascii="Times New Roman" w:hAnsi="Times New Roman" w:eastAsia="HY신명조"/>
          <w:b w:val="0"/>
          <w:sz w:val="22"/>
        </w:rPr>
        <w:t xml:space="preserve">   The open-source stack Autoware [18] provides stop-type MRMs and shoulder pull-over search (goal_planner), but the version and configuration evaluated (Chapter 4, Section 1) had no supervisory layer that differentially triggers responses and limits speed based on health score and remaining capability — that layer is the contribution of this study.</w:t>
      </w:r>
    </w:p>
    <w:p>
      <w:pPr>
        <w:spacing w:line="501" w:lineRule="exact" w:before="0" w:after="0"/>
      </w:pPr>
    </w:p>
    <w:p>
      <w:pPr>
        <w:spacing w:line="501" w:lineRule="exact" w:before="0" w:after="0"/>
      </w:pPr>
      <w:r>
        <w:rPr>
          <w:rFonts w:ascii="Times New Roman" w:hAnsi="Times New Roman" w:eastAsia="HY신명조"/>
          <w:b/>
          <w:sz w:val="28"/>
        </w:rPr>
        <w:t>5. Capability-Based Self-Monitoring and Runtime Monitoring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skill and ability graphs of Reschka et al. [35] and their development-process extension [36] form a lineage that models functional capabilities as hierarchical graphs for use in online monitoring and decision making; the sector-capability composition of this study (Chapter 3, Section 3) is an implementation that couples capability scores directly to MRM level selection and the movement speed cap. Runtime monitor case studies [37], SMOF [38], and verification challenges [39] are adjacent lines, and behavior trees [40][41] are used as the parallel-composition and execution-tracing structure of the monitoring node based on BehaviorTree.CPP [42] (implementation structure — Chapter 3, Section 1).</w:t>
      </w:r>
    </w:p>
    <w:p>
      <w:pPr>
        <w:spacing w:line="501" w:lineRule="exact" w:before="0" w:after="0"/>
      </w:pPr>
    </w:p>
    <w:p>
      <w:pPr>
        <w:spacing w:line="501" w:lineRule="exact" w:before="0" w:after="0"/>
      </w:pPr>
      <w:r>
        <w:rPr>
          <w:rFonts w:ascii="Times New Roman" w:hAnsi="Times New Roman" w:eastAsia="HY신명조"/>
          <w:b/>
          <w:sz w:val="28"/>
        </w:rPr>
        <w:t>6. Simulation-Based Evaluation and Fault Injection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CARLA [43] is the standard platform for fault-injection research, and stack-targeted fault-injection evaluations — DriveFI [44], resilience evaluation [45], AV-FUZZER [46], and the scenario language Scenic [47] — are studies that "inject faults to find vulnerabilities," the opposite direction from this study, which has the stack itself detect and grade the injected faults and select a response (this study uses the same injection techniques as a means of verification). The experimental infrastructure of this study is built on AWCL [52], the Autoware-CARLA-coupled leaderboard framework (released by the Institute of Automotive Technology at TUM), as a fully automated harness that restarts the simulator for every case (Chapter 4). Furthermore, no report was found that addresses the reliability of simulated collision verdicts — collision-sensor silence, termination-label misclassification — at the methodology level; this study treats it in a formal section (Chapter 4, Section 5).</w:t>
      </w:r>
    </w:p>
    <w:p>
      <w:pPr>
        <w:spacing w:line="501" w:lineRule="exact" w:before="0" w:after="0"/>
      </w:pPr>
    </w:p>
    <w:p>
      <w:pPr>
        <w:spacing w:line="501" w:lineRule="exact" w:before="0" w:after="0"/>
      </w:pPr>
      <w:r>
        <w:rPr>
          <w:rFonts w:ascii="Times New Roman" w:hAnsi="Times New Roman" w:eastAsia="HY신명조"/>
          <w:b/>
          <w:sz w:val="28"/>
        </w:rPr>
        <w:t>7. Comparison with Prior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Table 2-1 compares the related research lines with this study along six axes.</w:t>
      </w:r>
    </w:p>
    <w:p>
      <w:pPr>
        <w:keepNext/>
        <w:spacing w:line="312" w:lineRule="auto" w:before="40" w:after="0"/>
      </w:pPr>
      <w:r>
        <w:rPr>
          <w:rFonts w:ascii="Times New Roman" w:hAnsi="Times New Roman" w:eastAsia="HY신명조"/>
          <w:b/>
          <w:sz w:val="19"/>
        </w:rPr>
        <w:t xml:space="preserve">Table 2-1. </w:t>
      </w:r>
      <w:r>
        <w:rPr>
          <w:rFonts w:ascii="Times New Roman" w:hAnsi="Times New Roman" w:eastAsia="HY신명조"/>
          <w:b w:val="0"/>
          <w:sz w:val="19"/>
        </w:rPr>
        <w:t>Comparison of prior research lines with this study (○ explicitly provided / △ partial or conceptual / × not addressed)</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Times New Roman" w:hAnsi="Times New Roman" w:eastAsia="HY신명조"/>
                <w:b/>
                <w:sz w:val="19"/>
              </w:rPr>
              <w:t>Research line (representative refs.)</w:t>
            </w:r>
          </w:p>
        </w:tc>
        <w:tc>
          <w:tcPr>
            <w:tcW w:type="dxa" w:w="1215"/>
          </w:tcPr>
          <w:p>
            <w:pPr>
              <w:spacing w:line="288" w:lineRule="auto" w:before="20" w:after="20"/>
              <w:jc w:val="center"/>
            </w:pPr>
            <w:r/>
            <w:r>
              <w:rPr>
                <w:rFonts w:ascii="Times New Roman" w:hAnsi="Times New Roman" w:eastAsia="HY신명조"/>
                <w:b/>
                <w:sz w:val="19"/>
              </w:rPr>
              <w:t>Fault</w:t>
            </w:r>
          </w:p>
          <w:p>
            <w:pPr>
              <w:spacing w:line="288" w:lineRule="auto" w:before="20" w:after="20"/>
              <w:jc w:val="center"/>
            </w:pPr>
            <w:r>
              <w:rPr>
                <w:rFonts w:ascii="Times New Roman" w:hAnsi="Times New Roman" w:eastAsia="HY신명조"/>
                <w:b/>
                <w:sz w:val="19"/>
              </w:rPr>
              <w:t>detection</w:t>
            </w:r>
          </w:p>
        </w:tc>
        <w:tc>
          <w:tcPr>
            <w:tcW w:type="dxa" w:w="1215"/>
          </w:tcPr>
          <w:p>
            <w:pPr>
              <w:spacing w:line="288" w:lineRule="auto" w:before="20" w:after="20"/>
              <w:jc w:val="center"/>
            </w:pPr>
            <w:r/>
            <w:r>
              <w:rPr>
                <w:rFonts w:ascii="Times New Roman" w:hAnsi="Times New Roman" w:eastAsia="HY신명조"/>
                <w:b/>
                <w:sz w:val="19"/>
              </w:rPr>
              <w:t>Continuous</w:t>
            </w:r>
          </w:p>
          <w:p>
            <w:pPr>
              <w:spacing w:line="288" w:lineRule="auto" w:before="20" w:after="20"/>
              <w:jc w:val="center"/>
            </w:pPr>
            <w:r>
              <w:rPr>
                <w:rFonts w:ascii="Times New Roman" w:hAnsi="Times New Roman" w:eastAsia="HY신명조"/>
                <w:b/>
                <w:sz w:val="19"/>
              </w:rPr>
              <w:t>health score</w:t>
            </w:r>
          </w:p>
        </w:tc>
        <w:tc>
          <w:tcPr>
            <w:tcW w:type="dxa" w:w="1215"/>
          </w:tcPr>
          <w:p>
            <w:pPr>
              <w:spacing w:line="288" w:lineRule="auto" w:before="20" w:after="20"/>
              <w:jc w:val="center"/>
            </w:pPr>
            <w:r/>
            <w:r>
              <w:rPr>
                <w:rFonts w:ascii="Times New Roman" w:hAnsi="Times New Roman" w:eastAsia="HY신명조"/>
                <w:b/>
                <w:sz w:val="19"/>
              </w:rPr>
              <w:t>Remaining-capability</w:t>
            </w:r>
          </w:p>
          <w:p>
            <w:pPr>
              <w:spacing w:line="288" w:lineRule="auto" w:before="20" w:after="20"/>
              <w:jc w:val="center"/>
            </w:pPr>
            <w:r>
              <w:rPr>
                <w:rFonts w:ascii="Times New Roman" w:hAnsi="Times New Roman" w:eastAsia="HY신명조"/>
                <w:b/>
                <w:sz w:val="19"/>
              </w:rPr>
              <w:t>assessment</w:t>
            </w:r>
          </w:p>
        </w:tc>
        <w:tc>
          <w:tcPr>
            <w:tcW w:type="dxa" w:w="1215"/>
          </w:tcPr>
          <w:p>
            <w:pPr>
              <w:spacing w:line="288" w:lineRule="auto" w:before="20" w:after="20"/>
              <w:jc w:val="center"/>
            </w:pPr>
            <w:r/>
            <w:r>
              <w:rPr>
                <w:rFonts w:ascii="Times New Roman" w:hAnsi="Times New Roman" w:eastAsia="HY신명조"/>
                <w:b/>
                <w:sz w:val="19"/>
              </w:rPr>
              <w:t>Graded</w:t>
            </w:r>
          </w:p>
          <w:p>
            <w:pPr>
              <w:spacing w:line="288" w:lineRule="auto" w:before="20" w:after="20"/>
              <w:jc w:val="center"/>
            </w:pPr>
            <w:r>
              <w:rPr>
                <w:rFonts w:ascii="Times New Roman" w:hAnsi="Times New Roman" w:eastAsia="HY신명조"/>
                <w:b/>
                <w:sz w:val="19"/>
              </w:rPr>
              <w:t>MRM selection</w:t>
            </w:r>
          </w:p>
        </w:tc>
        <w:tc>
          <w:tcPr>
            <w:tcW w:type="dxa" w:w="1215"/>
          </w:tcPr>
          <w:p>
            <w:pPr>
              <w:spacing w:line="288" w:lineRule="auto" w:before="20" w:after="20"/>
              <w:jc w:val="center"/>
            </w:pPr>
            <w:r/>
            <w:r>
              <w:rPr>
                <w:rFonts w:ascii="Times New Roman" w:hAnsi="Times New Roman" w:eastAsia="HY신명조"/>
                <w:b/>
                <w:sz w:val="19"/>
              </w:rPr>
              <w:t>Speed-limited</w:t>
            </w:r>
          </w:p>
          <w:p>
            <w:pPr>
              <w:spacing w:line="288" w:lineRule="auto" w:before="20" w:after="20"/>
              <w:jc w:val="center"/>
            </w:pPr>
            <w:r>
              <w:rPr>
                <w:rFonts w:ascii="Times New Roman" w:hAnsi="Times New Roman" w:eastAsia="HY신명조"/>
                <w:b/>
                <w:sz w:val="19"/>
              </w:rPr>
              <w:t>movement</w:t>
            </w:r>
          </w:p>
        </w:tc>
        <w:tc>
          <w:tcPr>
            <w:tcW w:type="dxa" w:w="1215"/>
          </w:tcPr>
          <w:p>
            <w:pPr>
              <w:spacing w:line="288" w:lineRule="auto" w:before="20" w:after="20"/>
              <w:jc w:val="center"/>
            </w:pPr>
            <w:r/>
            <w:r>
              <w:rPr>
                <w:rFonts w:ascii="Times New Roman" w:hAnsi="Times New Roman" w:eastAsia="HY신명조"/>
                <w:b/>
                <w:sz w:val="19"/>
              </w:rPr>
              <w:t>Encounter-level</w:t>
            </w:r>
          </w:p>
          <w:p>
            <w:pPr>
              <w:spacing w:line="288" w:lineRule="auto" w:before="20" w:after="20"/>
              <w:jc w:val="center"/>
            </w:pPr>
            <w:r>
              <w:rPr>
                <w:rFonts w:ascii="Times New Roman" w:hAnsi="Times New Roman" w:eastAsia="HY신명조"/>
                <w:b/>
                <w:sz w:val="19"/>
              </w:rPr>
              <w:t>closed-loop validation</w:t>
            </w:r>
          </w:p>
        </w:tc>
      </w:tr>
      <w:tr>
        <w:trPr>
          <w:cantSplit/>
        </w:trPr>
        <w:tc>
          <w:tcPr>
            <w:tcW w:type="dxa" w:w="1215"/>
          </w:tcPr>
          <w:p>
            <w:pPr>
              <w:spacing w:line="288" w:lineRule="auto" w:before="20" w:after="20"/>
              <w:jc w:val="left"/>
            </w:pPr>
            <w:r/>
            <w:r>
              <w:rPr>
                <w:rFonts w:ascii="Times New Roman" w:hAnsi="Times New Roman" w:eastAsia="HY신명조"/>
                <w:b w:val="0"/>
                <w:sz w:val="19"/>
              </w:rPr>
              <w:t>Standards and regulation [1-7][51][60]</w:t>
            </w:r>
          </w:p>
        </w:tc>
        <w:tc>
          <w:tcPr>
            <w:tcW w:type="dxa" w:w="1215"/>
          </w:tcPr>
          <w:p>
            <w:pPr>
              <w:spacing w:line="288" w:lineRule="auto" w:before="20" w:after="20"/>
              <w:jc w:val="left"/>
            </w:pPr>
            <w:r/>
            <w:r>
              <w:rPr>
                <w:rFonts w:ascii="Times New Roman" w:hAnsi="Times New Roman" w:eastAsia="HY신명조"/>
                <w:b w:val="0"/>
                <w:sz w:val="19"/>
              </w:rPr>
              <w:t>Requirements only</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(type taxonomy)</w:t>
            </w:r>
          </w:p>
        </w:tc>
        <w:tc>
          <w:tcPr>
            <w:tcW w:type="dxa" w:w="1215"/>
          </w:tcPr>
          <w:p>
            <w:pPr>
              <w:spacing w:line="288" w:lineRule="auto" w:before="20" w:after="20"/>
              <w:jc w:val="left"/>
            </w:pPr>
            <w:r/>
            <w:r>
              <w:rPr>
                <w:rFonts w:ascii="Times New Roman" w:hAnsi="Times New Roman" w:eastAsia="HY신명조"/>
                <w:b w:val="0"/>
                <w:sz w:val="19"/>
              </w:rPr>
              <w:t>△ (industrial domain)</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Classical FDI and change detection [12-17]</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(residual magnitude)</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Sensor degradation models [20-29][53-59]</w:t>
            </w:r>
          </w:p>
        </w:tc>
        <w:tc>
          <w:tcPr>
            <w:tcW w:type="dxa" w:w="1215"/>
          </w:tcPr>
          <w:p>
            <w:pPr>
              <w:spacing w:line="288" w:lineRule="auto" w:before="20" w:after="20"/>
              <w:jc w:val="left"/>
            </w:pPr>
            <w:r/>
            <w:r>
              <w:rPr>
                <w:rFonts w:ascii="Times New Roman" w:hAnsi="Times New Roman" w:eastAsia="HY신명조"/>
                <w:b w:val="0"/>
                <w:sz w:val="19"/>
              </w:rPr>
              <w:t>○ (offline)</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Fail-safe trajectory planning [30-32]</w:t>
            </w:r>
          </w:p>
        </w:tc>
        <w:tc>
          <w:tcPr>
            <w:tcW w:type="dxa" w:w="1215"/>
          </w:tcPr>
          <w:p>
            <w:pPr>
              <w:spacing w:line="288" w:lineRule="auto" w:before="20" w:after="20"/>
              <w:jc w:val="left"/>
            </w:pPr>
            <w:r/>
            <w:r>
              <w:rPr>
                <w:rFonts w:ascii="Times New Roman" w:hAnsi="Times New Roman" w:eastAsia="HY신명조"/>
                <w:b w:val="0"/>
                <w:sz w:val="19"/>
              </w:rPr>
              <w:t>× (presupposed)</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(stop trajectories)</w:t>
            </w:r>
          </w:p>
        </w:tc>
        <w:tc>
          <w:tcPr>
            <w:tcW w:type="dxa" w:w="1215"/>
          </w:tcPr>
          <w:p>
            <w:pPr>
              <w:spacing w:line="288" w:lineRule="auto" w:before="20" w:after="20"/>
              <w:jc w:val="left"/>
            </w:pPr>
            <w:r/>
            <w:r>
              <w:rPr>
                <w:rFonts w:ascii="Times New Roman" w:hAnsi="Times New Roman" w:eastAsia="HY신명조"/>
                <w:b w:val="0"/>
                <w:sz w:val="19"/>
              </w:rPr>
              <w:t>△ (deceleration planning)</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Fallback strategy (Emzivat [33])</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(TTC deceleration)</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Sensor-fault-presupposing MRM (Xue [49][50]; Tang [48])</w:t>
            </w:r>
          </w:p>
        </w:tc>
        <w:tc>
          <w:tcPr>
            <w:tcW w:type="dxa" w:w="1215"/>
          </w:tcPr>
          <w:p>
            <w:pPr>
              <w:spacing w:line="288" w:lineRule="auto" w:before="20" w:after="20"/>
              <w:jc w:val="left"/>
            </w:pPr>
            <w:r/>
            <w:r>
              <w:rPr>
                <w:rFonts w:ascii="Times New Roman" w:hAnsi="Times New Roman" w:eastAsia="HY신명조"/>
                <w:b w:val="0"/>
                <w:sz w:val="19"/>
              </w:rPr>
              <w:t>× (presupposed)</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(surviving sensors)</w:t>
            </w:r>
          </w:p>
        </w:tc>
        <w:tc>
          <w:tcPr>
            <w:tcW w:type="dxa" w:w="1215"/>
          </w:tcPr>
          <w:p>
            <w:pPr>
              <w:spacing w:line="288" w:lineRule="auto" w:before="20" w:after="20"/>
              <w:jc w:val="left"/>
            </w:pPr>
            <w:r/>
            <w:r>
              <w:rPr>
                <w:rFonts w:ascii="Times New Roman" w:hAnsi="Times New Roman" w:eastAsia="HY신명조"/>
                <w:b w:val="0"/>
                <w:sz w:val="19"/>
              </w:rPr>
              <w:t>○ (adaptive selection)</w:t>
            </w:r>
          </w:p>
        </w:tc>
        <w:tc>
          <w:tcPr>
            <w:tcW w:type="dxa" w:w="1215"/>
          </w:tcPr>
          <w:p>
            <w:pPr>
              <w:spacing w:line="288" w:lineRule="auto" w:before="20" w:after="20"/>
              <w:jc w:val="left"/>
            </w:pPr>
            <w:r/>
            <w:r>
              <w:rPr>
                <w:rFonts w:ascii="Times New Roman" w:hAnsi="Times New Roman" w:eastAsia="HY신명조"/>
                <w:b w:val="0"/>
                <w:sz w:val="19"/>
              </w:rPr>
              <w:t>△ (deceleration behaviors)</w:t>
            </w:r>
          </w:p>
        </w:tc>
        <w:tc>
          <w:tcPr>
            <w:tcW w:type="dxa" w:w="1215"/>
          </w:tcPr>
          <w:p>
            <w:pPr>
              <w:spacing w:line="288" w:lineRule="auto" w:before="20" w:after="20"/>
              <w:jc w:val="left"/>
            </w:pPr>
            <w:r/>
            <w:r>
              <w:rPr>
                <w:rFonts w:ascii="Times New Roman" w:hAnsi="Times New Roman" w:eastAsia="HY신명조"/>
                <w:b w:val="0"/>
                <w:sz w:val="19"/>
              </w:rPr>
              <w:t>△ (representative scenarios)</w:t>
            </w:r>
          </w:p>
        </w:tc>
      </w:tr>
      <w:tr>
        <w:trPr>
          <w:cantSplit/>
        </w:trPr>
        <w:tc>
          <w:tcPr>
            <w:tcW w:type="dxa" w:w="1215"/>
          </w:tcPr>
          <w:p>
            <w:pPr>
              <w:spacing w:line="288" w:lineRule="auto" w:before="20" w:after="20"/>
              <w:jc w:val="left"/>
            </w:pPr>
            <w:r/>
            <w:r>
              <w:rPr>
                <w:rFonts w:ascii="Times New Roman" w:hAnsi="Times New Roman" w:eastAsia="HY신명조"/>
                <w:b w:val="0"/>
                <w:sz w:val="19"/>
              </w:rPr>
              <w:t>Capability-based self-monitoring [34-36]</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(capability level)</w:t>
            </w:r>
          </w:p>
        </w:tc>
        <w:tc>
          <w:tcPr>
            <w:tcW w:type="dxa" w:w="1215"/>
          </w:tcPr>
          <w:p>
            <w:pPr>
              <w:spacing w:line="288" w:lineRule="auto" w:before="20" w:after="20"/>
              <w:jc w:val="left"/>
            </w:pPr>
            <w:r/>
            <w:r>
              <w:rPr>
                <w:rFonts w:ascii="Times New Roman" w:hAnsi="Times New Roman" w:eastAsia="HY신명조"/>
                <w:b w:val="0"/>
                <w:sz w:val="19"/>
              </w:rPr>
              <w:t>○ (conceptual)</w:t>
            </w:r>
          </w:p>
        </w:tc>
        <w:tc>
          <w:tcPr>
            <w:tcW w:type="dxa" w:w="1215"/>
          </w:tcPr>
          <w:p>
            <w:pPr>
              <w:spacing w:line="288" w:lineRule="auto" w:before="20" w:after="20"/>
              <w:jc w:val="left"/>
            </w:pPr>
            <w:r/>
            <w:r>
              <w:rPr>
                <w:rFonts w:ascii="Times New Roman" w:hAnsi="Times New Roman" w:eastAsia="HY신명조"/>
                <w:b w:val="0"/>
                <w:sz w:val="19"/>
              </w:rPr>
              <w:t>△ (conceptual)</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Stock Autoware diagnostics and MRM [18]</w:t>
            </w:r>
          </w:p>
        </w:tc>
        <w:tc>
          <w:tcPr>
            <w:tcW w:type="dxa" w:w="1215"/>
          </w:tcPr>
          <w:p>
            <w:pPr>
              <w:spacing w:line="288" w:lineRule="auto" w:before="20" w:after="20"/>
              <w:jc w:val="left"/>
            </w:pPr>
            <w:r/>
            <w:r>
              <w:rPr>
                <w:rFonts w:ascii="Times New Roman" w:hAnsi="Times New Roman" w:eastAsia="HY신명조"/>
                <w:b w:val="0"/>
                <w:sz w:val="19"/>
              </w:rPr>
              <w:t>△ (timeouts, ranges)</w:t>
            </w:r>
          </w:p>
        </w:tc>
        <w:tc>
          <w:tcPr>
            <w:tcW w:type="dxa" w:w="1215"/>
          </w:tcPr>
          <w:p>
            <w:pPr>
              <w:spacing w:line="288" w:lineRule="auto" w:before="20" w:after="20"/>
              <w:jc w:val="left"/>
            </w:pPr>
            <w:r/>
            <w:r>
              <w:rPr>
                <w:rFonts w:ascii="Times New Roman" w:hAnsi="Times New Roman" w:eastAsia="HY신명조"/>
                <w:b w:val="0"/>
                <w:sz w:val="19"/>
              </w:rPr>
              <w:t>× (binary)</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(stop types only)</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Fault-injection evaluation [43-47]</w:t>
            </w:r>
          </w:p>
        </w:tc>
        <w:tc>
          <w:tcPr>
            <w:tcW w:type="dxa" w:w="1215"/>
          </w:tcPr>
          <w:p>
            <w:pPr>
              <w:spacing w:line="288" w:lineRule="auto" w:before="20" w:after="20"/>
              <w:jc w:val="left"/>
            </w:pPr>
            <w:r/>
            <w:r>
              <w:rPr>
                <w:rFonts w:ascii="Times New Roman" w:hAnsi="Times New Roman" w:eastAsia="HY신명조"/>
                <w:b w:val="0"/>
                <w:sz w:val="19"/>
              </w:rPr>
              <w:t>× (injection side)</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This study</w:t>
            </w:r>
          </w:p>
        </w:tc>
        <w:tc>
          <w:tcPr>
            <w:tcW w:type="dxa" w:w="1215"/>
          </w:tcPr>
          <w:p>
            <w:pPr>
              <w:spacing w:line="288" w:lineRule="auto" w:before="20" w:after="20"/>
              <w:jc w:val="left"/>
            </w:pPr>
            <w:r/>
            <w:r>
              <w:rPr>
                <w:rFonts w:ascii="Times New Roman" w:hAnsi="Times New Roman" w:eastAsia="HY신명조"/>
                <w:b w:val="0"/>
                <w:sz w:val="19"/>
              </w:rPr>
              <w:t>○ (11 injected types, demonstrated)</w:t>
            </w:r>
          </w:p>
        </w:tc>
        <w:tc>
          <w:tcPr>
            <w:tcW w:type="dxa" w:w="1215"/>
          </w:tcPr>
          <w:p>
            <w:pPr>
              <w:spacing w:line="288" w:lineRule="auto" w:before="20" w:after="20"/>
              <w:jc w:val="left"/>
            </w:pPr>
            <w:r/>
            <w:r>
              <w:rPr>
                <w:rFonts w:ascii="Times New Roman" w:hAnsi="Times New Roman" w:eastAsia="HY신명조"/>
                <w:b w:val="0"/>
                <w:sz w:val="19"/>
              </w:rPr>
              <w:t>○ (freshness × quality)</w:t>
            </w:r>
          </w:p>
        </w:tc>
        <w:tc>
          <w:tcPr>
            <w:tcW w:type="dxa" w:w="1215"/>
          </w:tcPr>
          <w:p>
            <w:pPr>
              <w:spacing w:line="288" w:lineRule="auto" w:before="20" w:after="20"/>
              <w:jc w:val="left"/>
            </w:pPr>
            <w:r/>
            <w:r>
              <w:rPr>
                <w:rFonts w:ascii="Times New Roman" w:hAnsi="Times New Roman" w:eastAsia="HY신명조"/>
                <w:b w:val="0"/>
                <w:sz w:val="19"/>
              </w:rPr>
              <w:t>○ (localization and perception confidence)</w:t>
            </w:r>
          </w:p>
        </w:tc>
        <w:tc>
          <w:tcPr>
            <w:tcW w:type="dxa" w:w="1215"/>
          </w:tcPr>
          <w:p>
            <w:pPr>
              <w:spacing w:line="288" w:lineRule="auto" w:before="20" w:after="20"/>
              <w:jc w:val="left"/>
            </w:pPr>
            <w:r/>
            <w:r>
              <w:rPr>
                <w:rFonts w:ascii="Times New Roman" w:hAnsi="Times New Roman" w:eastAsia="HY신명조"/>
                <w:b w:val="0"/>
                <w:sz w:val="19"/>
              </w:rPr>
              <w:t>○ (evacuation/deferral bands)</w:t>
            </w:r>
          </w:p>
        </w:tc>
        <w:tc>
          <w:tcPr>
            <w:tcW w:type="dxa" w:w="1215"/>
          </w:tcPr>
          <w:p>
            <w:pPr>
              <w:spacing w:line="288" w:lineRule="auto" w:before="20" w:after="20"/>
              <w:jc w:val="left"/>
            </w:pPr>
            <w:r/>
            <w:r>
              <w:rPr>
                <w:rFonts w:ascii="Times New Roman" w:hAnsi="Times New Roman" w:eastAsia="HY신명조"/>
                <w:b w:val="0"/>
                <w:sz w:val="19"/>
              </w:rPr>
              <w:t>○ (cap back-calculated from stopping distance)</w:t>
            </w:r>
          </w:p>
        </w:tc>
        <w:tc>
          <w:tcPr>
            <w:tcW w:type="dxa" w:w="1215"/>
          </w:tcPr>
          <w:p>
            <w:pPr>
              <w:spacing w:line="288" w:lineRule="auto" w:before="20" w:after="20"/>
              <w:jc w:val="left"/>
            </w:pPr>
            <w:r/>
            <w:r>
              <w:rPr>
                <w:rFonts w:ascii="Times New Roman" w:hAnsi="Times New Roman" w:eastAsia="HY신명조"/>
                <w:b w:val="0"/>
                <w:sz w:val="19"/>
              </w:rPr>
              <w:t>○ (ledger-verified encounter ablation)</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As Table 2-1 shows, studies addressing each individual axis do exist. However, no study was found that estimates per-sensor freshness and quality as an online continuous health score, evaluates per-fault risk grace time together with remaining perception and localization capability to distinguish evacuation from an immediate stop, limits the speed of the evacuation movement to a cap back-calculated from a stopping-distance model, and validates this on a real autonomous-driving stack with a pedestrian-encounter ablation study whose verdict reliability is secured. The position of this study lies not in new algorithms for individual axes but in an integrated supervisory layer spanning detection through selection and speed, and in its empirical demonstration.</w:t>
      </w:r>
    </w:p>
    <w:p>
      <w:pPr>
        <w:pageBreakBefore/>
        <w:spacing w:line="501" w:lineRule="exact" w:before="0" w:after="0"/>
        <w:jc w:val="center"/>
      </w:pPr>
      <w:r>
        <w:rPr>
          <w:rFonts w:ascii="Times New Roman" w:hAnsi="Times New Roman" w:eastAsia="HY신명조"/>
          <w:b/>
          <w:sz w:val="32"/>
        </w:rPr>
        <w:t>Chapter 3. Proposed System</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System Architecture</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89995"/>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5400000" cy="3189995"/>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3-1. </w:t>
      </w:r>
      <w:r>
        <w:rPr>
          <w:rFonts w:ascii="Times New Roman" w:hAnsi="Times New Roman" w:eastAsia="HY신명조"/>
          <w:b w:val="0"/>
          <w:sz w:val="19"/>
        </w:rPr>
        <w:t>Dual-channel structure of the proposed system. Left: the nominal driving channel of unmodified Autoware 0.39.0 (perception &amp; localization → planning → control); right: the add-on fail-safe channel (figure labels CDR Monitor = cdr_monitor, MRM Supervisor = mrm_supervisor). The monitoring stage subscribes read-only to the sensor topics and produces health/capability scores; the decision stage selects MOVE (evacuate — reroute with a speed cap) or DEFER (defer to the stock stop — inject a diagnostic ERROR) via the dual-threshold check and evacuation-candidate search, and re-evaluates surrounding traffic and progress while moving (rear-occupancy and stall watchdogs), demoting and re-selecting candidates and falling back to DEFER when exhausted; the minimal-risk condition is a shoulder/parking-lot stop or the stock in-lane stop. Dead-sensor cases are decided through the hard-fail fast path (Chapter 3, Section 5).</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proposed system consists of two independent nodes (Figure 3-1). The monitoring module cdr_monitor inspects each sensor at 10 Hz on a behavior-tree basis (the behavior tree is not an algorithmic contribution but an implementation structure for parallel composition, module replacement, and execution tracing), computing and publishing a per-sensor health score (0–1); the detectors comprise three families: timeout (freshness), quality (noise, valid ratio), and physics (residual, bias). The supervisor mrm_supervisor subscribes to the scores and operates a state machine: for evacuation it changes the route via the Autoware AD API and imposes a speed cap on the planning layer, and for deferral it triggers the stop of the stock mrm_handler through the diagnostic graph. Execution of the stopping maneuver is handled by goal_planner and mrm_handler, and modification of the main stack is minimized by injecting monitoring units into the diagnostic graph.</w:t>
      </w:r>
    </w:p>
    <w:p>
      <w:pPr>
        <w:spacing w:line="501" w:lineRule="exact" w:before="0" w:after="0"/>
        <w:jc w:val="both"/>
      </w:pPr>
      <w:r>
        <w:rPr>
          <w:rFonts w:ascii="Times New Roman" w:hAnsi="Times New Roman" w:eastAsia="HY신명조"/>
          <w:b w:val="0"/>
          <w:sz w:val="22"/>
        </w:rPr>
        <w:t xml:space="preserve">   The reception and evaluation cycles are separated: reception accumulates at each sensor's native rate (LiDAR 20 Hz, IMU 100 Hz, etc.), while evaluation runs at 10 Hz (delay contributed by the evaluation cycle ≤0.1 s). The 100 ms evaluation cycle is consistent with the periodic supervision structure of the AUTOSAR Watchdog Manager [7] and also matches the decision cycle of the Autoware planning layer.</w:t>
      </w:r>
    </w:p>
    <w:p>
      <w:pPr>
        <w:spacing w:line="501" w:lineRule="exact" w:before="0" w:after="0"/>
      </w:pPr>
    </w:p>
    <w:p>
      <w:pPr>
        <w:spacing w:line="501" w:lineRule="exact" w:before="0" w:after="0"/>
      </w:pPr>
      <w:r>
        <w:rPr>
          <w:rFonts w:ascii="Times New Roman" w:hAnsi="Times New Roman" w:eastAsia="HY신명조"/>
          <w:b/>
          <w:sz w:val="28"/>
        </w:rPr>
        <w:t>2. Sensor Scoring</w:t>
      </w:r>
    </w:p>
    <w:p>
      <w:pPr>
        <w:spacing w:line="501" w:lineRule="exact" w:before="0" w:after="0"/>
      </w:pPr>
    </w:p>
    <w:p>
      <w:pPr>
        <w:spacing w:line="501" w:lineRule="exact" w:before="0" w:after="0"/>
      </w:pPr>
      <w:r>
        <w:rPr>
          <w:rFonts w:ascii="Times New Roman" w:hAnsi="Times New Roman" w:eastAsia="HY신명조"/>
          <w:b/>
          <w:sz w:val="22"/>
        </w:rPr>
        <w:t>A. Freshness Score</w:t>
      </w:r>
    </w:p>
    <w:p>
      <w:pPr>
        <w:spacing w:line="501" w:lineRule="exact" w:before="0" w:after="0"/>
        <w:jc w:val="both"/>
      </w:pPr>
      <w:r>
        <w:rPr>
          <w:rFonts w:ascii="Times New Roman" w:hAnsi="Times New Roman" w:eastAsia="HY신명조"/>
          <w:b w:val="0"/>
          <w:sz w:val="22"/>
        </w:rPr>
        <w:t xml:space="preserve">   For the elapsed time age(t) since the last reception,</w:t>
      </w:r>
    </w:p>
    <w:p>
      <w:pPr>
        <w:tabs>
          <w:tab w:pos="8504" w:val="right"/>
        </w:tabs>
        <w:spacing w:line="501" w:lineRule="exact"/>
        <w:ind w:left="567"/>
      </w:pPr>
      <w:r>
        <w:rPr>
          <w:rFonts w:ascii="Times New Roman" w:hAnsi="Times New Roman" w:eastAsia="HY신명조"/>
          <w:b w:val="0"/>
          <w:sz w:val="22"/>
        </w:rPr>
        <w:t>timeout_score = max(0, 1 − age/τ_detect)</w:t>
      </w:r>
      <w:r>
        <w:rPr>
          <w:rFonts w:ascii="Times New Roman" w:hAnsi="Times New Roman" w:eastAsia="HY신명조"/>
          <w:b w:val="0"/>
          <w:sz w:val="22"/>
        </w:rPr>
        <w:tab/>
        <w:t>(3-1)</w:t>
      </w:r>
    </w:p>
    <w:p>
      <w:pPr>
        <w:spacing w:line="501" w:lineRule="exact" w:before="0" w:after="0"/>
        <w:jc w:val="both"/>
      </w:pPr>
      <w:r>
        <w:rPr>
          <w:rFonts w:ascii="Times New Roman" w:hAnsi="Times New Roman" w:eastAsia="HY신명조"/>
          <w:b w:val="0"/>
          <w:sz w:val="22"/>
        </w:rPr>
        <w:t xml:space="preserve">   decays the score linearly. τ_detect is not a detection deadline but the time constant of freshness-score decay, and it is tightened in coupling with driving risk (Section 4). Linear decay is used instead of a step function (0 upon expiry of τ_detect) so that the score can cross the downstream band boundary before it is fully exhausted — under complete silence, the capability score falls below the boundary before τ_detect fully elapses, enabling an early transition. As an auxiliary mechanism, a k-miss rule is employed: if nothing is received for 3 times the moving median of the reception interval, the score is penalized early to a "suspect" stage (consistent with the industry practice of consecutive-miss debouncing).</w:t>
      </w:r>
    </w:p>
    <w:p>
      <w:pPr>
        <w:spacing w:line="501" w:lineRule="exact" w:before="0" w:after="0"/>
      </w:pPr>
      <w:r>
        <w:rPr>
          <w:rFonts w:ascii="Times New Roman" w:hAnsi="Times New Roman" w:eastAsia="HY신명조"/>
          <w:b/>
          <w:sz w:val="22"/>
        </w:rPr>
        <w:t>B. Quality Score</w:t>
      </w:r>
    </w:p>
    <w:p>
      <w:pPr>
        <w:spacing w:line="501" w:lineRule="exact" w:before="0" w:after="0"/>
        <w:jc w:val="both"/>
      </w:pPr>
      <w:r>
        <w:rPr>
          <w:rFonts w:ascii="Times New Roman" w:hAnsi="Times New Roman" w:eastAsia="HY신명조"/>
          <w:b w:val="0"/>
          <w:sz w:val="22"/>
        </w:rPr>
        <w:t xml:space="preserve">   For LiDAR, the standard deviation under a Gaussian assumption is recovered from the mean of the range differences between neighboring points.</w:t>
      </w:r>
    </w:p>
    <w:p>
      <w:pPr>
        <w:tabs>
          <w:tab w:pos="8504" w:val="right"/>
        </w:tabs>
        <w:spacing w:line="501" w:lineRule="exact"/>
        <w:ind w:left="567"/>
      </w:pPr>
      <w:r>
        <w:rPr>
          <w:rFonts w:ascii="Times New Roman" w:hAnsi="Times New Roman" w:eastAsia="HY신명조"/>
          <w:b w:val="0"/>
          <w:sz w:val="22"/>
        </w:rPr>
        <w:t>σ_est = mean(|Δr|) × (√π/2),  |Δr| &lt; 1 m 표본만 사용</w:t>
      </w:r>
      <w:r>
        <w:rPr>
          <w:rFonts w:ascii="Times New Roman" w:hAnsi="Times New Roman" w:eastAsia="HY신명조"/>
          <w:b w:val="0"/>
          <w:sz w:val="22"/>
        </w:rPr>
        <w:tab/>
        <w:t>(3-2)</w:t>
      </w:r>
    </w:p>
    <w:p>
      <w:pPr>
        <w:spacing w:line="501" w:lineRule="exact" w:before="0" w:after="0"/>
        <w:jc w:val="both"/>
      </w:pPr>
      <w:r>
        <w:rPr>
          <w:rFonts w:ascii="Times New Roman" w:hAnsi="Times New Roman" w:eastAsia="HY신명조"/>
          <w:b w:val="0"/>
          <w:sz w:val="22"/>
        </w:rPr>
        <w:t xml:space="preserve">   (This is the inversion of E|r1−r2| = 2σ/√π; differences exceeding 1 m are excluded as genuine terrain boundaries.) To absorb scene-intrinsic roughness, a baseline is learned during the first 30 frames after boot, but abrupt rises (exceeding 1.5×) are not tracked, preventing the fault itself from becoming the baseline. The score is exp(−max(0, σ_est − base)/0.1) multiplied by a valid (finite) point-ratio score. This metric is not an absolute noise estimator but a relative anomaly score against the baseline. For LiDAR, a CUSUM sequential test (S = max(0, S + excess − k), with a drop when S &gt; h) is run in parallel so that detection delay is inversely proportional to fault magnitude. Camera quality applies the same structure using inter-frame pixel differences, but since pixel difference is a speed-dependent signal that rises naturally with scene motion during driving, the cumulative test is not applied. LiDAR sparsification (reduced point density) is handled by the valid point-ratio channel, and clutter (spurious near-range reflections) by the range-discontinuity channel.</w:t>
      </w:r>
    </w:p>
    <w:p>
      <w:pPr>
        <w:spacing w:line="501" w:lineRule="exact" w:before="0" w:after="0"/>
      </w:pPr>
      <w:r>
        <w:rPr>
          <w:rFonts w:ascii="Times New Roman" w:hAnsi="Times New Roman" w:eastAsia="HY신명조"/>
          <w:b/>
          <w:sz w:val="22"/>
        </w:rPr>
        <w:t>C. Three Localization Channels</w:t>
      </w:r>
    </w:p>
    <w:p>
      <w:pPr>
        <w:spacing w:line="501" w:lineRule="exact" w:before="0" w:after="0"/>
        <w:jc w:val="both"/>
      </w:pPr>
      <w:r>
        <w:rPr>
          <w:rFonts w:ascii="Times New Roman" w:hAnsi="Times New Roman" w:eastAsia="HY신명조"/>
          <w:b w:val="0"/>
          <w:sz w:val="22"/>
        </w:rPr>
        <w:t xml:space="preserve">   Each channel is responsible for a different fault mode. (a) Residual channel: for the distance r between the GNSS measurement and the EKF output, loc_meas = exp(−max(0, r − base − 0.2)/0.55). The static offset between the two coordinate frames is calibrated at boot. It is sensitive to GNSS noise (measurement contamination) and multipath-type correlated bias. (b) Bias channel: the score is penalized when the difference between the 3-second-window mean of the IMU yaw rate and the mean of the EKF yaw rate persists above a threshold for 3 seconds or longer. Normal turning appears in both signals and cancels out, while gyro bias remains only on the IMU side. (c) Silence channel: if GNSS input is interrupted for 1 second or longer while driving, the score is penalized with exponential decay. This compensates for the structural blind spot of the residual channel, which "freezes at the last value when there is no input."</w:t>
      </w:r>
    </w:p>
    <w:p>
      <w:pPr>
        <w:spacing w:line="501" w:lineRule="exact" w:before="0" w:after="0"/>
      </w:pPr>
    </w:p>
    <w:p>
      <w:pPr>
        <w:spacing w:line="501" w:lineRule="exact" w:before="0" w:after="0"/>
      </w:pPr>
      <w:r>
        <w:rPr>
          <w:rFonts w:ascii="Times New Roman" w:hAnsi="Times New Roman" w:eastAsia="HY신명조"/>
          <w:b/>
          <w:sz w:val="28"/>
        </w:rPr>
        <w:t>3. Spatial Sectors and Capability Synthesis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 scores are mapped to eight directional sectors (F, FL, FR, L, R, RL, RR, B) according to each sensor's mounting direction and field of view, and the sector score is fused in the probabilistic-complement form</w:t>
      </w:r>
    </w:p>
    <w:p>
      <w:pPr>
        <w:tabs>
          <w:tab w:pos="8504" w:val="right"/>
        </w:tabs>
        <w:spacing w:line="501" w:lineRule="exact"/>
        <w:ind w:left="567"/>
      </w:pPr>
      <w:r>
        <w:rPr>
          <w:rFonts w:ascii="Times New Roman" w:hAnsi="Times New Roman" w:eastAsia="HY신명조"/>
          <w:b w:val="0"/>
          <w:sz w:val="22"/>
        </w:rPr>
        <w:t>sector = 1 − Π(1 − si)</w:t>
      </w:r>
      <w:r>
        <w:rPr>
          <w:rFonts w:ascii="Times New Roman" w:hAnsi="Times New Roman" w:eastAsia="HY신명조"/>
          <w:b w:val="0"/>
          <w:sz w:val="22"/>
        </w:rPr>
        <w:tab/>
        <w:t>(3-3)</w:t>
      </w:r>
    </w:p>
    <w:p>
      <w:pPr>
        <w:spacing w:line="501" w:lineRule="exact" w:before="0" w:after="0"/>
        <w:jc w:val="both"/>
      </w:pPr>
      <w:r>
        <w:rPr>
          <w:rFonts w:ascii="Times New Roman" w:hAnsi="Times New Roman" w:eastAsia="HY신명조"/>
          <w:b w:val="0"/>
          <w:sz w:val="22"/>
        </w:rPr>
        <w:t xml:space="preserve">   (the more sensors cover the same sector, the more robust it is). Perception capability takes the sector-weighted sum</w:t>
      </w:r>
    </w:p>
    <w:p>
      <w:pPr>
        <w:tabs>
          <w:tab w:pos="8504" w:val="right"/>
        </w:tabs>
        <w:spacing w:line="501" w:lineRule="exact"/>
        <w:ind w:left="567"/>
      </w:pPr>
      <w:r>
        <w:rPr>
          <w:rFonts w:ascii="Times New Roman" w:hAnsi="Times New Roman" w:eastAsia="HY신명조"/>
          <w:b w:val="0"/>
          <w:sz w:val="22"/>
        </w:rPr>
        <w:t>perception = Σ wk·sectork,  w = {F: 0.30, FL/FR: 0.15, L/R/B: 0.10, RL/RR: 0.05}</w:t>
      </w:r>
      <w:r>
        <w:rPr>
          <w:rFonts w:ascii="Times New Roman" w:hAnsi="Times New Roman" w:eastAsia="HY신명조"/>
          <w:b w:val="0"/>
          <w:sz w:val="22"/>
        </w:rPr>
        <w:tab/>
        <w:t>(3-4)</w:t>
      </w:r>
    </w:p>
    <w:p>
      <w:pPr>
        <w:spacing w:line="501" w:lineRule="exact" w:before="0" w:after="0"/>
        <w:jc w:val="both"/>
      </w:pPr>
      <w:r>
        <w:rPr>
          <w:rFonts w:ascii="Times New Roman" w:hAnsi="Times New Roman" w:eastAsia="HY신명조"/>
          <w:b w:val="0"/>
          <w:sz w:val="22"/>
        </w:rPr>
        <w:t xml:space="preserve">   and combines obstacle perception and traffic-light observability at 0.6:0.4. The system health score is</w:t>
      </w:r>
    </w:p>
    <w:p>
      <w:pPr>
        <w:tabs>
          <w:tab w:pos="8504" w:val="right"/>
        </w:tabs>
        <w:spacing w:line="501" w:lineRule="exact"/>
        <w:ind w:left="567"/>
      </w:pPr>
      <w:r>
        <w:rPr>
          <w:rFonts w:ascii="Times New Roman" w:hAnsi="Times New Roman" w:eastAsia="HY신명조"/>
          <w:b w:val="0"/>
          <w:sz w:val="22"/>
        </w:rPr>
        <w:t>health = min(perception, cap_loc)</w:t>
      </w:r>
      <w:r>
        <w:rPr>
          <w:rFonts w:ascii="Times New Roman" w:hAnsi="Times New Roman" w:eastAsia="HY신명조"/>
          <w:b w:val="0"/>
          <w:sz w:val="22"/>
        </w:rPr>
        <w:tab/>
        <w:t>(3-5)</w:t>
      </w:r>
    </w:p>
    <w:p>
      <w:pPr>
        <w:spacing w:line="501" w:lineRule="exact" w:before="0" w:after="0"/>
        <w:jc w:val="both"/>
      </w:pPr>
      <w:r>
        <w:rPr>
          <w:rFonts w:ascii="Times New Roman" w:hAnsi="Times New Roman" w:eastAsia="HY신명조"/>
          <w:b w:val="0"/>
          <w:sz w:val="22"/>
        </w:rPr>
        <w:t xml:space="preserve">   following the worst of the capabilities (weakest-link principle). cap_loc is the minimum over the physical range check, position jump, and the residual, bias, and silence channels. These localization channels reside in the supervisor process as an implementation matter but belong logically to the monitoring layer; throughout this thesis, "monitoring" denotes this logical layer rather than process placement (the boundary in Figure 3-1 is a logical one). The behavior-tree composition of the monitoring module that executes the above scoring and synthesis pipeline is shown in Figure 3-2.</w:t>
      </w:r>
    </w:p>
    <w:p>
      <w:pPr>
        <w:spacing w:line="501" w:lineRule="exact" w:before="0" w:after="0"/>
      </w:pPr>
    </w:p>
    <w:p>
      <w:pPr>
        <w:spacing w:line="501" w:lineRule="exact" w:before="0" w:after="0"/>
      </w:pPr>
      <w:r>
        <w:rPr>
          <w:rFonts w:ascii="Times New Roman" w:hAnsi="Times New Roman" w:eastAsia="HY신명조"/>
          <w:b/>
          <w:sz w:val="28"/>
        </w:rPr>
        <w:t>4. Risk-Coupled Dynamic Detection Budget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time constant of freshness-score decay is coupled to driving risk:</w:t>
      </w:r>
    </w:p>
    <w:p>
      <w:pPr>
        <w:tabs>
          <w:tab w:pos="8504" w:val="right"/>
        </w:tabs>
        <w:spacing w:line="501" w:lineRule="exact"/>
        <w:ind w:left="567"/>
      </w:pPr>
      <w:r>
        <w:rPr>
          <w:rFonts w:ascii="Times New Roman" w:hAnsi="Times New Roman" w:eastAsia="HY신명조"/>
          <w:b w:val="0"/>
          <w:sz w:val="22"/>
        </w:rPr>
        <w:t>τ_detect(t) = min(τ_fresh, TTC_cons(t))</w:t>
      </w:r>
      <w:r>
        <w:rPr>
          <w:rFonts w:ascii="Times New Roman" w:hAnsi="Times New Roman" w:eastAsia="HY신명조"/>
          <w:b w:val="0"/>
          <w:sz w:val="22"/>
        </w:rPr>
        <w:tab/>
        <w:t>(3-6)</w:t>
      </w:r>
    </w:p>
    <w:p>
      <w:pPr>
        <w:spacing w:line="501" w:lineRule="exact" w:before="0" w:after="0"/>
        <w:jc w:val="both"/>
      </w:pPr>
      <w:r>
        <w:rPr>
          <w:rFonts w:ascii="Times New Roman" w:hAnsi="Times New Roman" w:eastAsia="HY신명조"/>
          <w:b w:val="0"/>
          <w:sz w:val="22"/>
        </w:rPr>
        <w:t xml:space="preserve">   In Eq. (3-6), τ_fresh and min(·, TTC_cons) constitute the freshness-decay time constant of Eq. (3-1); the implementation tightens the decay as TTC shortens, conservatively strengthening the detection criterion as risk approaches. TTC_cons is the minimum of the nearest-obstacle TTC and the planned-path/predicted-path crossing time, and if the sensor supplying the TTC measurement is unhealthy, a worst-case propagation (fail-conservative hold) is applied that decays the TTC lower bound using the last observed closing speed.</w:t>
      </w:r>
    </w:p>
    <w:p>
      <w:pPr>
        <w:spacing w:line="501" w:lineRule="exact" w:before="0" w:after="0"/>
        <w:jc w:val="both"/>
      </w:pPr>
      <w:r>
        <w:rPr>
          <w:rFonts w:ascii="Times New Roman" w:hAnsi="Times New Roman" w:eastAsia="HY신명조"/>
          <w:b w:val="0"/>
          <w:sz w:val="22"/>
        </w:rPr>
        <w:t xml:space="preserve">   We clarify the relationship to the formal form of the functional-safety time budget. The design intent is the inequality</w:t>
      </w:r>
    </w:p>
    <w:p>
      <w:pPr>
        <w:tabs>
          <w:tab w:pos="8504" w:val="right"/>
        </w:tabs>
        <w:spacing w:line="501" w:lineRule="exact"/>
        <w:ind w:left="567"/>
      </w:pPr>
      <w:r>
        <w:rPr>
          <w:rFonts w:ascii="Times New Roman" w:hAnsi="Times New Roman" w:eastAsia="HY신명조"/>
          <w:b w:val="0"/>
          <w:sz w:val="22"/>
        </w:rPr>
        <w:t>T_detect + T_response + T_margin ≤ T_hazard</w:t>
      </w:r>
      <w:r>
        <w:rPr>
          <w:rFonts w:ascii="Times New Roman" w:hAnsi="Times New Roman" w:eastAsia="HY신명조"/>
          <w:b w:val="0"/>
          <w:sz w:val="22"/>
        </w:rPr>
        <w:tab/>
        <w:t>(3-7)</w:t>
      </w:r>
    </w:p>
    <w:p>
      <w:pPr>
        <w:spacing w:line="501" w:lineRule="exact" w:before="0" w:after="0"/>
        <w:jc w:val="both"/>
      </w:pPr>
      <w:r>
        <w:rPr>
          <w:rFonts w:ascii="Times New Roman" w:hAnsi="Times New Roman" w:eastAsia="HY신명조"/>
          <w:b w:val="0"/>
          <w:sz w:val="22"/>
        </w:rPr>
        <w:t xml:space="preserve">   and, approximating the hazard time T_hazard by the conservative TTC estimate TTC_cons, the strict detection deadline is TTC_cons − FRTI − margin. Rather than explicitly reserving the reaction time (FRTI) and the margin, the current implementation is a risk-adaptive heuristic approximation that strengthens the freshness decay as TTC shortens, and it does not guarantee formal compliance with this deadline. Explicit reservation of FRTI and margin, and verification of their compliance, are left as future formalization work (Chapter 6, Section 6). Since detection of degradation-type (noise) faults is an accumulation of statistical evidence, the requirement is formalized not as a single value but as a severity curve T_detect(σ) ≤ T_hazard(σ): small faults are caught later, but they also become hazardous later.</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3-2. </w:t>
      </w:r>
      <w:r>
        <w:rPr>
          <w:rFonts w:ascii="Times New Roman" w:hAnsi="Times New Roman" w:eastAsia="HY신명조"/>
          <w:b w:val="0"/>
          <w:sz w:val="19"/>
        </w:rPr>
        <w:t>cdr_monitor behavior-tree structure. The root Sequence (→) executes, left to right on every 10 Hz tick, a state-subscription Parallel (⇉), driving-state update, risk-coupled detection-budget computation (τ_detect, Eq. 3-6), a per-sensor inspection Parallel, and score publishing (PublishScores). Each sensor leaf computes freshness (timeout) and quality scores; PublishScores maps sensor scores (freshness × quality) to eight directional sectors, fuses them as 1−Π(1−s), and then computes capability scores (obstacle perception, traffic-light observability, localization) by weighted sum, publishing them to /monitor/scores and /diagnostics (Eqs. 3-3, 3-4). Each box shows only the node name and a summary of its role; the per-leaf quality-channel details (LiDAR CUSUM and valid point ratio, camera pixel difference, IMU bias comparison, GNSS three channels) follow the definitions in Section 2 of this chapter.</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5. MRM Supervisor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supervisor switches its response using dual thresholds on the health score (upper 0.7, lower 0.3) (Figure 3-3): from NORMAL, falling below the upper threshold triggers evacuation movement (MRM_MOVE); completion of evacuation triggers evacuation parking (MRM_PARKED); and falling to or below the lower threshold, or a collapse of localization confidence, triggers deferral to the stock stop (MRM_DEFER). As safeguards against false activation, it employs a post-boot health check, a route-change non-response watchdog, a candidate-stagnation blacklist, and a creep guard. Nor is the selection frozen while moving — if a rear vehicle keeps occupying the approach during a parking approach or maneuver (within 10 m for 20 s), the parking-lot candidates that require reversing are penalized and re-selection demotes the target to a roadside stop; movement stalls and route-change non-responses get a bounded number of retries; and candidate exhaustion or a health collapse en route falls back to DEFER (en-route re-evaluation — Figure 3-1).</w:t>
      </w:r>
    </w:p>
    <w:p>
      <w:pPr>
        <w:keepNext/>
        <w:spacing w:line="240" w:lineRule="auto"/>
        <w:jc w:val="center"/>
      </w:pPr>
      <w:r>
        <w:drawing>
          <wp:inline xmlns:a="http://schemas.openxmlformats.org/drawingml/2006/main" xmlns:pic="http://schemas.openxmlformats.org/drawingml/2006/picture">
            <wp:extent cx="5400000" cy="1502830"/>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02830"/>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3-3. </w:t>
      </w:r>
      <w:r>
        <w:rPr>
          <w:rFonts w:ascii="Times New Roman" w:hAnsi="Times New Roman" w:eastAsia="HY신명조"/>
          <w:b w:val="0"/>
          <w:sz w:val="19"/>
        </w:rPr>
        <w:t>MRM selection policy matrix by monitoring state. The dual thresholds (upper 0.7, lower 0.3) distinguish NORMAL, DEGRADED, and CRITICAL; ● denotes selection according to the cost ordering, ○ a fallback upon movement failure, and × non-selection. A dead sensor goes directly to the degraded stage regardless of the thresholds, and if no reachable candidate exists, the state is demoted to the critical stage and deferred to the stock stop.</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dual thresholds serve both chattering prevention and grade separation; since the decay constants were designed so that a wide insensitive gap lies between the score under fault and the normal score, the behavior is determined by the three-band structure (normal/evacuation/deferral) rather than by the precise placement of the thresholds.</w:t>
      </w:r>
    </w:p>
    <w:p>
      <w:pPr>
        <w:spacing w:line="501" w:lineRule="exact" w:before="0" w:after="0"/>
        <w:jc w:val="both"/>
      </w:pPr>
      <w:r>
        <w:rPr>
          <w:rFonts w:ascii="Times New Roman" w:hAnsi="Times New Roman" w:eastAsia="HY신명조"/>
          <w:b w:val="0"/>
          <w:sz w:val="22"/>
        </w:rPr>
        <w:t xml:space="preserve">   The timing rules for state transitions are split in two according to the nature of the evidence. Degradation-type (noise) faults are statistical evidence and therefore require sustained confirmation: 1.0 s for band entry; 2.0 s at the floor (≤0.3), because deferral is an irreversible terminal decision; and a 5.0 s recovery grace period when, within the band, localization confidence falls short of the movement minimum (0.5) — this prevents the misjudgment of making a terminal decision on an instantaneous value that dips deeper than the settled value immediately after fault onset (measured 0.44 versus settled 0.58), and in a sensitivity check, varying the grace period over 0.5–5.0 s left the results unchanged (gn-mid, 10 repetitions per condition). In contrast, for hard fails (signal loss — confirmed death past the 850 ms freshness deadline), the persistence of silence is itself already accumulated evidence, so the above confirmations are not redundantly applied: once death is confirmed and at least one live sensor remains (simultaneous silence of all sensors is identified and excluded as a simulation frame-freeze artifact), the band confirmation is skipped, and under visibility/candidate conditions where recovery is impossible, deferral is immediate with no grace period or retry. Route costs of evacuation-site candidates are periodically precomputed during normal driving (cycling one candidate every 2 ticks), eliminating selection latency at decision time. As a result, detection and adjudication of hard fails complete within the 1.5 s deadline (measured in Chapter 5, Section 8).</w:t>
      </w:r>
    </w:p>
    <w:p>
      <w:pPr>
        <w:spacing w:line="501" w:lineRule="exact" w:before="0" w:after="0"/>
        <w:jc w:val="both"/>
      </w:pPr>
      <w:r>
        <w:rPr>
          <w:rFonts w:ascii="Times New Roman" w:hAnsi="Times New Roman" w:eastAsia="HY신명조"/>
          <w:b w:val="0"/>
          <w:sz w:val="22"/>
        </w:rPr>
        <w:t xml:space="preserve">   Evacuation-site selection is performed by cost minimization (the candidate layout is shown in Figure 3-4):</w:t>
      </w:r>
    </w:p>
    <w:p>
      <w:pPr>
        <w:tabs>
          <w:tab w:pos="8504" w:val="right"/>
        </w:tabs>
        <w:spacing w:line="501" w:lineRule="exact"/>
        <w:ind w:left="567"/>
      </w:pPr>
      <w:r>
        <w:rPr>
          <w:rFonts w:ascii="Times New Roman" w:hAnsi="Times New Roman" w:eastAsia="HY신명조"/>
          <w:b w:val="0"/>
          <w:sz w:val="22"/>
        </w:rPr>
        <w:t>J(c) = wt·η(c) + wtl·ntl(c)·g(tl) + wsec·Σ(1 − sector_req) + wloc·η(c)·(1 − loc)</w:t>
      </w:r>
      <w:r>
        <w:rPr>
          <w:rFonts w:ascii="Times New Roman" w:hAnsi="Times New Roman"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3-4. </w:t>
      </w:r>
      <w:r>
        <w:rPr>
          <w:rFonts w:ascii="Times New Roman" w:hAnsi="Times New Roman" w:eastAsia="HY신명조"/>
          <w:b w:val="0"/>
          <w:sz w:val="19"/>
        </w:rPr>
        <w:t>Town07 evacuation candidate map — 16 shoulder candidates extracted from the vector map (lanelet shapes), 4 parking-lot candidates (polygons), and the reference route (dashed line). Candidate route costs are computed on an in-house road-network graph, and signalized intersections are subject to the observability gate.</w:t>
      </w:r>
    </w:p>
    <w:p>
      <w:pPr>
        <w:spacing w:line="501" w:lineRule="exact" w:before="0" w:after="0"/>
      </w:pPr>
    </w:p>
    <w:p>
      <w:pPr>
        <w:spacing w:line="501" w:lineRule="exact" w:before="0" w:after="0"/>
        <w:jc w:val="both"/>
      </w:pPr>
      <w:r>
        <w:rPr>
          <w:rFonts w:ascii="Times New Roman" w:hAnsi="Times New Roman" w:eastAsia="HY신명조"/>
          <w:b w:val="0"/>
          <w:sz w:val="22"/>
        </w:rPr>
        <w:t xml:space="preserve">   η(c) is the exposure time in the degraded state (route time + expected waiting per traffic light); g(tl) is the traffic-light observability penalty (1/cap_tl − 1), sector_req the sector scores required to approach the candidate, loc the localization confidence, and w∗ the per-term weights — the ISO 26262 view that risk accumulates per unit time, not per unit distance. Route time and traffic-light counts are computed on an in-house road-network graph parsed directly from the map (lanelet2), so that the decision layer operates outside the influence of faults in the main stack; traffic lights are counted by clustering stop-line regulatory elements around intersection centers — the discovery of a defect in the initial implementation, its correction, and the re-run are reported in Chapter 4, Section 3. The traffic-light observability gate is the key safeguard: if no healthy camera can observe the traffic lights on a route, that candidate is excluded with J = ∞, and the source of traffic-light state is selected with awareness of the fault type (V2X when the camera is not faulty; route exclusion takes priority when it is). As additional hard constraints, a minimum approach distance and a minimum shoulder length are imposed, and no claim of precise tuning is made for the absolute weight values (discrimination is dominated by the gate and the approach distance).</w:t>
      </w:r>
    </w:p>
    <w:p>
      <w:pPr>
        <w:spacing w:line="501" w:lineRule="exact" w:before="0" w:after="0"/>
      </w:pPr>
    </w:p>
    <w:p>
      <w:pPr>
        <w:spacing w:line="501" w:lineRule="exact" w:before="0" w:after="0"/>
      </w:pPr>
      <w:r>
        <w:rPr>
          <w:rFonts w:ascii="Times New Roman" w:hAnsi="Times New Roman" w:eastAsia="HY신명조"/>
          <w:b/>
          <w:sz w:val="28"/>
        </w:rPr>
        <w:t>6. Remaining-Capability-Based Conservative Low-Speed MRM Movement (Speed Cap)</w:t>
      </w:r>
    </w:p>
    <w:p>
      <w:pPr>
        <w:spacing w:line="501" w:lineRule="exact" w:before="0" w:after="0"/>
      </w:pPr>
    </w:p>
    <w:p>
      <w:pPr>
        <w:spacing w:line="501" w:lineRule="exact" w:before="0" w:after="0"/>
        <w:jc w:val="both"/>
      </w:pPr>
      <w:r>
        <w:rPr>
          <w:rFonts w:ascii="Times New Roman" w:hAnsi="Times New Roman" w:eastAsia="HY신명조"/>
          <w:b w:val="0"/>
          <w:sz w:val="22"/>
        </w:rPr>
        <w:t xml:space="preserve">   Since evacuation movement is movement under a degraded perception state, the ability to stop upon a dart-out matters more than in normal driving. When an obstacle appears at forward distance D while traveling at initial speed v, the distance required to stop without collision, for reaction time τ and deceleration a, is</w:t>
      </w:r>
    </w:p>
    <w:p>
      <w:pPr>
        <w:tabs>
          <w:tab w:pos="8504" w:val="right"/>
        </w:tabs>
        <w:spacing w:line="501" w:lineRule="exact"/>
        <w:ind w:left="567"/>
      </w:pPr>
      <w:r>
        <w:rPr>
          <w:rFonts w:ascii="Times New Roman" w:hAnsi="Times New Roman" w:eastAsia="HY신명조"/>
          <w:b w:val="0"/>
          <w:sz w:val="22"/>
        </w:rPr>
        <w:t>d_safe(v) = v·τ + v²/(2a) + d_margin ≤ D_avail</w:t>
      </w:r>
      <w:r>
        <w:rPr>
          <w:rFonts w:ascii="Times New Roman" w:hAnsi="Times New Roman" w:eastAsia="HY신명조"/>
          <w:b w:val="0"/>
          <w:sz w:val="22"/>
        </w:rPr>
        <w:tab/>
        <w:t>(3-9)</w:t>
      </w:r>
    </w:p>
    <w:p>
      <w:pPr>
        <w:spacing w:line="501" w:lineRule="exact" w:before="0" w:after="0"/>
        <w:jc w:val="both"/>
      </w:pPr>
      <w:r>
        <w:rPr>
          <w:rFonts w:ascii="Times New Roman" w:hAnsi="Times New Roman" w:eastAsia="HY신명조"/>
          <w:b w:val="0"/>
          <w:sz w:val="22"/>
        </w:rPr>
        <w:t xml:space="preserve">   Here τ≈1.5 s and a≈3.5 m/s² are not independently measured values but nominal lumped values calibrated to reproduce the measured ladder boundary (8–11 m); the formula is therefore a design approximation for selecting the cap policy value, not a predictive model of the safety boundary. In a dedicated braking experiment (fault-free stock stack, a pedestrian appearing 14 m ahead during 4.2 m/s cruise, n=5, physics-tick logs), braking onset lagged the spawn by 0.46±0.08 s and the energy-consistent effective deceleration was 2.87±0.20 m/s² over stopping distances of 4.2–5.8 m — the onset delay is encounter-geometry-dependent (early precautionary braking under long preview versus an effective delay of ≈1.5 s in the 8 m near-boundary regime), so a single (τ, a) pair is a lumped approximation; the agreement with the ladder boundary is a self-consistency check of the calibration, not an independent validation, while the dedicated braking experiment is an independent observation showing that (τ, a) are regime-dependent. In the near-boundary regime, τ≈1.5 s remains the effective hazard-response delay (from pedestrian recognition through planning to brake actuation), validated by the agreement between the measured avoid/collide boundary of the distance ladder (8–11 m) and the model-computed value (8.8 m) (Chapter 5, Section 3). With effective deceleration a≈3.5 m/s², the required distance is 8.82 m for speed-limit driving (v=4.2 m/s) and 5.79 m for v=3.0 m/s (d_margin=0). Upon entering MRM_MOVE, the supervisor imposes a fixed speed cap of 3.0 m/s on the planning layer — a remaining-capability-based conservative fixed cap (enforced upper bound) not coupled to fault severity, which lies below the model-derived upper bound v_max≈3.89 m/s obtained by inverting Eq. (3-9) under nominal parameters for an 8 m dart-out margin — that is, 3.0 m/s is a conservative policy value chosen below the model bound, not an analytical result of the model (d_margin=0; the model underestimates the required distance in the 3.0 m/s regime — prediction 5.79 m versus the measured boundary of 7–8 m, corrected by the measurements of Chapter 5, Section 3) (a health-proportional cap was implemented but unused — Table 4-5). Two implementation defects were found and fixed on this delivery path by measurement. The cap is delivered via the Autoware speed-cap candidate input topic. First, an implementation that directly published the cap output topic was found in measurement to contend with the selector and block restart, and was corrected — the lesson is to intervene on the input side of the arbiter. Second, a message published with a type different from the one the evaluated stack version subscribes to is silently discarded even on the same topic name — a post-campaign audit found that, due to this defect, the explicit cap had not actually been delivered in the campaign runs (discovered through the mismatch between publish logs and measured vehicle speed); after matching the type and adding periodic republication while moving, delivery and compliance were re-verified by measurement (Chapter 5, Section 8). The interface contract extends to the message type, not just the topic name, and a "publish log" is not evidence of delivery (Chapter 6, Section 4).</w:t>
      </w:r>
    </w:p>
    <w:p>
      <w:pPr>
        <w:spacing w:line="501" w:lineRule="exact" w:before="0" w:after="0"/>
      </w:pPr>
    </w:p>
    <w:p>
      <w:pPr>
        <w:spacing w:line="501" w:lineRule="exact" w:before="0" w:after="0"/>
      </w:pPr>
      <w:r>
        <w:rPr>
          <w:rFonts w:ascii="Times New Roman" w:hAnsi="Times New Roman" w:eastAsia="HY신명조"/>
          <w:b/>
          <w:sz w:val="28"/>
        </w:rPr>
        <w:t>7. MRM Candidate Map Annotation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evacuation candidate layer (shoulders and parking lots) was built by manual annotation of road_shoulder/parking_lot subtypes on the lanelet2 map, with the criteria of a minimum shoulder length sufficient to complete the stopping maneuver, mainline connectivity, and consistency between the entry polygon and the goal point. Shoulder candidates are lanelets sharing a boundary line with the mainline and are connected to the route graph; parking-lot candidates are closed polygonal areas. Manual annotation limits the verification scope to the annotated segments (limitations and automatic-extraction alternatives are discussed in Chapter 6).</w:t>
      </w:r>
    </w:p>
    <w:p>
      <w:pPr>
        <w:spacing w:line="501" w:lineRule="exact" w:before="0" w:after="0"/>
      </w:pPr>
    </w:p>
    <w:p>
      <w:pPr>
        <w:spacing w:line="501" w:lineRule="exact" w:before="0" w:after="0"/>
      </w:pPr>
      <w:r>
        <w:rPr>
          <w:rFonts w:ascii="Times New Roman" w:hAnsi="Times New Roman" w:eastAsia="HY신명조"/>
          <w:b/>
          <w:sz w:val="28"/>
        </w:rPr>
        <w:t>8. Boundary and Interface with the Execution Layer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system's scope of responsibility is detection, decision, candidate selection, and the speed cap ("whether to evacuate, where, when, and how fast"), while execution of the stopping maneuver is delegated to Autoware. In MRM_MOVE, the evacuation goal is delivered via AD API route resetting, and mission_planner's replanning and goal_planner's pull-over maneuver execute it — the shoulder-entry maneuver itself is a stock goal_planner capability and was not modified in this work. In MRM_DEFER, ERROR is injected into the diagnostic graph to trigger the stop of the stock mrm_handler (a boundary established to separate decision from execution).</w:t>
      </w:r>
    </w:p>
    <w:p>
      <w:pPr>
        <w:pageBreakBefore/>
        <w:spacing w:line="501" w:lineRule="exact" w:before="0" w:after="0"/>
        <w:jc w:val="center"/>
      </w:pPr>
      <w:r>
        <w:rPr>
          <w:rFonts w:ascii="Times New Roman" w:hAnsi="Times New Roman" w:eastAsia="HY신명조"/>
          <w:b/>
          <w:sz w:val="32"/>
        </w:rPr>
        <w:t>Chapter 4. Experimental Environment and Design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Experimental Environment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experimental stage is a closed-loop environment coupling the CARLA 0.9.16 simulator with Autoware 0.39.0 (Figure 4-1). The integration infrastructure is based on AWCL [52], the Autoware-CARLA leaderboard framework released by the Institute of Automotive Technology at TUM (C++ bridge, vehicle digital twin, scenario runner); CARLA runs on the host, while the bridge, leaderboard, and Autoware run in independent containers. The map is a custom vector map of CARLA Town07 (a low-speed urban/rural mix) annotated with shoulder and parking-lot candidates, the speed limit is 15 km/h (4.2 m/s), and the simulator was fully restarted for every case to block state accumulation and ensure independence between cases (CARLA_RESTART_EVERY=1, Table 4-5).</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4-1. </w:t>
      </w:r>
      <w:r>
        <w:rPr>
          <w:rFonts w:ascii="Times New Roman" w:hAnsi="Times New Roman" w:eastAsia="HY신명조"/>
          <w:b w:val="0"/>
          <w:sz w:val="19"/>
        </w:rPr>
        <w:t>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p>
    <w:p>
      <w:pPr>
        <w:spacing w:line="501" w:lineRule="exact" w:before="0" w:after="0"/>
      </w:pPr>
    </w:p>
    <w:p>
      <w:pPr>
        <w:spacing w:line="501" w:lineRule="exact" w:before="0" w:after="0"/>
        <w:jc w:val="both"/>
      </w:pPr>
      <w:r>
        <w:rPr>
          <w:rFonts w:ascii="Times New Roman" w:hAnsi="Times New Roman" w:eastAsia="HY신명조"/>
          <w:b w:val="0"/>
          <w:sz w:val="22"/>
        </w:rPr>
        <w:t xml:space="preserve">   Experiment automation is handled by a common runner, and a case is defined by a combination of {method, fault, severity, traffic, repetition, injection time}. There are three methods: ours (the proposed supervisor), baseline (same detection, deferral to Autoware's stop-type MRM), and mrm-off (non-intervention observation — the monitoring module runs in a passive mode publishing scores only, and the supervisor is a dummy). The reason baseline shares the identical detection with the proposal is to separate the effect of the response strategy from detection performance; the "no detection at all" scenario is provided separately by mrm-off. The runner manages process lifetimes and archives per-case logs to support post-hoc re-adjudication.</w:t>
      </w:r>
    </w:p>
    <w:p>
      <w:pPr>
        <w:spacing w:line="501" w:lineRule="exact" w:before="0" w:after="0"/>
        <w:jc w:val="both"/>
      </w:pPr>
      <w:r>
        <w:rPr>
          <w:rFonts w:ascii="Times New Roman" w:hAnsi="Times New Roman" w:eastAsia="HY신명조"/>
          <w:b w:val="0"/>
          <w:sz w:val="22"/>
        </w:rPr>
        <w:t xml:space="preserve">   An automatic adjudicator based on ROS topic subscription classifies each case's termination into the labels of Table 4-1 and records stop coordinates, lane occupancy, detection latency, distance traveled in the faulted state, and official collision records as CSV. The outcome label is only a first-pass classification for management purposes and is not the basis of safety adjudication — the basis of adjudication and the pitfalls of the labels are specified in Section 5.</w:t>
      </w:r>
    </w:p>
    <w:p>
      <w:pPr>
        <w:keepNext/>
        <w:spacing w:line="312" w:lineRule="auto" w:before="40" w:after="0"/>
      </w:pPr>
      <w:r>
        <w:rPr>
          <w:rFonts w:ascii="Times New Roman" w:hAnsi="Times New Roman" w:eastAsia="HY신명조"/>
          <w:b/>
          <w:sz w:val="19"/>
        </w:rPr>
        <w:t xml:space="preserve">Table 4-1. </w:t>
      </w:r>
      <w:r>
        <w:rPr>
          <w:rFonts w:ascii="Times New Roman" w:hAnsi="Times New Roman" w:eastAsia="HY신명조"/>
          <w:b w:val="0"/>
          <w:sz w:val="19"/>
        </w:rPr>
        <w:t>Termination labels of the runner's automatic adjudicator</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9"/>
              </w:rPr>
              <w:t>Label</w:t>
            </w:r>
          </w:p>
        </w:tc>
        <w:tc>
          <w:tcPr>
            <w:tcW w:type="dxa" w:w="4252"/>
          </w:tcPr>
          <w:p>
            <w:pPr>
              <w:keepNext/>
              <w:spacing w:line="288" w:lineRule="auto" w:before="20" w:after="20"/>
              <w:jc w:val="center"/>
            </w:pPr>
            <w:r/>
            <w:r>
              <w:rPr>
                <w:rFonts w:ascii="Times New Roman" w:hAnsi="Times New Roman" w:eastAsia="HY신명조"/>
                <w:b/>
                <w:sz w:val="19"/>
              </w:rPr>
              <w:t>Meaning</w:t>
            </w:r>
          </w:p>
        </w:tc>
      </w:tr>
      <w:tr>
        <w:trPr>
          <w:cantSplit/>
        </w:trPr>
        <w:tc>
          <w:tcPr>
            <w:tcW w:type="dxa" w:w="4252"/>
          </w:tcPr>
          <w:p>
            <w:pPr>
              <w:keepNext/>
              <w:spacing w:line="288" w:lineRule="auto" w:before="20" w:after="20"/>
              <w:jc w:val="left"/>
            </w:pPr>
            <w:r/>
            <w:r>
              <w:rPr>
                <w:rFonts w:ascii="Times New Roman" w:hAnsi="Times New Roman" w:eastAsia="HY신명조"/>
                <w:b w:val="0"/>
                <w:sz w:val="19"/>
              </w:rPr>
              <w:t>SHOULDER_SUCCESS / PARKED_SUCCESS</w:t>
            </w:r>
          </w:p>
        </w:tc>
        <w:tc>
          <w:tcPr>
            <w:tcW w:type="dxa" w:w="4252"/>
          </w:tcPr>
          <w:p>
            <w:pPr>
              <w:keepNext/>
              <w:spacing w:line="288" w:lineRule="auto" w:before="20" w:after="20"/>
              <w:jc w:val="left"/>
            </w:pPr>
            <w:r/>
            <w:r>
              <w:rPr>
                <w:rFonts w:ascii="Times New Roman" w:hAnsi="Times New Roman" w:eastAsia="HY신명조"/>
                <w:b w:val="0"/>
                <w:sz w:val="19"/>
              </w:rPr>
              <w:t>Shoulder / parking-lot evacuation completed</w:t>
            </w:r>
          </w:p>
        </w:tc>
      </w:tr>
      <w:tr>
        <w:trPr>
          <w:cantSplit/>
        </w:trPr>
        <w:tc>
          <w:tcPr>
            <w:tcW w:type="dxa" w:w="4252"/>
          </w:tcPr>
          <w:p>
            <w:pPr>
              <w:keepNext/>
              <w:spacing w:line="288" w:lineRule="auto" w:before="20" w:after="20"/>
              <w:jc w:val="left"/>
            </w:pPr>
            <w:r/>
            <w:r>
              <w:rPr>
                <w:rFonts w:ascii="Times New Roman" w:hAnsi="Times New Roman" w:eastAsia="HY신명조"/>
                <w:b w:val="0"/>
                <w:sz w:val="19"/>
              </w:rPr>
              <w:t>AW_COMFORTABLE_STOP_DONE / AW_EMERGENCY_STOP_DONE</w:t>
            </w:r>
          </w:p>
        </w:tc>
        <w:tc>
          <w:tcPr>
            <w:tcW w:type="dxa" w:w="4252"/>
          </w:tcPr>
          <w:p>
            <w:pPr>
              <w:keepNext/>
              <w:spacing w:line="288" w:lineRule="auto" w:before="20" w:after="20"/>
              <w:jc w:val="left"/>
            </w:pPr>
            <w:r/>
            <w:r>
              <w:rPr>
                <w:rFonts w:ascii="Times New Roman" w:hAnsi="Times New Roman" w:eastAsia="HY신명조"/>
                <w:b w:val="0"/>
                <w:sz w:val="19"/>
              </w:rPr>
              <w:t>Stock stop-type MRM completed (deferral path)</w:t>
            </w:r>
          </w:p>
        </w:tc>
      </w:tr>
      <w:tr>
        <w:trPr>
          <w:cantSplit/>
        </w:trPr>
        <w:tc>
          <w:tcPr>
            <w:tcW w:type="dxa" w:w="4252"/>
          </w:tcPr>
          <w:p>
            <w:pPr>
              <w:keepNext/>
              <w:spacing w:line="288" w:lineRule="auto" w:before="20" w:after="20"/>
              <w:jc w:val="left"/>
            </w:pPr>
            <w:r/>
            <w:r>
              <w:rPr>
                <w:rFonts w:ascii="Times New Roman" w:hAnsi="Times New Roman" w:eastAsia="HY신명조"/>
                <w:b w:val="0"/>
                <w:sz w:val="19"/>
              </w:rPr>
              <w:t>STUCK_IN_MRM_MOVE</w:t>
            </w:r>
          </w:p>
        </w:tc>
        <w:tc>
          <w:tcPr>
            <w:tcW w:type="dxa" w:w="4252"/>
          </w:tcPr>
          <w:p>
            <w:pPr>
              <w:keepNext/>
              <w:spacing w:line="288" w:lineRule="auto" w:before="20" w:after="20"/>
              <w:jc w:val="left"/>
            </w:pPr>
            <w:r/>
            <w:r>
              <w:rPr>
                <w:rFonts w:ascii="Times New Roman" w:hAnsi="Times New Roman" w:eastAsia="HY신명조"/>
                <w:b w:val="0"/>
                <w:sz w:val="19"/>
              </w:rPr>
              <w:t>Stalled during evacuation movement (time limit)</w:t>
            </w:r>
          </w:p>
        </w:tc>
      </w:tr>
      <w:tr>
        <w:trPr>
          <w:cantSplit/>
        </w:trPr>
        <w:tc>
          <w:tcPr>
            <w:tcW w:type="dxa" w:w="4252"/>
          </w:tcPr>
          <w:p>
            <w:pPr>
              <w:keepNext/>
              <w:spacing w:line="288" w:lineRule="auto" w:before="20" w:after="20"/>
              <w:jc w:val="left"/>
            </w:pPr>
            <w:r/>
            <w:r>
              <w:rPr>
                <w:rFonts w:ascii="Times New Roman" w:hAnsi="Times New Roman" w:eastAsia="HY신명조"/>
                <w:b w:val="0"/>
                <w:sz w:val="19"/>
              </w:rPr>
              <w:t>HAZARD_COLLISION</w:t>
            </w:r>
          </w:p>
        </w:tc>
        <w:tc>
          <w:tcPr>
            <w:tcW w:type="dxa" w:w="4252"/>
          </w:tcPr>
          <w:p>
            <w:pPr>
              <w:keepNext/>
              <w:spacing w:line="288" w:lineRule="auto" w:before="20" w:after="20"/>
              <w:jc w:val="left"/>
            </w:pPr>
            <w:r/>
            <w:r>
              <w:rPr>
                <w:rFonts w:ascii="Times New Roman" w:hAnsi="Times New Roman" w:eastAsia="HY신명조"/>
                <w:b w:val="0"/>
                <w:sz w:val="19"/>
              </w:rPr>
              <w:t>Hazard-event contact (may include endpoint structures — distinguished via the ledger)</w:t>
            </w:r>
          </w:p>
        </w:tc>
      </w:tr>
      <w:tr>
        <w:trPr>
          <w:cantSplit/>
        </w:trPr>
        <w:tc>
          <w:tcPr>
            <w:tcW w:type="dxa" w:w="4252"/>
          </w:tcPr>
          <w:p>
            <w:pPr>
              <w:keepNext/>
              <w:spacing w:line="288" w:lineRule="auto" w:before="20" w:after="20"/>
              <w:jc w:val="left"/>
            </w:pPr>
            <w:r/>
            <w:r>
              <w:rPr>
                <w:rFonts w:ascii="Times New Roman" w:hAnsi="Times New Roman" w:eastAsia="HY신명조"/>
                <w:b w:val="0"/>
                <w:sz w:val="19"/>
              </w:rPr>
              <w:t>HAZARD_STOPPED</w:t>
            </w:r>
          </w:p>
        </w:tc>
        <w:tc>
          <w:tcPr>
            <w:tcW w:type="dxa" w:w="4252"/>
          </w:tcPr>
          <w:p>
            <w:pPr>
              <w:keepNext/>
              <w:spacing w:line="288" w:lineRule="auto" w:before="20" w:after="20"/>
              <w:jc w:val="left"/>
            </w:pPr>
            <w:r/>
            <w:r>
              <w:rPr>
                <w:rFonts w:ascii="Times New Roman" w:hAnsi="Times New Roman" w:eastAsia="HY신명조"/>
                <w:b w:val="0"/>
                <w:sz w:val="19"/>
              </w:rPr>
              <w:t>Stopped in a hazardous state for 60 s or more (may include post-collision stops)</w:t>
            </w:r>
          </w:p>
        </w:tc>
      </w:tr>
      <w:tr>
        <w:trPr>
          <w:cantSplit/>
        </w:trPr>
        <w:tc>
          <w:tcPr>
            <w:tcW w:type="dxa" w:w="4252"/>
          </w:tcPr>
          <w:p>
            <w:pPr>
              <w:keepNext/>
              <w:spacing w:line="288" w:lineRule="auto" w:before="20" w:after="20"/>
              <w:jc w:val="left"/>
            </w:pPr>
            <w:r/>
            <w:r>
              <w:rPr>
                <w:rFonts w:ascii="Times New Roman" w:hAnsi="Times New Roman" w:eastAsia="HY신명조"/>
                <w:b w:val="0"/>
                <w:sz w:val="19"/>
              </w:rPr>
              <w:t>HAZARD_SURVIVED</w:t>
            </w:r>
          </w:p>
        </w:tc>
        <w:tc>
          <w:tcPr>
            <w:tcW w:type="dxa" w:w="4252"/>
          </w:tcPr>
          <w:p>
            <w:pPr>
              <w:keepNext/>
              <w:spacing w:line="288" w:lineRule="auto" w:before="20" w:after="20"/>
              <w:jc w:val="left"/>
            </w:pPr>
            <w:r/>
            <w:r>
              <w:rPr>
                <w:rFonts w:ascii="Times New Roman" w:hAnsi="Times New Roman" w:eastAsia="HY신명조"/>
                <w:b w:val="0"/>
                <w:sz w:val="19"/>
              </w:rPr>
              <w:t>Persisted 360 s after the fault without incident</w:t>
            </w:r>
          </w:p>
        </w:tc>
      </w:tr>
      <w:tr>
        <w:trPr>
          <w:cantSplit/>
        </w:trPr>
        <w:tc>
          <w:tcPr>
            <w:tcW w:type="dxa" w:w="4252"/>
          </w:tcPr>
          <w:p>
            <w:pPr>
              <w:spacing w:line="288" w:lineRule="auto" w:before="20" w:after="20"/>
              <w:jc w:val="left"/>
            </w:pPr>
            <w:r/>
            <w:r>
              <w:rPr>
                <w:rFonts w:ascii="Times New Roman" w:hAnsi="Times New Roman" w:eastAsia="HY신명조"/>
                <w:b w:val="0"/>
                <w:sz w:val="19"/>
              </w:rPr>
              <w:t>CARLA_DIED / TIMEOUT</w:t>
            </w:r>
          </w:p>
        </w:tc>
        <w:tc>
          <w:tcPr>
            <w:tcW w:type="dxa" w:w="4252"/>
          </w:tcPr>
          <w:p>
            <w:pPr>
              <w:spacing w:line="288" w:lineRule="auto" w:before="20" w:after="20"/>
              <w:jc w:val="left"/>
            </w:pPr>
            <w:r/>
            <w:r>
              <w:rPr>
                <w:rFonts w:ascii="Times New Roman" w:hAnsi="Times New Roman" w:eastAsia="HY신명조"/>
                <w:b w:val="0"/>
                <w:sz w:val="19"/>
              </w:rPr>
              <w:t>Infrastructure failure (re-collected via the retry chain)</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2. Fault Model</w:t>
      </w:r>
    </w:p>
    <w:p>
      <w:pPr>
        <w:spacing w:line="501" w:lineRule="exact" w:before="0" w:after="0"/>
      </w:pPr>
    </w:p>
    <w:p>
      <w:pPr>
        <w:spacing w:line="501" w:lineRule="exact" w:before="0" w:after="0"/>
        <w:jc w:val="both"/>
      </w:pPr>
      <w:r>
        <w:rPr>
          <w:rFonts w:ascii="Times New Roman" w:hAnsi="Times New Roman" w:eastAsia="HY신명조"/>
          <w:b w:val="0"/>
          <w:sz w:val="22"/>
        </w:rPr>
        <w:t xml:space="preserve">   Faults are injected inside the agent's sensor pipeline (Table 4-2 — the reference literature and physical models are specified in the table's injection-method column). The simple Gaussian range noise of the initial version (ln) was retired because its correspondence to real fault modes was weak, and it was replaced with two physical models (lso and lcl). The injection time is drawn from a deterministic seed derived from the case key and is thus reproducible; in the ablation study, even the fault-waveform random numbers were fixed by seed (FAULT_SEED) so that the four arms of the same seed experience an identical fault realization. The sensor-level effect of each fault is illustrated in Figure 4-2.</w:t>
      </w:r>
    </w:p>
    <w:p>
      <w:pPr>
        <w:keepNext/>
        <w:spacing w:line="312" w:lineRule="auto" w:before="40" w:after="0"/>
      </w:pPr>
      <w:r>
        <w:rPr>
          <w:rFonts w:ascii="Times New Roman" w:hAnsi="Times New Roman" w:eastAsia="HY신명조"/>
          <w:b/>
          <w:sz w:val="19"/>
        </w:rPr>
        <w:t xml:space="preserve">Table 4-2. </w:t>
      </w:r>
      <w:r>
        <w:rPr>
          <w:rFonts w:ascii="Times New Roman" w:hAnsi="Times New Roman" w:eastAsia="HY신명조"/>
          <w:b w:val="0"/>
          <w:sz w:val="19"/>
        </w:rPr>
        <w:t>Fault model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9"/>
              </w:rPr>
              <w:t>Abbrev.</w:t>
            </w:r>
          </w:p>
        </w:tc>
        <w:tc>
          <w:tcPr>
            <w:tcW w:type="dxa" w:w="2126"/>
          </w:tcPr>
          <w:p>
            <w:pPr>
              <w:keepNext/>
              <w:spacing w:line="288" w:lineRule="auto" w:before="20" w:after="20"/>
              <w:jc w:val="center"/>
            </w:pPr>
            <w:r/>
            <w:r>
              <w:rPr>
                <w:rFonts w:ascii="Times New Roman" w:hAnsi="Times New Roman" w:eastAsia="HY신명조"/>
                <w:b/>
                <w:sz w:val="19"/>
              </w:rPr>
              <w:t>Fault</w:t>
            </w:r>
          </w:p>
        </w:tc>
        <w:tc>
          <w:tcPr>
            <w:tcW w:type="dxa" w:w="2126"/>
          </w:tcPr>
          <w:p>
            <w:pPr>
              <w:keepNext/>
              <w:spacing w:line="288" w:lineRule="auto" w:before="20" w:after="20"/>
              <w:jc w:val="center"/>
            </w:pPr>
            <w:r/>
            <w:r>
              <w:rPr>
                <w:rFonts w:ascii="Times New Roman" w:hAnsi="Times New Roman" w:eastAsia="HY신명조"/>
                <w:b/>
                <w:sz w:val="19"/>
              </w:rPr>
              <w:t>Injection method</w:t>
            </w:r>
          </w:p>
        </w:tc>
        <w:tc>
          <w:tcPr>
            <w:tcW w:type="dxa" w:w="2126"/>
          </w:tcPr>
          <w:p>
            <w:pPr>
              <w:keepNext/>
              <w:spacing w:line="288" w:lineRule="auto" w:before="20" w:after="20"/>
              <w:jc w:val="center"/>
            </w:pPr>
            <w:r/>
            <w:r>
              <w:rPr>
                <w:rFonts w:ascii="Times New Roman" w:hAnsi="Times New Roman" w:eastAsia="HY신명조"/>
                <w:b/>
                <w:sz w:val="19"/>
              </w:rPr>
              <w:t>Severity</w:t>
            </w:r>
          </w:p>
        </w:tc>
      </w:tr>
      <w:tr>
        <w:trPr>
          <w:cantSplit/>
        </w:trPr>
        <w:tc>
          <w:tcPr>
            <w:tcW w:type="dxa" w:w="2126"/>
          </w:tcPr>
          <w:p>
            <w:pPr>
              <w:keepNext/>
              <w:spacing w:line="288" w:lineRule="auto" w:before="20" w:after="20"/>
              <w:jc w:val="left"/>
            </w:pPr>
            <w:r/>
            <w:r>
              <w:rPr>
                <w:rFonts w:ascii="Times New Roman" w:hAnsi="Times New Roman" w:eastAsia="HY신명조"/>
                <w:b w:val="0"/>
                <w:sz w:val="19"/>
              </w:rPr>
              <w:t>cf</w:t>
            </w:r>
          </w:p>
        </w:tc>
        <w:tc>
          <w:tcPr>
            <w:tcW w:type="dxa" w:w="2126"/>
          </w:tcPr>
          <w:p>
            <w:pPr>
              <w:keepNext/>
              <w:spacing w:line="288" w:lineRule="auto" w:before="20" w:after="20"/>
              <w:jc w:val="left"/>
            </w:pPr>
            <w:r/>
            <w:r>
              <w:rPr>
                <w:rFonts w:ascii="Times New Roman" w:hAnsi="Times New Roman" w:eastAsia="HY신명조"/>
                <w:b w:val="0"/>
                <w:sz w:val="19"/>
              </w:rPr>
              <w:t>Camera death</w:t>
            </w:r>
          </w:p>
        </w:tc>
        <w:tc>
          <w:tcPr>
            <w:tcW w:type="dxa" w:w="2126"/>
          </w:tcPr>
          <w:p>
            <w:pPr>
              <w:keepNext/>
              <w:spacing w:line="288" w:lineRule="auto" w:before="20" w:after="20"/>
              <w:jc w:val="left"/>
            </w:pPr>
            <w:r/>
            <w:r>
              <w:rPr>
                <w:rFonts w:ascii="Times New Roman" w:hAnsi="Times New Roman" w:eastAsia="HY신명조"/>
                <w:b w:val="0"/>
                <w:sz w:val="19"/>
              </w:rPr>
              <w:t>Frame transmission halted</w:t>
            </w:r>
          </w:p>
        </w:tc>
        <w:tc>
          <w:tcPr>
            <w:tcW w:type="dxa" w:w="2126"/>
          </w:tcPr>
          <w:p>
            <w:pPr>
              <w:keepNext/>
              <w:spacing w:line="288" w:lineRule="auto" w:before="20" w:after="20"/>
              <w:jc w:val="left"/>
            </w:pPr>
            <w:r/>
            <w:r>
              <w:rPr>
                <w:rFonts w:ascii="Times New Roman" w:hAnsi="Times New Roman" w:eastAsia="HY신명조"/>
                <w:b w:val="0"/>
                <w:sz w:val="19"/>
              </w:rPr>
              <w:t>-</w:t>
            </w:r>
          </w:p>
        </w:tc>
      </w:tr>
      <w:tr>
        <w:trPr>
          <w:cantSplit/>
        </w:trPr>
        <w:tc>
          <w:tcPr>
            <w:tcW w:type="dxa" w:w="2126"/>
          </w:tcPr>
          <w:p>
            <w:pPr>
              <w:keepNext/>
              <w:spacing w:line="288" w:lineRule="auto" w:before="20" w:after="20"/>
              <w:jc w:val="left"/>
            </w:pPr>
            <w:r/>
            <w:r>
              <w:rPr>
                <w:rFonts w:ascii="Times New Roman" w:hAnsi="Times New Roman" w:eastAsia="HY신명조"/>
                <w:b w:val="0"/>
                <w:sz w:val="19"/>
              </w:rPr>
              <w:t>cn</w:t>
            </w:r>
          </w:p>
        </w:tc>
        <w:tc>
          <w:tcPr>
            <w:tcW w:type="dxa" w:w="2126"/>
          </w:tcPr>
          <w:p>
            <w:pPr>
              <w:keepNext/>
              <w:spacing w:line="288" w:lineRule="auto" w:before="20" w:after="20"/>
              <w:jc w:val="left"/>
            </w:pPr>
            <w:r/>
            <w:r>
              <w:rPr>
                <w:rFonts w:ascii="Times New Roman" w:hAnsi="Times New Roman" w:eastAsia="HY신명조"/>
                <w:b w:val="0"/>
                <w:sz w:val="19"/>
              </w:rPr>
              <w:t>Camera noise</w:t>
            </w:r>
          </w:p>
        </w:tc>
        <w:tc>
          <w:tcPr>
            <w:tcW w:type="dxa" w:w="2126"/>
          </w:tcPr>
          <w:p>
            <w:pPr>
              <w:keepNext/>
              <w:spacing w:line="288" w:lineRule="auto" w:before="20" w:after="20"/>
              <w:jc w:val="left"/>
            </w:pPr>
            <w:r/>
            <w:r>
              <w:rPr>
                <w:rFonts w:ascii="Times New Roman" w:hAnsi="Times New Roman" w:eastAsia="HY신명조"/>
                <w:b w:val="0"/>
                <w:sz w:val="19"/>
              </w:rPr>
              <w:t>Gaussian pixel noise</w:t>
            </w:r>
          </w:p>
        </w:tc>
        <w:tc>
          <w:tcPr>
            <w:tcW w:type="dxa" w:w="2126"/>
          </w:tcPr>
          <w:p>
            <w:pPr>
              <w:keepNext/>
              <w:spacing w:line="288" w:lineRule="auto" w:before="20" w:after="20"/>
              <w:jc w:val="left"/>
            </w:pPr>
            <w:r/>
            <w:r>
              <w:rPr>
                <w:rFonts w:ascii="Times New Roman" w:hAnsi="Times New Roman" w:eastAsia="HY신명조"/>
                <w:b w:val="0"/>
                <w:sz w:val="19"/>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lf</w:t>
            </w:r>
          </w:p>
        </w:tc>
        <w:tc>
          <w:tcPr>
            <w:tcW w:type="dxa" w:w="2126"/>
          </w:tcPr>
          <w:p>
            <w:pPr>
              <w:keepNext/>
              <w:spacing w:line="288" w:lineRule="auto" w:before="20" w:after="20"/>
              <w:jc w:val="left"/>
            </w:pPr>
            <w:r/>
            <w:r>
              <w:rPr>
                <w:rFonts w:ascii="Times New Roman" w:hAnsi="Times New Roman" w:eastAsia="HY신명조"/>
                <w:b w:val="0"/>
                <w:sz w:val="19"/>
              </w:rPr>
              <w:t>LiDAR death</w:t>
            </w:r>
          </w:p>
        </w:tc>
        <w:tc>
          <w:tcPr>
            <w:tcW w:type="dxa" w:w="2126"/>
          </w:tcPr>
          <w:p>
            <w:pPr>
              <w:keepNext/>
              <w:spacing w:line="288" w:lineRule="auto" w:before="20" w:after="20"/>
              <w:jc w:val="left"/>
            </w:pPr>
            <w:r/>
            <w:r>
              <w:rPr>
                <w:rFonts w:ascii="Times New Roman" w:hAnsi="Times New Roman" w:eastAsia="HY신명조"/>
                <w:b w:val="0"/>
                <w:sz w:val="19"/>
              </w:rPr>
              <w:t>Point-cloud transmission halted</w:t>
            </w:r>
          </w:p>
        </w:tc>
        <w:tc>
          <w:tcPr>
            <w:tcW w:type="dxa" w:w="2126"/>
          </w:tcPr>
          <w:p>
            <w:pPr>
              <w:keepNext/>
              <w:spacing w:line="288" w:lineRule="auto" w:before="20" w:after="20"/>
              <w:jc w:val="left"/>
            </w:pPr>
            <w:r/>
            <w:r>
              <w:rPr>
                <w:rFonts w:ascii="Times New Roman" w:hAnsi="Times New Roman" w:eastAsia="HY신명조"/>
                <w:b w:val="0"/>
                <w:sz w:val="19"/>
              </w:rPr>
              <w:t>-</w:t>
            </w:r>
          </w:p>
        </w:tc>
      </w:tr>
      <w:tr>
        <w:trPr>
          <w:cantSplit/>
        </w:trPr>
        <w:tc>
          <w:tcPr>
            <w:tcW w:type="dxa" w:w="2126"/>
          </w:tcPr>
          <w:p>
            <w:pPr>
              <w:keepNext/>
              <w:spacing w:line="288" w:lineRule="auto" w:before="20" w:after="20"/>
              <w:jc w:val="left"/>
            </w:pPr>
            <w:r/>
            <w:r>
              <w:rPr>
                <w:rFonts w:ascii="Times New Roman" w:hAnsi="Times New Roman" w:eastAsia="HY신명조"/>
                <w:b w:val="0"/>
                <w:sz w:val="19"/>
              </w:rPr>
              <w:t>lso</w:t>
            </w:r>
          </w:p>
        </w:tc>
        <w:tc>
          <w:tcPr>
            <w:tcW w:type="dxa" w:w="2126"/>
          </w:tcPr>
          <w:p>
            <w:pPr>
              <w:keepNext/>
              <w:spacing w:line="288" w:lineRule="auto" w:before="20" w:after="20"/>
              <w:jc w:val="left"/>
            </w:pPr>
            <w:r/>
            <w:r>
              <w:rPr>
                <w:rFonts w:ascii="Times New Roman" w:hAnsi="Times New Roman" w:eastAsia="HY신명조"/>
                <w:b w:val="0"/>
                <w:sz w:val="19"/>
              </w:rPr>
              <w:t>LiDAR sparsification</w:t>
            </w:r>
          </w:p>
        </w:tc>
        <w:tc>
          <w:tcPr>
            <w:tcW w:type="dxa" w:w="2126"/>
          </w:tcPr>
          <w:p>
            <w:pPr>
              <w:keepNext/>
              <w:spacing w:line="288" w:lineRule="auto" w:before="20" w:after="20"/>
              <w:jc w:val="left"/>
            </w:pPr>
            <w:r/>
            <w:r>
              <w:rPr>
                <w:rFonts w:ascii="Times New Roman" w:hAnsi="Times New Roman" w:eastAsia="HY신명조"/>
                <w:b w:val="0"/>
                <w:sz w:val="19"/>
              </w:rPr>
              <w:t>Contamination-type point dropout (physical model [55])</w:t>
            </w:r>
          </w:p>
        </w:tc>
        <w:tc>
          <w:tcPr>
            <w:tcW w:type="dxa" w:w="2126"/>
          </w:tcPr>
          <w:p>
            <w:pPr>
              <w:keepNext/>
              <w:spacing w:line="288" w:lineRule="auto" w:before="20" w:after="20"/>
              <w:jc w:val="left"/>
            </w:pPr>
            <w:r/>
            <w:r>
              <w:rPr>
                <w:rFonts w:ascii="Times New Roman" w:hAnsi="Times New Roman" w:eastAsia="HY신명조"/>
                <w:b w:val="0"/>
                <w:sz w:val="19"/>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lcl</w:t>
            </w:r>
          </w:p>
        </w:tc>
        <w:tc>
          <w:tcPr>
            <w:tcW w:type="dxa" w:w="2126"/>
          </w:tcPr>
          <w:p>
            <w:pPr>
              <w:keepNext/>
              <w:spacing w:line="288" w:lineRule="auto" w:before="20" w:after="20"/>
              <w:jc w:val="left"/>
            </w:pPr>
            <w:r/>
            <w:r>
              <w:rPr>
                <w:rFonts w:ascii="Times New Roman" w:hAnsi="Times New Roman" w:eastAsia="HY신명조"/>
                <w:b w:val="0"/>
                <w:sz w:val="19"/>
              </w:rPr>
              <w:t>LiDAR clutter</w:t>
            </w:r>
          </w:p>
        </w:tc>
        <w:tc>
          <w:tcPr>
            <w:tcW w:type="dxa" w:w="2126"/>
          </w:tcPr>
          <w:p>
            <w:pPr>
              <w:keepNext/>
              <w:spacing w:line="288" w:lineRule="auto" w:before="20" w:after="20"/>
              <w:jc w:val="left"/>
            </w:pPr>
            <w:r/>
            <w:r>
              <w:rPr>
                <w:rFonts w:ascii="Times New Roman" w:hAnsi="Times New Roman" w:eastAsia="HY신명조"/>
                <w:b w:val="0"/>
                <w:sz w:val="19"/>
              </w:rPr>
              <w:t>Rain-scattering-type spurious returns (physical model [53][54])</w:t>
            </w:r>
          </w:p>
        </w:tc>
        <w:tc>
          <w:tcPr>
            <w:tcW w:type="dxa" w:w="2126"/>
          </w:tcPr>
          <w:p>
            <w:pPr>
              <w:keepNext/>
              <w:spacing w:line="288" w:lineRule="auto" w:before="20" w:after="20"/>
              <w:jc w:val="left"/>
            </w:pPr>
            <w:r/>
            <w:r>
              <w:rPr>
                <w:rFonts w:ascii="Times New Roman" w:hAnsi="Times New Roman" w:eastAsia="HY신명조"/>
                <w:b w:val="0"/>
                <w:sz w:val="19"/>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gn</w:t>
            </w:r>
          </w:p>
        </w:tc>
        <w:tc>
          <w:tcPr>
            <w:tcW w:type="dxa" w:w="2126"/>
          </w:tcPr>
          <w:p>
            <w:pPr>
              <w:keepNext/>
              <w:spacing w:line="288" w:lineRule="auto" w:before="20" w:after="20"/>
              <w:jc w:val="left"/>
            </w:pPr>
            <w:r/>
            <w:r>
              <w:rPr>
                <w:rFonts w:ascii="Times New Roman" w:hAnsi="Times New Roman" w:eastAsia="HY신명조"/>
                <w:b w:val="0"/>
                <w:sz w:val="19"/>
              </w:rPr>
              <w:t>GNSS position noise</w:t>
            </w:r>
          </w:p>
        </w:tc>
        <w:tc>
          <w:tcPr>
            <w:tcW w:type="dxa" w:w="2126"/>
          </w:tcPr>
          <w:p>
            <w:pPr>
              <w:keepNext/>
              <w:spacing w:line="288" w:lineRule="auto" w:before="20" w:after="20"/>
              <w:jc w:val="left"/>
            </w:pPr>
            <w:r/>
            <w:r>
              <w:rPr>
                <w:rFonts w:ascii="Times New Roman" w:hAnsi="Times New Roman" w:eastAsia="HY신명조"/>
                <w:b w:val="0"/>
                <w:sz w:val="19"/>
              </w:rPr>
              <w:t>Gaussian position noise (EKF input contamination)</w:t>
            </w:r>
          </w:p>
        </w:tc>
        <w:tc>
          <w:tcPr>
            <w:tcW w:type="dxa" w:w="2126"/>
          </w:tcPr>
          <w:p>
            <w:pPr>
              <w:keepNext/>
              <w:spacing w:line="288" w:lineRule="auto" w:before="20" w:after="20"/>
              <w:jc w:val="left"/>
            </w:pPr>
            <w:r/>
            <w:r>
              <w:rPr>
                <w:rFonts w:ascii="Times New Roman" w:hAnsi="Times New Roman" w:eastAsia="HY신명조"/>
                <w:b w:val="0"/>
                <w:sz w:val="19"/>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gb</w:t>
            </w:r>
          </w:p>
        </w:tc>
        <w:tc>
          <w:tcPr>
            <w:tcW w:type="dxa" w:w="2126"/>
          </w:tcPr>
          <w:p>
            <w:pPr>
              <w:keepNext/>
              <w:spacing w:line="288" w:lineRule="auto" w:before="20" w:after="20"/>
              <w:jc w:val="left"/>
            </w:pPr>
            <w:r/>
            <w:r>
              <w:rPr>
                <w:rFonts w:ascii="Times New Roman" w:hAnsi="Times New Roman" w:eastAsia="HY신명조"/>
                <w:b w:val="0"/>
                <w:sz w:val="19"/>
              </w:rPr>
              <w:t>GNSS correlated bias</w:t>
            </w:r>
          </w:p>
        </w:tc>
        <w:tc>
          <w:tcPr>
            <w:tcW w:type="dxa" w:w="2126"/>
          </w:tcPr>
          <w:p>
            <w:pPr>
              <w:keepNext/>
              <w:spacing w:line="288" w:lineRule="auto" w:before="20" w:after="20"/>
              <w:jc w:val="left"/>
            </w:pPr>
            <w:r/>
            <w:r>
              <w:rPr>
                <w:rFonts w:ascii="Times New Roman" w:hAnsi="Times New Roman" w:eastAsia="HY신명조"/>
                <w:b w:val="0"/>
                <w:sz w:val="19"/>
              </w:rPr>
              <w:t>First-order Gauss-Markov bias (multipath-type [61])</w:t>
            </w:r>
          </w:p>
        </w:tc>
        <w:tc>
          <w:tcPr>
            <w:tcW w:type="dxa" w:w="2126"/>
          </w:tcPr>
          <w:p>
            <w:pPr>
              <w:keepNext/>
              <w:spacing w:line="288" w:lineRule="auto" w:before="20" w:after="20"/>
              <w:jc w:val="left"/>
            </w:pPr>
            <w:r/>
            <w:r>
              <w:rPr>
                <w:rFonts w:ascii="Times New Roman" w:hAnsi="Times New Roman" w:eastAsia="HY신명조"/>
                <w:b w:val="0"/>
                <w:sz w:val="19"/>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imn</w:t>
            </w:r>
          </w:p>
        </w:tc>
        <w:tc>
          <w:tcPr>
            <w:tcW w:type="dxa" w:w="2126"/>
          </w:tcPr>
          <w:p>
            <w:pPr>
              <w:keepNext/>
              <w:spacing w:line="288" w:lineRule="auto" w:before="20" w:after="20"/>
              <w:jc w:val="left"/>
            </w:pPr>
            <w:r/>
            <w:r>
              <w:rPr>
                <w:rFonts w:ascii="Times New Roman" w:hAnsi="Times New Roman" w:eastAsia="HY신명조"/>
                <w:b w:val="0"/>
                <w:sz w:val="19"/>
              </w:rPr>
              <w:t>IMU noise</w:t>
            </w:r>
          </w:p>
        </w:tc>
        <w:tc>
          <w:tcPr>
            <w:tcW w:type="dxa" w:w="2126"/>
          </w:tcPr>
          <w:p>
            <w:pPr>
              <w:keepNext/>
              <w:spacing w:line="288" w:lineRule="auto" w:before="20" w:after="20"/>
              <w:jc w:val="left"/>
            </w:pPr>
            <w:r/>
            <w:r>
              <w:rPr>
                <w:rFonts w:ascii="Times New Roman" w:hAnsi="Times New Roman" w:eastAsia="HY신명조"/>
                <w:b w:val="0"/>
                <w:sz w:val="19"/>
              </w:rPr>
              <w:t>Gyro white noise</w:t>
            </w:r>
          </w:p>
        </w:tc>
        <w:tc>
          <w:tcPr>
            <w:tcW w:type="dxa" w:w="2126"/>
          </w:tcPr>
          <w:p>
            <w:pPr>
              <w:keepNext/>
              <w:spacing w:line="288" w:lineRule="auto" w:before="20" w:after="20"/>
              <w:jc w:val="left"/>
            </w:pPr>
            <w:r/>
            <w:r>
              <w:rPr>
                <w:rFonts w:ascii="Times New Roman" w:hAnsi="Times New Roman" w:eastAsia="HY신명조"/>
                <w:b w:val="0"/>
                <w:sz w:val="19"/>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imb</w:t>
            </w:r>
          </w:p>
        </w:tc>
        <w:tc>
          <w:tcPr>
            <w:tcW w:type="dxa" w:w="2126"/>
          </w:tcPr>
          <w:p>
            <w:pPr>
              <w:keepNext/>
              <w:spacing w:line="288" w:lineRule="auto" w:before="20" w:after="20"/>
              <w:jc w:val="left"/>
            </w:pPr>
            <w:r/>
            <w:r>
              <w:rPr>
                <w:rFonts w:ascii="Times New Roman" w:hAnsi="Times New Roman" w:eastAsia="HY신명조"/>
                <w:b w:val="0"/>
                <w:sz w:val="19"/>
              </w:rPr>
              <w:t>IMU gyro bias</w:t>
            </w:r>
          </w:p>
        </w:tc>
        <w:tc>
          <w:tcPr>
            <w:tcW w:type="dxa" w:w="2126"/>
          </w:tcPr>
          <w:p>
            <w:pPr>
              <w:keepNext/>
              <w:spacing w:line="288" w:lineRule="auto" w:before="20" w:after="20"/>
              <w:jc w:val="left"/>
            </w:pPr>
            <w:r/>
            <w:r>
              <w:rPr>
                <w:rFonts w:ascii="Times New Roman" w:hAnsi="Times New Roman" w:eastAsia="HY신명조"/>
                <w:b w:val="0"/>
                <w:sz w:val="19"/>
              </w:rPr>
              <w:t>Step-type constant bias</w:t>
            </w:r>
          </w:p>
        </w:tc>
        <w:tc>
          <w:tcPr>
            <w:tcW w:type="dxa" w:w="2126"/>
          </w:tcPr>
          <w:p>
            <w:pPr>
              <w:keepNext/>
              <w:spacing w:line="288" w:lineRule="auto" w:before="20" w:after="20"/>
              <w:jc w:val="left"/>
            </w:pPr>
            <w:r/>
            <w:r>
              <w:rPr>
                <w:rFonts w:ascii="Times New Roman" w:hAnsi="Times New Roman" w:eastAsia="HY신명조"/>
                <w:b w:val="0"/>
                <w:sz w:val="19"/>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imd</w:t>
            </w:r>
          </w:p>
        </w:tc>
        <w:tc>
          <w:tcPr>
            <w:tcW w:type="dxa" w:w="2126"/>
          </w:tcPr>
          <w:p>
            <w:pPr>
              <w:keepNext/>
              <w:spacing w:line="288" w:lineRule="auto" w:before="20" w:after="20"/>
              <w:jc w:val="left"/>
            </w:pPr>
            <w:r/>
            <w:r>
              <w:rPr>
                <w:rFonts w:ascii="Times New Roman" w:hAnsi="Times New Roman" w:eastAsia="HY신명조"/>
                <w:b w:val="0"/>
                <w:sz w:val="19"/>
              </w:rPr>
              <w:t>IMU bias drift</w:t>
            </w:r>
          </w:p>
        </w:tc>
        <w:tc>
          <w:tcPr>
            <w:tcW w:type="dxa" w:w="2126"/>
          </w:tcPr>
          <w:p>
            <w:pPr>
              <w:keepNext/>
              <w:spacing w:line="288" w:lineRule="auto" w:before="20" w:after="20"/>
              <w:jc w:val="left"/>
            </w:pPr>
            <w:r/>
            <w:r>
              <w:rPr>
                <w:rFonts w:ascii="Times New Roman" w:hAnsi="Times New Roman" w:eastAsia="HY신명조"/>
                <w:b w:val="0"/>
                <w:sz w:val="19"/>
              </w:rPr>
              <w:t>Time-proportional ramp</w:t>
            </w:r>
          </w:p>
        </w:tc>
        <w:tc>
          <w:tcPr>
            <w:tcW w:type="dxa" w:w="2126"/>
          </w:tcPr>
          <w:p>
            <w:pPr>
              <w:keepNext/>
              <w:spacing w:line="288" w:lineRule="auto" w:before="20" w:after="20"/>
              <w:jc w:val="left"/>
            </w:pPr>
            <w:r/>
            <w:r>
              <w:rPr>
                <w:rFonts w:ascii="Times New Roman" w:hAnsi="Times New Roman" w:eastAsia="HY신명조"/>
                <w:b w:val="0"/>
                <w:sz w:val="19"/>
              </w:rPr>
              <w:t>mid/high</w:t>
            </w:r>
          </w:p>
        </w:tc>
      </w:tr>
      <w:tr>
        <w:trPr>
          <w:cantSplit/>
        </w:trPr>
        <w:tc>
          <w:tcPr>
            <w:tcW w:type="dxa" w:w="2126"/>
          </w:tcPr>
          <w:p>
            <w:pPr>
              <w:spacing w:line="288" w:lineRule="auto" w:before="20" w:after="20"/>
              <w:jc w:val="left"/>
            </w:pPr>
            <w:r/>
            <w:r>
              <w:rPr>
                <w:rFonts w:ascii="Times New Roman" w:hAnsi="Times New Roman" w:eastAsia="HY신명조"/>
                <w:b w:val="0"/>
                <w:sz w:val="19"/>
              </w:rPr>
              <w:t>gf</w:t>
            </w:r>
          </w:p>
        </w:tc>
        <w:tc>
          <w:tcPr>
            <w:tcW w:type="dxa" w:w="2126"/>
          </w:tcPr>
          <w:p>
            <w:pPr>
              <w:spacing w:line="288" w:lineRule="auto" w:before="20" w:after="20"/>
              <w:jc w:val="left"/>
            </w:pPr>
            <w:r/>
            <w:r>
              <w:rPr>
                <w:rFonts w:ascii="Times New Roman" w:hAnsi="Times New Roman" w:eastAsia="HY신명조"/>
                <w:b w:val="0"/>
                <w:sz w:val="19"/>
              </w:rPr>
              <w:t>GNSS outage</w:t>
            </w:r>
          </w:p>
        </w:tc>
        <w:tc>
          <w:tcPr>
            <w:tcW w:type="dxa" w:w="2126"/>
          </w:tcPr>
          <w:p>
            <w:pPr>
              <w:spacing w:line="288" w:lineRule="auto" w:before="20" w:after="20"/>
              <w:jc w:val="left"/>
            </w:pPr>
            <w:r/>
            <w:r>
              <w:rPr>
                <w:rFonts w:ascii="Times New Roman" w:hAnsi="Times New Roman" w:eastAsia="HY신명조"/>
                <w:b w:val="0"/>
                <w:sz w:val="19"/>
              </w:rPr>
              <w:t>Input silence</w:t>
            </w:r>
          </w:p>
        </w:tc>
        <w:tc>
          <w:tcPr>
            <w:tcW w:type="dxa" w:w="2126"/>
          </w:tcPr>
          <w:p>
            <w:pPr>
              <w:spacing w:line="288" w:lineRule="auto" w:before="20" w:after="20"/>
              <w:jc w:val="left"/>
            </w:pPr>
            <w:r/>
            <w:r>
              <w:rPr>
                <w:rFonts w:ascii="Times New Roman" w:hAnsi="Times New Roman" w:eastAsia="HY신명조"/>
                <w:b w:val="0"/>
                <w:sz w:val="19"/>
              </w:rPr>
              <w:t>-</w:t>
            </w:r>
          </w:p>
        </w:tc>
      </w:tr>
    </w:tbl>
    <w:p>
      <w:pPr>
        <w:spacing w:line="312" w:lineRule="auto" w:before="0" w:after="0"/>
      </w:pPr>
      <w:r>
        <w:rPr>
          <w:rFonts w:ascii="Times New Roman" w:hAnsi="Times New Roman" w:eastAsia="HY신명조"/>
          <w:b w:val="0"/>
          <w:sz w:val="19"/>
        </w:rPr>
        <w:t>Note: The main campaign matrix used cf, cn, lf, lso, lcl, gn, and imn (×mid/high) — for some fault types even medium intensity lies in the tolerated range, so the budget was concentrated on mid/high and the non-execution of the low level is stated explicitly. The four navigation faults (gb, gf, imb, imd) were evaluated in a supplementary campaign with the identical matrix structure (Chapter 5, Section 1). In all navigation injections, the covariance fields of the messages retain normal values — this models an overconfident integrity fault in which the receiver is unaware of its own degradation. The abbreviations gb and gf correspond to the tags gm and gb in the raw experimental data (tag renaming).</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4-2. </w:t>
      </w:r>
      <w:r>
        <w:rPr>
          <w:rFonts w:ascii="Times New Roman" w:hAnsi="Times New Roman" w:eastAsia="HY신명조"/>
          <w:b w:val="0"/>
          <w:sz w:val="19"/>
        </w:rPr>
        <w:t>Sensor-level effects of fault injection — before/after applying the same physical equations and parameters as the injector to one measured Town07 LiDAR scan and camera frame. (a) LiDAR sparsification (lso): intensity attenuation (T²) in the front contaminated sector and disappearance below the detection threshold — distant, dark targets vanish first. (b) LiDAR clutter (lcl): long-range dropout from precipitation attenuation, range jitter, and near-range-biased spurious returns (red). (c) Camera pixel noise (cn). (d) GNSS fault waveforms — white noise (gn), correlated bias (gb), outage (gf). (e) Gyro fault waveforms — white noise (imn), fixed bias (imb), bias ramp (imd). Panel parameters are the injector's raw values corresponding to the severity definitions of Table 4-2 (representative values in Table 4-5); outage (gf) and death-type faults have no severity grades.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3. Main Campaign Matrix</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main campaign is a matrix of fault type × severity × traffic density (none/def/agg: no traffic / defensive / aggressive) × method (ours/baseline) × repetition, executed serially by a battery script, with infrastructure-failure cases re-collected via a retry chain. The total number of valid cases is 1,131 (39 short of the planned 1,170, all in lcl-high — accounting in Table 4-3). This includes the results of fully re-running the 450 affected camera- and navigation-family cases after a defect in the evacuation-site cost function that miscounted traffic lights (fixed with the clustering method of Chapter 3, Section 5) was uncovered — the discovery process and scope are stated explicitly so that follow-up research can treat map annotation quality as a hidden confounding variable in evacuation-site selection.</w:t>
      </w:r>
    </w:p>
    <w:p>
      <w:pPr>
        <w:keepNext/>
        <w:spacing w:line="312" w:lineRule="auto" w:before="40" w:after="0"/>
      </w:pPr>
      <w:r>
        <w:rPr>
          <w:rFonts w:ascii="Times New Roman" w:hAnsi="Times New Roman" w:eastAsia="HY신명조"/>
          <w:b/>
          <w:sz w:val="19"/>
        </w:rPr>
        <w:t xml:space="preserve">Table 4-3. </w:t>
      </w:r>
      <w:r>
        <w:rPr>
          <w:rFonts w:ascii="Times New Roman" w:hAnsi="Times New Roman" w:eastAsia="HY신명조"/>
          <w:b w:val="0"/>
          <w:sz w:val="19"/>
        </w:rPr>
        <w:t>Main-campaign case accounting — planned versus final valid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9"/>
              </w:rPr>
              <w:t>Block</w:t>
            </w:r>
          </w:p>
        </w:tc>
        <w:tc>
          <w:tcPr>
            <w:tcW w:type="dxa" w:w="2126"/>
          </w:tcPr>
          <w:p>
            <w:pPr>
              <w:keepNext/>
              <w:spacing w:line="288" w:lineRule="auto" w:before="20" w:after="20"/>
              <w:jc w:val="center"/>
            </w:pPr>
            <w:r/>
            <w:r>
              <w:rPr>
                <w:rFonts w:ascii="Times New Roman" w:hAnsi="Times New Roman" w:eastAsia="HY신명조"/>
                <w:b/>
                <w:sz w:val="19"/>
              </w:rPr>
              <w:t>Planned</w:t>
            </w:r>
          </w:p>
        </w:tc>
        <w:tc>
          <w:tcPr>
            <w:tcW w:type="dxa" w:w="2126"/>
          </w:tcPr>
          <w:p>
            <w:pPr>
              <w:keepNext/>
              <w:spacing w:line="288" w:lineRule="auto" w:before="20" w:after="20"/>
              <w:jc w:val="center"/>
            </w:pPr>
            <w:r/>
            <w:r>
              <w:rPr>
                <w:rFonts w:ascii="Times New Roman" w:hAnsi="Times New Roman" w:eastAsia="HY신명조"/>
                <w:b/>
                <w:sz w:val="19"/>
              </w:rPr>
              <w:t>Final valid</w:t>
            </w:r>
          </w:p>
        </w:tc>
        <w:tc>
          <w:tcPr>
            <w:tcW w:type="dxa" w:w="2126"/>
          </w:tcPr>
          <w:p>
            <w:pPr>
              <w:keepNext/>
              <w:spacing w:line="288" w:lineRule="auto" w:before="20" w:after="20"/>
              <w:jc w:val="center"/>
            </w:pPr>
            <w:r/>
            <w:r>
              <w:rPr>
                <w:rFonts w:ascii="Times New Roman" w:hAnsi="Times New Roman" w:eastAsia="HY신명조"/>
                <w:b/>
                <w:sz w:val="19"/>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cf</w:t>
            </w:r>
          </w:p>
        </w:tc>
        <w:tc>
          <w:tcPr>
            <w:tcW w:type="dxa" w:w="2126"/>
          </w:tcPr>
          <w:p>
            <w:pPr>
              <w:keepNext/>
              <w:spacing w:line="288" w:lineRule="auto" w:before="20" w:after="20"/>
              <w:jc w:val="left"/>
            </w:pPr>
            <w:r/>
            <w:r>
              <w:rPr>
                <w:rFonts w:ascii="Times New Roman" w:hAnsi="Times New Roman" w:eastAsia="HY신명조"/>
                <w:b w:val="0"/>
                <w:sz w:val="19"/>
              </w:rPr>
              <w:t>90</w:t>
            </w:r>
          </w:p>
        </w:tc>
        <w:tc>
          <w:tcPr>
            <w:tcW w:type="dxa" w:w="2126"/>
          </w:tcPr>
          <w:p>
            <w:pPr>
              <w:keepNext/>
              <w:spacing w:line="288" w:lineRule="auto" w:before="20" w:after="20"/>
              <w:jc w:val="left"/>
            </w:pPr>
            <w:r/>
            <w:r>
              <w:rPr>
                <w:rFonts w:ascii="Times New Roman" w:hAnsi="Times New Roman" w:eastAsia="HY신명조"/>
                <w:b w:val="0"/>
                <w:sz w:val="19"/>
              </w:rPr>
              <w:t>90</w:t>
            </w:r>
          </w:p>
        </w:tc>
        <w:tc>
          <w:tcPr>
            <w:tcW w:type="dxa" w:w="2126"/>
          </w:tcPr>
          <w:p>
            <w:pPr>
              <w:keepNext/>
              <w:spacing w:line="288" w:lineRule="auto" w:before="20" w:after="20"/>
              <w:jc w:val="left"/>
            </w:pPr>
            <w:r/>
            <w:r>
              <w:rPr>
                <w:rFonts w:ascii="Times New Roman" w:hAnsi="Times New Roman" w:eastAsia="HY신명조"/>
                <w:b w:val="0"/>
                <w:sz w:val="19"/>
              </w:rPr>
              <w:t>v4.8 re-run batch adopted</w:t>
            </w:r>
          </w:p>
        </w:tc>
      </w:tr>
      <w:tr>
        <w:trPr>
          <w:cantSplit/>
        </w:trPr>
        <w:tc>
          <w:tcPr>
            <w:tcW w:type="dxa" w:w="2126"/>
          </w:tcPr>
          <w:p>
            <w:pPr>
              <w:keepNext/>
              <w:spacing w:line="288" w:lineRule="auto" w:before="20" w:after="20"/>
              <w:jc w:val="left"/>
            </w:pPr>
            <w:r/>
            <w:r>
              <w:rPr>
                <w:rFonts w:ascii="Times New Roman" w:hAnsi="Times New Roman" w:eastAsia="HY신명조"/>
                <w:b w:val="0"/>
                <w:sz w:val="19"/>
              </w:rPr>
              <w:t>cn</w:t>
            </w:r>
          </w:p>
        </w:tc>
        <w:tc>
          <w:tcPr>
            <w:tcW w:type="dxa" w:w="2126"/>
          </w:tcPr>
          <w:p>
            <w:pPr>
              <w:keepNext/>
              <w:spacing w:line="288" w:lineRule="auto" w:before="20" w:after="20"/>
              <w:jc w:val="left"/>
            </w:pPr>
            <w:r/>
            <w:r>
              <w:rPr>
                <w:rFonts w:ascii="Times New Roman" w:hAnsi="Times New Roman" w:eastAsia="HY신명조"/>
                <w:b w:val="0"/>
                <w:sz w:val="19"/>
              </w:rPr>
              <w:t>180</w:t>
            </w:r>
          </w:p>
        </w:tc>
        <w:tc>
          <w:tcPr>
            <w:tcW w:type="dxa" w:w="2126"/>
          </w:tcPr>
          <w:p>
            <w:pPr>
              <w:keepNext/>
              <w:spacing w:line="288" w:lineRule="auto" w:before="20" w:after="20"/>
              <w:jc w:val="left"/>
            </w:pPr>
            <w:r/>
            <w:r>
              <w:rPr>
                <w:rFonts w:ascii="Times New Roman" w:hAnsi="Times New Roman" w:eastAsia="HY신명조"/>
                <w:b w:val="0"/>
                <w:sz w:val="19"/>
              </w:rPr>
              <w:t>180</w:t>
            </w:r>
          </w:p>
        </w:tc>
        <w:tc>
          <w:tcPr>
            <w:tcW w:type="dxa" w:w="2126"/>
          </w:tcPr>
          <w:p>
            <w:pPr>
              <w:keepNext/>
              <w:spacing w:line="288" w:lineRule="auto" w:before="20" w:after="20"/>
              <w:jc w:val="left"/>
            </w:pPr>
            <w:r/>
            <w:r>
              <w:rPr>
                <w:rFonts w:ascii="Times New Roman" w:hAnsi="Times New Roman" w:eastAsia="HY신명조"/>
                <w:b w:val="0"/>
                <w:sz w:val="19"/>
              </w:rPr>
              <w:t>v4.8 re-run batch adopted</w:t>
            </w:r>
          </w:p>
        </w:tc>
      </w:tr>
      <w:tr>
        <w:trPr>
          <w:cantSplit/>
        </w:trPr>
        <w:tc>
          <w:tcPr>
            <w:tcW w:type="dxa" w:w="2126"/>
          </w:tcPr>
          <w:p>
            <w:pPr>
              <w:keepNext/>
              <w:spacing w:line="288" w:lineRule="auto" w:before="20" w:after="20"/>
              <w:jc w:val="left"/>
            </w:pPr>
            <w:r/>
            <w:r>
              <w:rPr>
                <w:rFonts w:ascii="Times New Roman" w:hAnsi="Times New Roman" w:eastAsia="HY신명조"/>
                <w:b w:val="0"/>
                <w:sz w:val="19"/>
              </w:rPr>
              <w:t>gn</w:t>
            </w:r>
          </w:p>
        </w:tc>
        <w:tc>
          <w:tcPr>
            <w:tcW w:type="dxa" w:w="2126"/>
          </w:tcPr>
          <w:p>
            <w:pPr>
              <w:keepNext/>
              <w:spacing w:line="288" w:lineRule="auto" w:before="20" w:after="20"/>
              <w:jc w:val="left"/>
            </w:pPr>
            <w:r/>
            <w:r>
              <w:rPr>
                <w:rFonts w:ascii="Times New Roman" w:hAnsi="Times New Roman" w:eastAsia="HY신명조"/>
                <w:b w:val="0"/>
                <w:sz w:val="19"/>
              </w:rPr>
              <w:t>180</w:t>
            </w:r>
          </w:p>
        </w:tc>
        <w:tc>
          <w:tcPr>
            <w:tcW w:type="dxa" w:w="2126"/>
          </w:tcPr>
          <w:p>
            <w:pPr>
              <w:keepNext/>
              <w:spacing w:line="288" w:lineRule="auto" w:before="20" w:after="20"/>
              <w:jc w:val="left"/>
            </w:pPr>
            <w:r/>
            <w:r>
              <w:rPr>
                <w:rFonts w:ascii="Times New Roman" w:hAnsi="Times New Roman" w:eastAsia="HY신명조"/>
                <w:b w:val="0"/>
                <w:sz w:val="19"/>
              </w:rPr>
              <w:t>180</w:t>
            </w:r>
          </w:p>
        </w:tc>
        <w:tc>
          <w:tcPr>
            <w:tcW w:type="dxa" w:w="2126"/>
          </w:tcPr>
          <w:p>
            <w:pPr>
              <w:keepNext/>
              <w:spacing w:line="288" w:lineRule="auto" w:before="20" w:after="20"/>
              <w:jc w:val="left"/>
            </w:pPr>
            <w:r/>
            <w:r>
              <w:rPr>
                <w:rFonts w:ascii="Times New Roman" w:hAnsi="Times New Roman" w:eastAsia="HY신명조"/>
                <w:b w:val="0"/>
                <w:sz w:val="19"/>
              </w:rPr>
              <w:t>v4.8 re-run batch adopted</w:t>
            </w:r>
          </w:p>
        </w:tc>
      </w:tr>
      <w:tr>
        <w:trPr>
          <w:cantSplit/>
        </w:trPr>
        <w:tc>
          <w:tcPr>
            <w:tcW w:type="dxa" w:w="2126"/>
          </w:tcPr>
          <w:p>
            <w:pPr>
              <w:keepNext/>
              <w:spacing w:line="288" w:lineRule="auto" w:before="20" w:after="20"/>
              <w:jc w:val="left"/>
            </w:pPr>
            <w:r/>
            <w:r>
              <w:rPr>
                <w:rFonts w:ascii="Times New Roman" w:hAnsi="Times New Roman" w:eastAsia="HY신명조"/>
                <w:b w:val="0"/>
                <w:sz w:val="19"/>
              </w:rPr>
              <w:t>lso</w:t>
            </w:r>
          </w:p>
        </w:tc>
        <w:tc>
          <w:tcPr>
            <w:tcW w:type="dxa" w:w="2126"/>
          </w:tcPr>
          <w:p>
            <w:pPr>
              <w:keepNext/>
              <w:spacing w:line="288" w:lineRule="auto" w:before="20" w:after="20"/>
              <w:jc w:val="left"/>
            </w:pPr>
            <w:r/>
            <w:r>
              <w:rPr>
                <w:rFonts w:ascii="Times New Roman" w:hAnsi="Times New Roman" w:eastAsia="HY신명조"/>
                <w:b w:val="0"/>
                <w:sz w:val="19"/>
              </w:rPr>
              <w:t>180</w:t>
            </w:r>
          </w:p>
        </w:tc>
        <w:tc>
          <w:tcPr>
            <w:tcW w:type="dxa" w:w="2126"/>
          </w:tcPr>
          <w:p>
            <w:pPr>
              <w:keepNext/>
              <w:spacing w:line="288" w:lineRule="auto" w:before="20" w:after="20"/>
              <w:jc w:val="left"/>
            </w:pPr>
            <w:r/>
            <w:r>
              <w:rPr>
                <w:rFonts w:ascii="Times New Roman" w:hAnsi="Times New Roman" w:eastAsia="HY신명조"/>
                <w:b w:val="0"/>
                <w:sz w:val="19"/>
              </w:rPr>
              <w:t>180</w:t>
            </w:r>
          </w:p>
        </w:tc>
        <w:tc>
          <w:tcPr>
            <w:tcW w:type="dxa" w:w="2126"/>
          </w:tcPr>
          <w:p>
            <w:pPr>
              <w:keepNext/>
              <w:spacing w:line="288" w:lineRule="auto" w:before="20" w:after="20"/>
              <w:jc w:val="left"/>
            </w:pPr>
            <w:r/>
            <w:r>
              <w:rPr>
                <w:rFonts w:ascii="Times New Roman" w:hAnsi="Times New Roman" w:eastAsia="HY신명조"/>
                <w:b w:val="0"/>
                <w:sz w:val="19"/>
              </w:rPr>
            </w:r>
          </w:p>
        </w:tc>
      </w:tr>
      <w:tr>
        <w:trPr>
          <w:cantSplit/>
        </w:trPr>
        <w:tc>
          <w:tcPr>
            <w:tcW w:type="dxa" w:w="2126"/>
          </w:tcPr>
          <w:p>
            <w:pPr>
              <w:keepNext/>
              <w:spacing w:line="288" w:lineRule="auto" w:before="20" w:after="20"/>
              <w:jc w:val="left"/>
            </w:pPr>
            <w:r/>
            <w:r>
              <w:rPr>
                <w:rFonts w:ascii="Times New Roman" w:hAnsi="Times New Roman" w:eastAsia="HY신명조"/>
                <w:b w:val="0"/>
                <w:sz w:val="19"/>
              </w:rPr>
              <w:t>lcl</w:t>
            </w:r>
          </w:p>
        </w:tc>
        <w:tc>
          <w:tcPr>
            <w:tcW w:type="dxa" w:w="2126"/>
          </w:tcPr>
          <w:p>
            <w:pPr>
              <w:keepNext/>
              <w:spacing w:line="288" w:lineRule="auto" w:before="20" w:after="20"/>
              <w:jc w:val="left"/>
            </w:pPr>
            <w:r/>
            <w:r>
              <w:rPr>
                <w:rFonts w:ascii="Times New Roman" w:hAnsi="Times New Roman" w:eastAsia="HY신명조"/>
                <w:b w:val="0"/>
                <w:sz w:val="19"/>
              </w:rPr>
              <w:t>180</w:t>
            </w:r>
          </w:p>
        </w:tc>
        <w:tc>
          <w:tcPr>
            <w:tcW w:type="dxa" w:w="2126"/>
          </w:tcPr>
          <w:p>
            <w:pPr>
              <w:keepNext/>
              <w:spacing w:line="288" w:lineRule="auto" w:before="20" w:after="20"/>
              <w:jc w:val="left"/>
            </w:pPr>
            <w:r/>
            <w:r>
              <w:rPr>
                <w:rFonts w:ascii="Times New Roman" w:hAnsi="Times New Roman" w:eastAsia="HY신명조"/>
                <w:b w:val="0"/>
                <w:sz w:val="19"/>
              </w:rPr>
              <w:t>141</w:t>
            </w:r>
          </w:p>
        </w:tc>
        <w:tc>
          <w:tcPr>
            <w:tcW w:type="dxa" w:w="2126"/>
          </w:tcPr>
          <w:p>
            <w:pPr>
              <w:keepNext/>
              <w:spacing w:line="288" w:lineRule="auto" w:before="20" w:after="20"/>
              <w:jc w:val="left"/>
            </w:pPr>
            <w:r/>
            <w:r>
              <w:rPr>
                <w:rFonts w:ascii="Times New Roman" w:hAnsi="Times New Roman" w:eastAsia="HY신명조"/>
                <w:b w:val="0"/>
                <w:sz w:val="19"/>
              </w:rPr>
              <w:t>39 short in lcl-high — the final-parameter batch halted at 51 rows (all 30 aggressive-traffic and 9 defensive cases unexecuted); the 60 later re-runs failed adoption due to traffic-spawn clearing (density condition unmet) and trigger deviation</w:t>
            </w:r>
          </w:p>
        </w:tc>
      </w:tr>
      <w:tr>
        <w:trPr>
          <w:cantSplit/>
        </w:trPr>
        <w:tc>
          <w:tcPr>
            <w:tcW w:type="dxa" w:w="2126"/>
          </w:tcPr>
          <w:p>
            <w:pPr>
              <w:keepNext/>
              <w:spacing w:line="288" w:lineRule="auto" w:before="20" w:after="20"/>
              <w:jc w:val="left"/>
            </w:pPr>
            <w:r/>
            <w:r>
              <w:rPr>
                <w:rFonts w:ascii="Times New Roman" w:hAnsi="Times New Roman" w:eastAsia="HY신명조"/>
                <w:b w:val="0"/>
                <w:sz w:val="19"/>
              </w:rPr>
              <w:t>imn</w:t>
            </w:r>
          </w:p>
        </w:tc>
        <w:tc>
          <w:tcPr>
            <w:tcW w:type="dxa" w:w="2126"/>
          </w:tcPr>
          <w:p>
            <w:pPr>
              <w:keepNext/>
              <w:spacing w:line="288" w:lineRule="auto" w:before="20" w:after="20"/>
              <w:jc w:val="left"/>
            </w:pPr>
            <w:r/>
            <w:r>
              <w:rPr>
                <w:rFonts w:ascii="Times New Roman" w:hAnsi="Times New Roman" w:eastAsia="HY신명조"/>
                <w:b w:val="0"/>
                <w:sz w:val="19"/>
              </w:rPr>
              <w:t>180</w:t>
            </w:r>
          </w:p>
        </w:tc>
        <w:tc>
          <w:tcPr>
            <w:tcW w:type="dxa" w:w="2126"/>
          </w:tcPr>
          <w:p>
            <w:pPr>
              <w:keepNext/>
              <w:spacing w:line="288" w:lineRule="auto" w:before="20" w:after="20"/>
              <w:jc w:val="left"/>
            </w:pPr>
            <w:r/>
            <w:r>
              <w:rPr>
                <w:rFonts w:ascii="Times New Roman" w:hAnsi="Times New Roman" w:eastAsia="HY신명조"/>
                <w:b w:val="0"/>
                <w:sz w:val="19"/>
              </w:rPr>
              <w:t>180</w:t>
            </w:r>
          </w:p>
        </w:tc>
        <w:tc>
          <w:tcPr>
            <w:tcW w:type="dxa" w:w="2126"/>
          </w:tcPr>
          <w:p>
            <w:pPr>
              <w:keepNext/>
              <w:spacing w:line="288" w:lineRule="auto" w:before="20" w:after="20"/>
              <w:jc w:val="left"/>
            </w:pPr>
            <w:r/>
            <w:r>
              <w:rPr>
                <w:rFonts w:ascii="Times New Roman" w:hAnsi="Times New Roman" w:eastAsia="HY신명조"/>
                <w:b w:val="0"/>
                <w:sz w:val="19"/>
              </w:rPr>
              <w:t>1 row CARLA_DIED — excluded from block statistics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lf</w:t>
            </w:r>
          </w:p>
        </w:tc>
        <w:tc>
          <w:tcPr>
            <w:tcW w:type="dxa" w:w="2126"/>
          </w:tcPr>
          <w:p>
            <w:pPr>
              <w:keepNext/>
              <w:spacing w:line="288" w:lineRule="auto" w:before="20" w:after="20"/>
              <w:jc w:val="left"/>
            </w:pPr>
            <w:r/>
            <w:r>
              <w:rPr>
                <w:rFonts w:ascii="Times New Roman" w:hAnsi="Times New Roman" w:eastAsia="HY신명조"/>
                <w:b w:val="0"/>
                <w:sz w:val="19"/>
              </w:rPr>
              <w:t>90</w:t>
            </w:r>
          </w:p>
        </w:tc>
        <w:tc>
          <w:tcPr>
            <w:tcW w:type="dxa" w:w="2126"/>
          </w:tcPr>
          <w:p>
            <w:pPr>
              <w:keepNext/>
              <w:spacing w:line="288" w:lineRule="auto" w:before="20" w:after="20"/>
              <w:jc w:val="left"/>
            </w:pPr>
            <w:r/>
            <w:r>
              <w:rPr>
                <w:rFonts w:ascii="Times New Roman" w:hAnsi="Times New Roman" w:eastAsia="HY신명조"/>
                <w:b w:val="0"/>
                <w:sz w:val="19"/>
              </w:rPr>
              <w:t>90</w:t>
            </w:r>
          </w:p>
        </w:tc>
        <w:tc>
          <w:tcPr>
            <w:tcW w:type="dxa" w:w="2126"/>
          </w:tcPr>
          <w:p>
            <w:pPr>
              <w:keepNext/>
              <w:spacing w:line="288" w:lineRule="auto" w:before="20" w:after="20"/>
              <w:jc w:val="left"/>
            </w:pPr>
            <w:r/>
            <w:r>
              <w:rPr>
                <w:rFonts w:ascii="Times New Roman" w:hAnsi="Times New Roman" w:eastAsia="HY신명조"/>
                <w:b w:val="0"/>
                <w:sz w:val="19"/>
              </w:rPr>
            </w:r>
          </w:p>
        </w:tc>
      </w:tr>
      <w:tr>
        <w:trPr>
          <w:cantSplit/>
        </w:trPr>
        <w:tc>
          <w:tcPr>
            <w:tcW w:type="dxa" w:w="2126"/>
          </w:tcPr>
          <w:p>
            <w:pPr>
              <w:keepNext/>
              <w:spacing w:line="288" w:lineRule="auto" w:before="20" w:after="20"/>
              <w:jc w:val="left"/>
            </w:pPr>
            <w:r/>
            <w:r>
              <w:rPr>
                <w:rFonts w:ascii="Times New Roman" w:hAnsi="Times New Roman" w:eastAsia="HY신명조"/>
                <w:b w:val="0"/>
                <w:sz w:val="19"/>
              </w:rPr>
              <w:t>nf</w:t>
            </w:r>
          </w:p>
        </w:tc>
        <w:tc>
          <w:tcPr>
            <w:tcW w:type="dxa" w:w="2126"/>
          </w:tcPr>
          <w:p>
            <w:pPr>
              <w:keepNext/>
              <w:spacing w:line="288" w:lineRule="auto" w:before="20" w:after="20"/>
              <w:jc w:val="left"/>
            </w:pPr>
            <w:r/>
            <w:r>
              <w:rPr>
                <w:rFonts w:ascii="Times New Roman" w:hAnsi="Times New Roman" w:eastAsia="HY신명조"/>
                <w:b w:val="0"/>
                <w:sz w:val="19"/>
              </w:rPr>
              <w:t>90</w:t>
            </w:r>
          </w:p>
        </w:tc>
        <w:tc>
          <w:tcPr>
            <w:tcW w:type="dxa" w:w="2126"/>
          </w:tcPr>
          <w:p>
            <w:pPr>
              <w:keepNext/>
              <w:spacing w:line="288" w:lineRule="auto" w:before="20" w:after="20"/>
              <w:jc w:val="left"/>
            </w:pPr>
            <w:r/>
            <w:r>
              <w:rPr>
                <w:rFonts w:ascii="Times New Roman" w:hAnsi="Times New Roman" w:eastAsia="HY신명조"/>
                <w:b w:val="0"/>
                <w:sz w:val="19"/>
              </w:rPr>
              <w:t>90</w:t>
            </w:r>
          </w:p>
        </w:tc>
        <w:tc>
          <w:tcPr>
            <w:tcW w:type="dxa" w:w="2126"/>
          </w:tcPr>
          <w:p>
            <w:pPr>
              <w:keepNext/>
              <w:spacing w:line="288" w:lineRule="auto" w:before="20" w:after="20"/>
              <w:jc w:val="left"/>
            </w:pPr>
            <w:r/>
            <w:r>
              <w:rPr>
                <w:rFonts w:ascii="Times New Roman" w:hAnsi="Times New Roman" w:eastAsia="HY신명조"/>
                <w:b w:val="0"/>
                <w:sz w:val="19"/>
              </w:rPr>
              <w:t>false-activation control</w:t>
            </w:r>
          </w:p>
        </w:tc>
      </w:tr>
      <w:tr>
        <w:trPr>
          <w:cantSplit/>
        </w:trPr>
        <w:tc>
          <w:tcPr>
            <w:tcW w:type="dxa" w:w="2126"/>
          </w:tcPr>
          <w:p>
            <w:pPr>
              <w:spacing w:line="288" w:lineRule="auto" w:before="20" w:after="20"/>
              <w:jc w:val="left"/>
            </w:pPr>
            <w:r/>
            <w:r>
              <w:rPr>
                <w:rFonts w:ascii="Times New Roman" w:hAnsi="Times New Roman" w:eastAsia="HY신명조"/>
                <w:b w:val="0"/>
                <w:sz w:val="19"/>
              </w:rPr>
              <w:t>Total</w:t>
            </w:r>
          </w:p>
        </w:tc>
        <w:tc>
          <w:tcPr>
            <w:tcW w:type="dxa" w:w="2126"/>
          </w:tcPr>
          <w:p>
            <w:pPr>
              <w:spacing w:line="288" w:lineRule="auto" w:before="20" w:after="20"/>
              <w:jc w:val="left"/>
            </w:pPr>
            <w:r/>
            <w:r>
              <w:rPr>
                <w:rFonts w:ascii="Times New Roman" w:hAnsi="Times New Roman" w:eastAsia="HY신명조"/>
                <w:b w:val="0"/>
                <w:sz w:val="19"/>
              </w:rPr>
              <w:t>1,170</w:t>
            </w:r>
          </w:p>
        </w:tc>
        <w:tc>
          <w:tcPr>
            <w:tcW w:type="dxa" w:w="2126"/>
          </w:tcPr>
          <w:p>
            <w:pPr>
              <w:spacing w:line="288" w:lineRule="auto" w:before="20" w:after="20"/>
              <w:jc w:val="left"/>
            </w:pPr>
            <w:r/>
            <w:r>
              <w:rPr>
                <w:rFonts w:ascii="Times New Roman" w:hAnsi="Times New Roman" w:eastAsia="HY신명조"/>
                <w:b w:val="0"/>
                <w:sz w:val="19"/>
              </w:rPr>
              <w:t>1,131</w:t>
            </w:r>
          </w:p>
        </w:tc>
        <w:tc>
          <w:tcPr>
            <w:tcW w:type="dxa" w:w="2126"/>
          </w:tcPr>
          <w:p>
            <w:pPr>
              <w:spacing w:line="288" w:lineRule="auto" w:before="20" w:after="20"/>
              <w:jc w:val="left"/>
            </w:pPr>
            <w:r/>
            <w:r>
              <w:rPr>
                <w:rFonts w:ascii="Times New Roman" w:hAnsi="Times New Roman" w:eastAsia="HY신명조"/>
                <w:b w:val="0"/>
                <w:sz w:val="19"/>
              </w:rPr>
            </w:r>
          </w:p>
        </w:tc>
      </w:tr>
    </w:tbl>
    <w:p>
      <w:pPr>
        <w:spacing w:line="312" w:lineRule="auto" w:before="0" w:after="0"/>
      </w:pPr>
      <w:r>
        <w:rPr>
          <w:rFonts w:ascii="Times New Roman" w:hAnsi="Times New Roman" w:eastAsia="HY신명조"/>
          <w:b w:val="0"/>
          <w:sz w:val="19"/>
        </w:rPr>
        <w:t>Infrastructure failures (CARLA_DIED/SETUP_FAIL) were replaced by same-condition re-runs; the adopted batch per block and the replacement rules are fixed in the merge script (merge_all.py).</w:t>
      </w:r>
    </w:p>
    <w:p>
      <w:pPr>
        <w:spacing w:line="501" w:lineRule="exact" w:before="0" w:after="0"/>
      </w:pPr>
    </w:p>
    <w:p>
      <w:pPr>
        <w:spacing w:line="501" w:lineRule="exact" w:before="0" w:after="0"/>
        <w:jc w:val="both"/>
      </w:pPr>
      <w:r>
        <w:rPr>
          <w:rFonts w:ascii="Times New Roman" w:hAnsi="Times New Roman" w:eastAsia="HY신명조"/>
          <w:b w:val="0"/>
          <w:sz w:val="22"/>
        </w:rPr>
        <w:t xml:space="preserve">   Traffic density has three levels — no traffic (none), defensive (def), and aggressive (agg) — and defensive traffic applies courtesy rules that prevent unrealistic behavior (maintaining a minimum gap of 7 m to stopped vehicles, no respawning near evacuation sites) so that evacuation-completion adjudication is not contaminated by NPC spawn artifacts.</w:t>
      </w:r>
    </w:p>
    <w:p>
      <w:pPr>
        <w:spacing w:line="501" w:lineRule="exact" w:before="0" w:after="0"/>
      </w:pPr>
    </w:p>
    <w:p>
      <w:pPr>
        <w:spacing w:line="501" w:lineRule="exact" w:before="0" w:after="0"/>
      </w:pPr>
      <w:r>
        <w:rPr>
          <w:rFonts w:ascii="Times New Roman" w:hAnsi="Times New Roman" w:eastAsia="HY신명조"/>
          <w:b/>
          <w:sz w:val="28"/>
        </w:rPr>
        <w:t>4. Pedestrian Dart-out Encounter Injector</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encounter-level safety evaluation, an independent process (hazard_injector) that injects pedestrian dart-out crossings runs in the leaderboard container — a decoupled design that modifies neither the agent nor the runner, so defects in the injection logic do not propagate into the driving stack. Encounter fairness was secured through repeated measurement: (i) spawning starts the crossing not from the sidewalk but from the right edge of the driving lane (+0.5 m), eliminating encounter non-formation caused by spawns outside the guardrail; (ii) 1-second-period re-commanding and walking-speed verification (&gt;1 m/s) block stationary-mannequin encounters; (iii) the trigger uses passage of a fixed point along the route (the ablation study uses a behavior-independent time trigger); (iv) lead correction matched to ego progress and stopping 12 m after crossing prevent contamination from side contacts and late contacts; and (v) the ego position is obtained from the ROS localization topic (a workaround for the unresolved phenomenon in which the CARLA actor list appears empty from an external client, with the coordinate-frame y-sign flip handled).</w:t>
      </w:r>
    </w:p>
    <w:p>
      <w:pPr>
        <w:spacing w:line="501" w:lineRule="exact" w:before="0" w:after="0"/>
        <w:jc w:val="both"/>
      </w:pPr>
      <w:r>
        <w:rPr>
          <w:rFonts w:ascii="Times New Roman" w:hAnsi="Times New Roman" w:eastAsia="HY신명조"/>
          <w:b w:val="0"/>
          <w:sz w:val="22"/>
        </w:rPr>
        <w:t xml:space="preserve">   The v5 injector for the ablation study adds three things. First, a behavior-independent time trigger: a shadow detector subscribing to the monitoring module's scores takes as t_detect the moment the same threshold as the supervisor is crossed, and in all arms launches a pedestrian at t_detect+3.0 s, 8 m ahead of the ego, at the right edge of the lane (lateral jitter ±0.2 m). It launches even if the vehicle is stationary, and there is no no-encounter exclusion — blocking the selection bias in which an arm's behavior changes whether an encounter occurs. Second, fault-waveform seed fixing (FAULT_SEED). Third, CARLA physics-tick-synchronized recording: ego and pedestrian coordinates, speeds, and separation at every physics frame are recorded to a per-case CSV (the protocol is shown in Figure 4-3).</w:t>
      </w:r>
    </w:p>
    <w:p>
      <w:pPr>
        <w:keepNext/>
        <w:spacing w:line="240" w:lineRule="auto"/>
        <w:jc w:val="center"/>
      </w:pPr>
      <w:r>
        <w:drawing>
          <wp:inline xmlns:a="http://schemas.openxmlformats.org/drawingml/2006/main" xmlns:pic="http://schemas.openxmlformats.org/drawingml/2006/picture">
            <wp:extent cx="5040000" cy="2506304"/>
            <wp:docPr id="8" name="Picture 8"/>
            <wp:cNvGraphicFramePr>
              <a:graphicFrameLocks noChangeAspect="1"/>
            </wp:cNvGraphicFramePr>
            <a:graphic>
              <a:graphicData uri="http://schemas.openxmlformats.org/drawingml/2006/picture">
                <pic:pic>
                  <pic:nvPicPr>
                    <pic:cNvPr id="0" name="fig11_encounter.png"/>
                    <pic:cNvPicPr/>
                  </pic:nvPicPr>
                  <pic:blipFill>
                    <a:blip r:embed="rId22"/>
                    <a:stretch>
                      <a:fillRect/>
                    </a:stretch>
                  </pic:blipFill>
                  <pic:spPr>
                    <a:xfrm>
                      <a:off x="0" y="0"/>
                      <a:ext cx="5040000" cy="2506304"/>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4-3. </w:t>
      </w:r>
      <w:r>
        <w:rPr>
          <w:rFonts w:ascii="Times New Roman" w:hAnsi="Times New Roman" w:eastAsia="HY신명조"/>
          <w:b w:val="0"/>
          <w:sz w:val="19"/>
        </w:rPr>
        <w:t>Pedestrian dart-out injection protocol. Fault injection (seed-fixed waveform) → shadow detection t_detect (common to all arms) → a behavior-independent launch at t_detect + 3 s spawns the pedestrian (crosses 12 m, then stops) at the standardized relative geometry of 8 m ahead, right lane edge + 0.5 m (lateral jitter ± 0.2 m).</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reliability of the injector itself was also managed as part of the experimental infrastructure. After a case in early experiments in which the injector's ROS listener silently died immediately after an MRM stop and the separation record was lost (Section 5), a watchdog restart was added to the listener to guarantee survival of the recording channel; in the 8 m encounter comparison, an arming scheme that activates the waypoint trigger only after confirming that the state under comparison has been established prevented state-mismatched encounters from mixing in.</w:t>
      </w:r>
    </w:p>
    <w:p>
      <w:pPr>
        <w:spacing w:line="501" w:lineRule="exact" w:before="0" w:after="0"/>
      </w:pPr>
    </w:p>
    <w:p>
      <w:pPr>
        <w:spacing w:line="501" w:lineRule="exact" w:before="0" w:after="0"/>
      </w:pPr>
      <w:r>
        <w:rPr>
          <w:rFonts w:ascii="Times New Roman" w:hAnsi="Times New Roman" w:eastAsia="HY신명조"/>
          <w:b/>
          <w:sz w:val="28"/>
        </w:rPr>
        <w:t>5. Collision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section formally reports an adjudication-reliability incident that occurred during the experiments and its reconstruction. The initial implementation adjudicated collisions with a collision sensor attached to the pedestrian. However, it was confirmed by measurement that this sensor never fired in CARLA — it remained silent even in cases where the official adjudicator confirmed a collision. On top of this, the death of the injector's ROS listener caused the loss of separation records, so many cases in the non-intervention arm were misjudged as "avoided" without evidence. This misjudgment was uncovered by visual review of the experiment videos, and the affected data were discarded in full and re-run.</w:t>
      </w:r>
    </w:p>
    <w:p>
      <w:pPr>
        <w:spacing w:line="501" w:lineRule="exact" w:before="0" w:after="0"/>
        <w:jc w:val="both"/>
      </w:pPr>
      <w:r>
        <w:rPr>
          <w:rFonts w:ascii="Times New Roman" w:hAnsi="Times New Roman" w:eastAsia="HY신명조"/>
          <w:b w:val="0"/>
          <w:sz w:val="22"/>
        </w:rPr>
        <w:t xml:space="preserve">   The reconstructed adjudication system has three layers. First, the primary adjudication (primary ground truth) is the real-time ledger of the ego vehicle's collision sensor. The callback of the sensor.other.collision that the official leaderboard adjudicator (CollisionTest) attaches to the ego is patched so that, the moment a collision occurs, it is written to a file together with the counterpart actor identifier (the RAW-HIT ledger). Unlike the official infraction tally, it persists regardless of a case's early or forced termination, and grazes of endpoint structures (static.pole) are classified separately. Second, consistency audits comprise the pedestrian physics oracle and the separation stream. In a vehicle-pedestrian collision, the pedestrian is flung 12–28 m, a kinematic anomaly (speed &gt;4.5 m/s or a jump exceeding 5 m within 1 second), which serves as a cross-check by a computation path independent of the ledger (though not fully independent, since it is the same physics engine). We note the history that the initial 2 m jump threshold falsely flagged normal walking speed (about 3 m/s) and was raised. Third, a human visual-comparison protocol. Videos of all cases were assigned identifiers and delivered to a reviewer together with the machine adjudication set for comparison against independent judgment (verdict_review.csv). Machine and human adjudications agreed in all encounter-experiment cases of this thesis.</w:t>
      </w:r>
    </w:p>
    <w:p>
      <w:pPr>
        <w:spacing w:line="501" w:lineRule="exact" w:before="0" w:after="0"/>
        <w:jc w:val="both"/>
      </w:pPr>
      <w:r>
        <w:rPr>
          <w:rFonts w:ascii="Times New Roman" w:hAnsi="Times New Roman" w:eastAsia="HY신명조"/>
          <w:b w:val="0"/>
          <w:sz w:val="22"/>
        </w:rPr>
        <w:t xml:space="preserve">   In addition, we specify the adjudication pitfalls of the experiment runner's termination labels. (i) The collision label may include contact with endpoint structures — it must be distinguished by the counterpart actor in the ledger. (ii) The hazardous-stop label may include post-collision stops — "no collision" cannot be claimed from the label alone. (iii) The simulator's official infractions are saved only on natural termination — a recording gap in an early-terminated case is not evidence of no collision. All encounter-level safety figures in this thesis are ledger-based.</w:t>
      </w:r>
    </w:p>
    <w:p>
      <w:pPr>
        <w:spacing w:line="501" w:lineRule="exact" w:before="0" w:after="0"/>
        <w:jc w:val="both"/>
      </w:pPr>
      <w:r>
        <w:rPr>
          <w:rFonts w:ascii="Times New Roman" w:hAnsi="Times New Roman" w:eastAsia="HY신명조"/>
          <w:b w:val="0"/>
          <w:sz w:val="22"/>
        </w:rPr>
        <w:t xml:space="preserve">   The clock for latency figures is unified to simulation time. When a hardware-death fault is injected, actor destruction causes a processing stall in the simulator (about 1.6 s) during which simulation time stops; since the world (including pedestrians and traffic) stops with it, the correct clock for safety-related latency is simulation time, and wall-clock measurement overestimates latency by including this stall. The adjudicated latency is computed by recording the injection time (injector) and the state-transition time (supervisor) in simulation time to append-only ledgers independent of case termination, and a stop-before-destroy stream halt ensures that residual frames after destruction do not distort the silence onset time.</w:t>
      </w:r>
    </w:p>
    <w:p>
      <w:pPr>
        <w:spacing w:line="501" w:lineRule="exact" w:before="0" w:after="0"/>
      </w:pPr>
    </w:p>
    <w:p>
      <w:pPr>
        <w:spacing w:line="501" w:lineRule="exact" w:before="0" w:after="0"/>
      </w:pPr>
      <w:r>
        <w:rPr>
          <w:rFonts w:ascii="Times New Roman" w:hAnsi="Times New Roman" w:eastAsia="HY신명조"/>
          <w:b/>
          <w:sz w:val="28"/>
        </w:rPr>
        <w:t>6. Distance Ladder and 8 m Encounter Experiment Design</w:t>
      </w:r>
    </w:p>
    <w:p>
      <w:pPr>
        <w:spacing w:line="501" w:lineRule="exact" w:before="0" w:after="0"/>
      </w:pPr>
    </w:p>
    <w:p>
      <w:pPr>
        <w:spacing w:line="501" w:lineRule="exact" w:before="0" w:after="0"/>
        <w:jc w:val="both"/>
      </w:pPr>
      <w:r>
        <w:rPr>
          <w:rFonts w:ascii="Times New Roman" w:hAnsi="Times New Roman" w:eastAsia="HY신명조"/>
          <w:b w:val="0"/>
          <w:sz w:val="22"/>
        </w:rPr>
        <w:t xml:space="preserve">   To measure the avoidance/collision boundary by speed, the pedestrian spawn distance was varied as a ladder. (i) Fault-free ladder: fault-free stock stack, spawn distances {14, 11, 8, 6, 5} m × n=4 per distance at a waypoint during normal driving (4.2 m/s). (ii) Blinded ladder: stock under complete LiDAR degradation (lso-high), same ladder. (iii) 8 m encounter comparison: comparison of the proposed low-speed MRM and stock against an 8 m dart-out under a gn-mid fault (only the EKF localization input contaminated, perception intact) — cf was excluded because traffic-signal reading is impossible and encounters do not form, and gn-high was excluded because most cases end in comfortable stops (the selection process itself corroborates the behavioral differences across faults). (iv) Low-speed ladder: {8, 7, 6, 5} m at the proposed system's capped cruise speed of 3.0 m/s (cruising after a stop and restart). Since the fault-free ladder and the low-speed ladder use different launch protocols, the comparison axis is the encounter speed of "encounters during constant-speed cruising" (specified in Chapter 5, Section 7). (v) Speed-dose experiment: after fixing the cap-delivery defect, caps {4.2, 3.6, 3.0} m/s x spawn distances {6, 7, 8, 9} m x 10 seeds (reusing the ablation extension-round seeds S12–S21; gn-mid, injection fixed at 25 s) = 120 runs. Launch uses a settlement trigger rather than a time trigger — the pedestrian is spawned D m ahead at the moment the supervisor is in MRM_MOVE and the measured speed has stayed within the cap-specific band for 1.0 s continuously (spread &lt;= 0.25 m/s) — so that "an encounter under an actually holding cap" is guaranteed at the trigger level. The three cap arms differ only in the value passed through the identical software path (the external velocity-limit interface) (Chapter 5, Section 8). Adjudication follows the ledger standard of Section 5; the exception for runs predating the ledger is stated in Chapter 5, Section 3.</w:t>
      </w:r>
    </w:p>
    <w:p>
      <w:pPr>
        <w:spacing w:line="501" w:lineRule="exact" w:before="0" w:after="0"/>
      </w:pPr>
    </w:p>
    <w:p>
      <w:pPr>
        <w:spacing w:line="501" w:lineRule="exact" w:before="0" w:after="0"/>
      </w:pPr>
      <w:r>
        <w:rPr>
          <w:rFonts w:ascii="Times New Roman" w:hAnsi="Times New Roman" w:eastAsia="HY신명조"/>
          <w:b/>
          <w:sz w:val="28"/>
        </w:rPr>
        <w:t>7. Ablation Study Design</w:t>
      </w:r>
    </w:p>
    <w:p>
      <w:pPr>
        <w:spacing w:line="501" w:lineRule="exact" w:before="0" w:after="0"/>
      </w:pPr>
    </w:p>
    <w:p>
      <w:pPr>
        <w:spacing w:line="501" w:lineRule="exact" w:before="0" w:after="0"/>
        <w:jc w:val="both"/>
      </w:pPr>
      <w:r>
        <w:rPr>
          <w:rFonts w:ascii="Times New Roman" w:hAnsi="Times New Roman" w:eastAsia="HY신명조"/>
          <w:b w:val="0"/>
          <w:sz w:val="22"/>
        </w:rPr>
        <w:t xml:space="preserve">   To isolate the contributions of non-intervention, stop, evacuation, and the speed cap — non-intervention, stop, evacuation, and speed cap — a four-arm ablation study was designed (Table 4-4). The design was finalized after incorporating two rounds of external expert review.</w:t>
      </w:r>
    </w:p>
    <w:p>
      <w:pPr>
        <w:keepNext/>
        <w:spacing w:line="312" w:lineRule="auto" w:before="40" w:after="0"/>
      </w:pPr>
      <w:r>
        <w:rPr>
          <w:rFonts w:ascii="Times New Roman" w:hAnsi="Times New Roman" w:eastAsia="HY신명조"/>
          <w:b/>
          <w:sz w:val="19"/>
        </w:rPr>
        <w:t xml:space="preserve">Table 4-4. </w:t>
      </w:r>
      <w:r>
        <w:rPr>
          <w:rFonts w:ascii="Times New Roman" w:hAnsi="Times New Roman" w:eastAsia="HY신명조"/>
          <w:b w:val="0"/>
          <w:sz w:val="19"/>
        </w:rPr>
        <w:t>Definition of the four ablation arms</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9"/>
              </w:rPr>
              <w:t>Arm</w:t>
            </w:r>
          </w:p>
        </w:tc>
        <w:tc>
          <w:tcPr>
            <w:tcW w:type="dxa" w:w="2126"/>
          </w:tcPr>
          <w:p>
            <w:pPr>
              <w:keepNext/>
              <w:spacing w:line="288" w:lineRule="auto" w:before="20" w:after="20"/>
              <w:jc w:val="center"/>
            </w:pPr>
            <w:r/>
            <w:r>
              <w:rPr>
                <w:rFonts w:ascii="Times New Roman" w:hAnsi="Times New Roman" w:eastAsia="HY신명조"/>
                <w:b/>
                <w:sz w:val="19"/>
              </w:rPr>
              <w:t>Detection</w:t>
            </w:r>
          </w:p>
        </w:tc>
        <w:tc>
          <w:tcPr>
            <w:tcW w:type="dxa" w:w="2126"/>
          </w:tcPr>
          <w:p>
            <w:pPr>
              <w:keepNext/>
              <w:spacing w:line="288" w:lineRule="auto" w:before="20" w:after="20"/>
              <w:jc w:val="center"/>
            </w:pPr>
            <w:r/>
            <w:r>
              <w:rPr>
                <w:rFonts w:ascii="Times New Roman" w:hAnsi="Times New Roman" w:eastAsia="HY신명조"/>
                <w:b/>
                <w:sz w:val="19"/>
              </w:rPr>
              <w:t>Response</w:t>
            </w:r>
          </w:p>
        </w:tc>
        <w:tc>
          <w:tcPr>
            <w:tcW w:type="dxa" w:w="2126"/>
          </w:tcPr>
          <w:p>
            <w:pPr>
              <w:keepNext/>
              <w:spacing w:line="288" w:lineRule="auto" w:before="20" w:after="20"/>
              <w:jc w:val="center"/>
            </w:pPr>
            <w:r/>
            <w:r>
              <w:rPr>
                <w:rFonts w:ascii="Times New Roman" w:hAnsi="Times New Roman" w:eastAsia="HY신명조"/>
                <w:b/>
                <w:sz w:val="19"/>
              </w:rPr>
              <w:t>Speed cap</w:t>
            </w:r>
          </w:p>
        </w:tc>
      </w:tr>
      <w:tr>
        <w:trPr>
          <w:cantSplit/>
        </w:trPr>
        <w:tc>
          <w:tcPr>
            <w:tcW w:type="dxa" w:w="2126"/>
          </w:tcPr>
          <w:p>
            <w:pPr>
              <w:keepNext/>
              <w:spacing w:line="288" w:lineRule="auto" w:before="20" w:after="20"/>
              <w:jc w:val="left"/>
            </w:pPr>
            <w:r/>
            <w:r>
              <w:rPr>
                <w:rFonts w:ascii="Times New Roman" w:hAnsi="Times New Roman" w:eastAsia="HY신명조"/>
                <w:b w:val="0"/>
                <w:sz w:val="19"/>
              </w:rPr>
              <w:t>A1 native continuation</w:t>
            </w:r>
          </w:p>
        </w:tc>
        <w:tc>
          <w:tcPr>
            <w:tcW w:type="dxa" w:w="2126"/>
          </w:tcPr>
          <w:p>
            <w:pPr>
              <w:keepNext/>
              <w:spacing w:line="288" w:lineRule="auto" w:before="20" w:after="20"/>
              <w:jc w:val="left"/>
            </w:pPr>
            <w:r/>
            <w:r>
              <w:rPr>
                <w:rFonts w:ascii="Times New Roman" w:hAnsi="Times New Roman" w:eastAsia="HY신명조"/>
                <w:b w:val="0"/>
                <w:sz w:val="19"/>
              </w:rPr>
              <w:t>Shadow detection (log-only)</w:t>
            </w:r>
          </w:p>
        </w:tc>
        <w:tc>
          <w:tcPr>
            <w:tcW w:type="dxa" w:w="2126"/>
          </w:tcPr>
          <w:p>
            <w:pPr>
              <w:keepNext/>
              <w:spacing w:line="288" w:lineRule="auto" w:before="20" w:after="20"/>
              <w:jc w:val="left"/>
            </w:pPr>
            <w:r/>
            <w:r>
              <w:rPr>
                <w:rFonts w:ascii="Times New Roman" w:hAnsi="Times New Roman" w:eastAsia="HY신명조"/>
                <w:b w:val="0"/>
                <w:sz w:val="19"/>
              </w:rPr>
              <w:t>None — stock continued driving</w:t>
            </w:r>
          </w:p>
        </w:tc>
        <w:tc>
          <w:tcPr>
            <w:tcW w:type="dxa" w:w="2126"/>
          </w:tcPr>
          <w:p>
            <w:pPr>
              <w:keepNext/>
              <w:spacing w:line="288" w:lineRule="auto" w:before="20" w:after="20"/>
              <w:jc w:val="left"/>
            </w:pPr>
            <w:r/>
            <w:r>
              <w:rPr>
                <w:rFonts w:ascii="Times New Roman" w:hAnsi="Times New Roman" w:eastAsia="HY신명조"/>
                <w:b w:val="0"/>
                <w:sz w:val="19"/>
              </w:rPr>
              <w:t>None (4.2 m/s maintained)</w:t>
            </w:r>
          </w:p>
        </w:tc>
      </w:tr>
      <w:tr>
        <w:trPr>
          <w:cantSplit/>
        </w:trPr>
        <w:tc>
          <w:tcPr>
            <w:tcW w:type="dxa" w:w="2126"/>
          </w:tcPr>
          <w:p>
            <w:pPr>
              <w:keepNext/>
              <w:spacing w:line="288" w:lineRule="auto" w:before="20" w:after="20"/>
              <w:jc w:val="left"/>
            </w:pPr>
            <w:r/>
            <w:r>
              <w:rPr>
                <w:rFonts w:ascii="Times New Roman" w:hAnsi="Times New Roman" w:eastAsia="HY신명조"/>
                <w:b w:val="0"/>
                <w:sz w:val="19"/>
              </w:rPr>
              <w:t>A2 detection + in-lane stop</w:t>
            </w:r>
          </w:p>
        </w:tc>
        <w:tc>
          <w:tcPr>
            <w:tcW w:type="dxa" w:w="2126"/>
          </w:tcPr>
          <w:p>
            <w:pPr>
              <w:keepNext/>
              <w:spacing w:line="288" w:lineRule="auto" w:before="20" w:after="20"/>
              <w:jc w:val="left"/>
            </w:pPr>
            <w:r/>
            <w:r>
              <w:rPr>
                <w:rFonts w:ascii="Times New Roman" w:hAnsi="Times New Roman" w:eastAsia="HY신명조"/>
                <w:b w:val="0"/>
                <w:sz w:val="19"/>
              </w:rPr>
              <w:t>Proposed detection</w:t>
            </w:r>
          </w:p>
        </w:tc>
        <w:tc>
          <w:tcPr>
            <w:tcW w:type="dxa" w:w="2126"/>
          </w:tcPr>
          <w:p>
            <w:pPr>
              <w:keepNext/>
              <w:spacing w:line="288" w:lineRule="auto" w:before="20" w:after="20"/>
              <w:jc w:val="left"/>
            </w:pPr>
            <w:r/>
            <w:r>
              <w:rPr>
                <w:rFonts w:ascii="Times New Roman" w:hAnsi="Times New Roman" w:eastAsia="HY신명조"/>
                <w:b w:val="0"/>
                <w:sz w:val="19"/>
              </w:rPr>
              <w:t>In-lane stop (stop-type MRM)</w:t>
            </w:r>
          </w:p>
        </w:tc>
        <w:tc>
          <w:tcPr>
            <w:tcW w:type="dxa" w:w="2126"/>
          </w:tcPr>
          <w:p>
            <w:pPr>
              <w:keepNext/>
              <w:spacing w:line="288" w:lineRule="auto" w:before="20" w:after="20"/>
              <w:jc w:val="left"/>
            </w:pPr>
            <w:r/>
            <w:r>
              <w:rPr>
                <w:rFonts w:ascii="Times New Roman" w:hAnsi="Times New Roman" w:eastAsia="HY신명조"/>
                <w:b w:val="0"/>
                <w:sz w:val="19"/>
              </w:rPr>
              <w:t>N/A</w:t>
            </w:r>
          </w:p>
        </w:tc>
      </w:tr>
      <w:tr>
        <w:trPr>
          <w:cantSplit/>
        </w:trPr>
        <w:tc>
          <w:tcPr>
            <w:tcW w:type="dxa" w:w="2126"/>
          </w:tcPr>
          <w:p>
            <w:pPr>
              <w:keepNext/>
              <w:spacing w:line="288" w:lineRule="auto" w:before="20" w:after="20"/>
              <w:jc w:val="left"/>
            </w:pPr>
            <w:r/>
            <w:r>
              <w:rPr>
                <w:rFonts w:ascii="Times New Roman" w:hAnsi="Times New Roman" w:eastAsia="HY신명조"/>
                <w:b w:val="0"/>
                <w:sz w:val="19"/>
              </w:rPr>
              <w:t>A3 uncapped evacuation</w:t>
            </w:r>
          </w:p>
        </w:tc>
        <w:tc>
          <w:tcPr>
            <w:tcW w:type="dxa" w:w="2126"/>
          </w:tcPr>
          <w:p>
            <w:pPr>
              <w:keepNext/>
              <w:spacing w:line="288" w:lineRule="auto" w:before="20" w:after="20"/>
              <w:jc w:val="left"/>
            </w:pPr>
            <w:r/>
            <w:r>
              <w:rPr>
                <w:rFonts w:ascii="Times New Roman" w:hAnsi="Times New Roman" w:eastAsia="HY신명조"/>
                <w:b w:val="0"/>
                <w:sz w:val="19"/>
              </w:rPr>
              <w:t>Proposed detection</w:t>
            </w:r>
          </w:p>
        </w:tc>
        <w:tc>
          <w:tcPr>
            <w:tcW w:type="dxa" w:w="2126"/>
          </w:tcPr>
          <w:p>
            <w:pPr>
              <w:keepNext/>
              <w:spacing w:line="288" w:lineRule="auto" w:before="20" w:after="20"/>
              <w:jc w:val="left"/>
            </w:pPr>
            <w:r/>
            <w:r>
              <w:rPr>
                <w:rFonts w:ascii="Times New Roman" w:hAnsi="Times New Roman" w:eastAsia="HY신명조"/>
                <w:b w:val="0"/>
                <w:sz w:val="19"/>
              </w:rPr>
              <w:t>Shoulder evacuation</w:t>
            </w:r>
          </w:p>
        </w:tc>
        <w:tc>
          <w:tcPr>
            <w:tcW w:type="dxa" w:w="2126"/>
          </w:tcPr>
          <w:p>
            <w:pPr>
              <w:keepNext/>
              <w:spacing w:line="288" w:lineRule="auto" w:before="20" w:after="20"/>
              <w:jc w:val="left"/>
            </w:pPr>
            <w:r/>
            <w:r>
              <w:rPr>
                <w:rFonts w:ascii="Times New Roman" w:hAnsi="Times New Roman" w:eastAsia="HY신명조"/>
                <w:b w:val="0"/>
                <w:sz w:val="19"/>
              </w:rPr>
              <w:t>None</w:t>
            </w:r>
          </w:p>
        </w:tc>
      </w:tr>
      <w:tr>
        <w:trPr>
          <w:cantSplit/>
        </w:trPr>
        <w:tc>
          <w:tcPr>
            <w:tcW w:type="dxa" w:w="2126"/>
          </w:tcPr>
          <w:p>
            <w:pPr>
              <w:spacing w:line="288" w:lineRule="auto" w:before="20" w:after="20"/>
              <w:jc w:val="left"/>
            </w:pPr>
            <w:r/>
            <w:r>
              <w:rPr>
                <w:rFonts w:ascii="Times New Roman" w:hAnsi="Times New Roman" w:eastAsia="HY신명조"/>
                <w:b w:val="0"/>
                <w:sz w:val="19"/>
              </w:rPr>
              <w:t>A4 capped evacuation</w:t>
            </w:r>
          </w:p>
        </w:tc>
        <w:tc>
          <w:tcPr>
            <w:tcW w:type="dxa" w:w="2126"/>
          </w:tcPr>
          <w:p>
            <w:pPr>
              <w:spacing w:line="288" w:lineRule="auto" w:before="20" w:after="20"/>
              <w:jc w:val="left"/>
            </w:pPr>
            <w:r/>
            <w:r>
              <w:rPr>
                <w:rFonts w:ascii="Times New Roman" w:hAnsi="Times New Roman" w:eastAsia="HY신명조"/>
                <w:b w:val="0"/>
                <w:sz w:val="19"/>
              </w:rPr>
              <w:t>Proposed detection</w:t>
            </w:r>
          </w:p>
        </w:tc>
        <w:tc>
          <w:tcPr>
            <w:tcW w:type="dxa" w:w="2126"/>
          </w:tcPr>
          <w:p>
            <w:pPr>
              <w:spacing w:line="288" w:lineRule="auto" w:before="20" w:after="20"/>
              <w:jc w:val="left"/>
            </w:pPr>
            <w:r/>
            <w:r>
              <w:rPr>
                <w:rFonts w:ascii="Times New Roman" w:hAnsi="Times New Roman" w:eastAsia="HY신명조"/>
                <w:b w:val="0"/>
                <w:sz w:val="19"/>
              </w:rPr>
              <w:t>Shoulder evacuation</w:t>
            </w:r>
          </w:p>
        </w:tc>
        <w:tc>
          <w:tcPr>
            <w:tcW w:type="dxa" w:w="2126"/>
          </w:tcPr>
          <w:p>
            <w:pPr>
              <w:spacing w:line="288" w:lineRule="auto" w:before="20" w:after="20"/>
              <w:jc w:val="left"/>
            </w:pPr>
            <w:r/>
            <w:r>
              <w:rPr>
                <w:rFonts w:ascii="Times New Roman" w:hAnsi="Times New Roman" w:eastAsia="HY신명조"/>
                <w:b w:val="0"/>
                <w:sz w:val="19"/>
              </w:rPr>
              <w:t>3.0 m/s cap</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The key controls are as follows. (i) Same-seed pairing: ten seeds (S02–S11; S01 was excluded in advance as a development seed) are shared by the four arms, and each seed fixes the fault onset time, walking speed, lateral jitter, and the CARLA, fault-waveform, and pedestrian random numbers (specific values in Table 4-5) — since even the fault waveform is identical, the only difference between arms is the response policy. (ii) Behavior-independent launch: all four arms launch at t_detect+3.0 s based on shadow detection, and A1 also starts the detector in log-only mode, so the definition of the launch time is identical — this moment is a transient before the evacuation arms complete deceleration, so this ablation deliberately targets the most unfavorable time window for the evacuation policy. (iii) Position-balanced ordering: the execution order of 10 seeds × 4 arms per round was constraint-randomized with per-arm position balance and frozen before execution (same rule for the first and extension rounds). (iv) Only simulator failures were re-run with the same seed (S05 twice in this campaign). Before the main run, smoke cases verified fault-waveform checksum agreement across the four arms (first 20 samples), detection-time difference Δt_detect &lt; 0.3 s, launch geometry 8±0.2 m, and A1 integrity (speed-profile difference with detector on/off &lt; 0.05 m/s RMS), after which the main 40 cases were executed.</w:t>
      </w:r>
    </w:p>
    <w:p>
      <w:pPr>
        <w:spacing w:line="501" w:lineRule="exact" w:before="0" w:after="0"/>
      </w:pPr>
    </w:p>
    <w:p>
      <w:pPr>
        <w:spacing w:line="501" w:lineRule="exact" w:before="0" w:after="0"/>
      </w:pPr>
      <w:r>
        <w:rPr>
          <w:rFonts w:ascii="Times New Roman" w:hAnsi="Times New Roman" w:eastAsia="HY신명조"/>
          <w:b/>
          <w:sz w:val="28"/>
        </w:rPr>
        <w:t>8. Metrics and Statistics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metric of encounter-level safety is the collision rate, reported up front with Wilson 95% confidence intervals. Inferential testing applies the exact McNemar test only to the two pre-specified primary contrasts — A1↔A4 (the effect of the full configuration of the proposed evacuation policy under the given encounter condition) and A3↔A4 (the increment of the explicit speed cap) — (in small samples, the p-value of exact McNemar changes discretely: even when discordant pairs occur in only one direction, 5:0 gives p=0.0625, not significant, and from 6:0 onward p=0.03125, falling below 0.05). A1↔A2 and A2↔A3 are treated only as descriptive, mechanism-level analyses, and Fisher's exact test is used for unpaired auxiliary comparisons. For the speed-dose experiment (Chapter 5, Section 8), a single primary endpoint — the paired collision difference between 4.2 and 3.0 m/s at the 8 m spawn (exact McNemar) — was pre-specified in a plan fixed before data collection (including the adoption rule, pinned by a repository commit); the remaining distance-cap combinations are reported only as boundary characterization (descriptive statistics with Wilson CIs). As a precondition check on encounter validity (manipulation check), a run with no launch within 420 s or with a first-tick encounter speed outside the band (0.15 m/s tolerance) is rejected and re-run under identical conditions regardless of its outcome (MANIPULATION_FAIL). Three exposure metrics are defined: distance traveled in the faulted state, deg_dist (distance moved from fault injection to reaching MRC); fixed-horizon exposure E20 (movement exposure ∫v dt for 20 s after the encounter, integrated over physics ticks — for comparisons that equalize observation time across arms); and lane-clearance time T_lat-clear (from the encounter time until lateral deviation from the driving-lane center exceeds 1.8 m, on a physics-tick basis). Analysis rules for T_lat-clear: collisions are reported separately as competing (failure) events for lane clearance and are not included in the time distribution; the time distribution is computed conditionally on collision-free evacuation cases, with right-censoring applied only at the end of observation (the clearance analysis of Chapter 5, Section 5 is exploratory, on the first-round S02–S11 evacuation arms with A3/A4 pooled — the extension round did not collect clearance instrumentation); and the in-lane-stop arm is reported as "not cleared within the horizon" and is not averaged. The stop-versus-evacuation trade-off is presented along the two axes of collision rate and lane clearance.</w:t>
      </w:r>
    </w:p>
    <w:p>
      <w:pPr>
        <w:spacing w:line="501" w:lineRule="exact" w:before="0" w:after="0"/>
      </w:pPr>
    </w:p>
    <w:p>
      <w:pPr>
        <w:spacing w:line="501" w:lineRule="exact" w:before="0" w:after="0"/>
      </w:pPr>
      <w:r>
        <w:rPr>
          <w:rFonts w:ascii="Times New Roman" w:hAnsi="Times New Roman" w:eastAsia="HY신명조"/>
          <w:b/>
          <w:sz w:val="28"/>
        </w:rPr>
        <w:t>9. Reproducibility: Key Experimental Parameters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reproducibility, the key parameters across the experiments are summarized in Table 4-5. All values are exactly the configurations used when the experiments were run, and the supporting section is indicated alongside.</w:t>
      </w:r>
    </w:p>
    <w:p>
      <w:pPr>
        <w:keepNext/>
        <w:spacing w:line="312" w:lineRule="auto" w:before="40" w:after="0"/>
      </w:pPr>
      <w:r>
        <w:rPr>
          <w:rFonts w:ascii="Times New Roman" w:hAnsi="Times New Roman" w:eastAsia="HY신명조"/>
          <w:b/>
          <w:sz w:val="19"/>
        </w:rPr>
        <w:t xml:space="preserve">Table 4-5. </w:t>
      </w:r>
      <w:r>
        <w:rPr>
          <w:rFonts w:ascii="Times New Roman" w:hAnsi="Times New Roman" w:eastAsia="HY신명조"/>
          <w:b w:val="0"/>
          <w:sz w:val="19"/>
        </w:rPr>
        <w:t>Summary of key experimental parameters</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Times New Roman" w:hAnsi="Times New Roman" w:eastAsia="HY신명조"/>
                <w:b/>
                <w:sz w:val="19"/>
              </w:rPr>
              <w:t>Item</w:t>
            </w:r>
          </w:p>
        </w:tc>
        <w:tc>
          <w:tcPr>
            <w:tcW w:type="dxa" w:w="2835"/>
          </w:tcPr>
          <w:p>
            <w:pPr>
              <w:spacing w:line="288" w:lineRule="auto" w:before="20" w:after="20"/>
              <w:jc w:val="center"/>
            </w:pPr>
            <w:r/>
            <w:r>
              <w:rPr>
                <w:rFonts w:ascii="Times New Roman" w:hAnsi="Times New Roman" w:eastAsia="HY신명조"/>
                <w:b/>
                <w:sz w:val="19"/>
              </w:rPr>
              <w:t>Value</w:t>
            </w:r>
          </w:p>
        </w:tc>
        <w:tc>
          <w:tcPr>
            <w:tcW w:type="dxa" w:w="2835"/>
          </w:tcPr>
          <w:p>
            <w:pPr>
              <w:spacing w:line="288" w:lineRule="auto" w:before="20" w:after="20"/>
              <w:jc w:val="center"/>
            </w:pPr>
            <w:r/>
            <w:r>
              <w:rPr>
                <w:rFonts w:ascii="Times New Roman" w:hAnsi="Times New Roman" w:eastAsia="HY신명조"/>
                <w:b/>
                <w:sz w:val="19"/>
              </w:rPr>
              <w:t>Remarks</w:t>
            </w:r>
          </w:p>
        </w:tc>
      </w:tr>
      <w:tr>
        <w:trPr>
          <w:cantSplit/>
        </w:trPr>
        <w:tc>
          <w:tcPr>
            <w:tcW w:type="dxa" w:w="2835"/>
          </w:tcPr>
          <w:p>
            <w:pPr>
              <w:spacing w:line="288" w:lineRule="auto" w:before="20" w:after="20"/>
              <w:jc w:val="left"/>
            </w:pPr>
            <w:r/>
            <w:r>
              <w:rPr>
                <w:rFonts w:ascii="Times New Roman" w:hAnsi="Times New Roman" w:eastAsia="HY신명조"/>
                <w:b w:val="0"/>
                <w:sz w:val="19"/>
              </w:rPr>
              <w:t>State-transition thresholds</w:t>
            </w:r>
          </w:p>
        </w:tc>
        <w:tc>
          <w:tcPr>
            <w:tcW w:type="dxa" w:w="2835"/>
          </w:tcPr>
          <w:p>
            <w:pPr>
              <w:spacing w:line="288" w:lineRule="auto" w:before="20" w:after="20"/>
              <w:jc w:val="left"/>
            </w:pPr>
            <w:r/>
            <w:r>
              <w:rPr>
                <w:rFonts w:ascii="Times New Roman" w:hAnsi="Times New Roman" w:eastAsia="HY신명조"/>
                <w:b w:val="0"/>
                <w:sz w:val="19"/>
              </w:rPr>
              <w:t>upper 0.7 / lower 0.3</w:t>
            </w:r>
          </w:p>
        </w:tc>
        <w:tc>
          <w:tcPr>
            <w:tcW w:type="dxa" w:w="2835"/>
          </w:tcPr>
          <w:p>
            <w:pPr>
              <w:spacing w:line="288" w:lineRule="auto" w:before="20" w:after="20"/>
              <w:jc w:val="left"/>
            </w:pPr>
            <w:r/>
            <w:r>
              <w:rPr>
                <w:rFonts w:ascii="Times New Roman" w:hAnsi="Times New Roman" w:eastAsia="HY신명조"/>
                <w:b w:val="0"/>
                <w:sz w:val="19"/>
              </w:rPr>
              <w:t>Dual thresholds — three bands: normal/evacuation/deferral (Chapter 3, Section 5)</w:t>
            </w:r>
          </w:p>
        </w:tc>
      </w:tr>
      <w:tr>
        <w:trPr>
          <w:cantSplit/>
        </w:trPr>
        <w:tc>
          <w:tcPr>
            <w:tcW w:type="dxa" w:w="2835"/>
          </w:tcPr>
          <w:p>
            <w:pPr>
              <w:spacing w:line="288" w:lineRule="auto" w:before="20" w:after="20"/>
              <w:jc w:val="left"/>
            </w:pPr>
            <w:r/>
            <w:r>
              <w:rPr>
                <w:rFonts w:ascii="Times New Roman" w:hAnsi="Times New Roman" w:eastAsia="HY신명조"/>
                <w:b w:val="0"/>
                <w:sz w:val="19"/>
              </w:rPr>
              <w:t>MRM movement speed cap</w:t>
            </w:r>
          </w:p>
        </w:tc>
        <w:tc>
          <w:tcPr>
            <w:tcW w:type="dxa" w:w="2835"/>
          </w:tcPr>
          <w:p>
            <w:pPr>
              <w:spacing w:line="288" w:lineRule="auto" w:before="20" w:after="20"/>
              <w:jc w:val="left"/>
            </w:pPr>
            <w:r/>
            <w:r>
              <w:rPr>
                <w:rFonts w:ascii="Times New Roman" w:hAnsi="Times New Roman" w:eastAsia="HY신명조"/>
                <w:b w:val="0"/>
                <w:sz w:val="19"/>
              </w:rPr>
              <w:t>3.0 m/s (fixed)</w:t>
            </w:r>
          </w:p>
        </w:tc>
        <w:tc>
          <w:tcPr>
            <w:tcW w:type="dxa" w:w="2835"/>
          </w:tcPr>
          <w:p>
            <w:pPr>
              <w:spacing w:line="288" w:lineRule="auto" w:before="20" w:after="20"/>
              <w:jc w:val="left"/>
            </w:pPr>
            <w:r/>
            <w:r>
              <w:rPr>
                <w:rFonts w:ascii="Times New Roman" w:hAnsi="Times New Roman" w:eastAsia="HY신명조"/>
                <w:b w:val="0"/>
                <w:sz w:val="19"/>
              </w:rPr>
              <w:t>Below the analytically back-calculated v_max≈3.89 m/s; a health-score-proportional cap is implemented but unused (Chapter 3, Section 6)</w:t>
            </w:r>
          </w:p>
        </w:tc>
      </w:tr>
      <w:tr>
        <w:trPr>
          <w:cantSplit/>
        </w:trPr>
        <w:tc>
          <w:tcPr>
            <w:tcW w:type="dxa" w:w="2835"/>
          </w:tcPr>
          <w:p>
            <w:pPr>
              <w:spacing w:line="288" w:lineRule="auto" w:before="20" w:after="20"/>
              <w:jc w:val="left"/>
            </w:pPr>
            <w:r/>
            <w:r>
              <w:rPr>
                <w:rFonts w:ascii="Times New Roman" w:hAnsi="Times New Roman" w:eastAsia="HY신명조"/>
                <w:b w:val="0"/>
                <w:sz w:val="19"/>
              </w:rPr>
              <w:t>Stopping-distance model</w:t>
            </w:r>
          </w:p>
        </w:tc>
        <w:tc>
          <w:tcPr>
            <w:tcW w:type="dxa" w:w="2835"/>
          </w:tcPr>
          <w:p>
            <w:pPr>
              <w:spacing w:line="288" w:lineRule="auto" w:before="20" w:after="20"/>
              <w:jc w:val="left"/>
            </w:pPr>
            <w:r/>
            <w:r>
              <w:rPr>
                <w:rFonts w:ascii="Times New Roman" w:hAnsi="Times New Roman" w:eastAsia="HY신명조"/>
                <w:b w:val="0"/>
                <w:sz w:val="19"/>
              </w:rPr>
              <w:t>τ=1.5 s, a=3.5 m/s²</w:t>
            </w:r>
          </w:p>
        </w:tc>
        <w:tc>
          <w:tcPr>
            <w:tcW w:type="dxa" w:w="2835"/>
          </w:tcPr>
          <w:p>
            <w:pPr>
              <w:spacing w:line="288" w:lineRule="auto" w:before="20" w:after="20"/>
              <w:jc w:val="left"/>
            </w:pPr>
            <w:r/>
            <w:r>
              <w:rPr>
                <w:rFonts w:ascii="Times New Roman" w:hAnsi="Times New Roman" w:eastAsia="HY신명조"/>
                <w:b w:val="0"/>
                <w:sz w:val="19"/>
              </w:rPr>
              <w:t>d = vτ + v²/2a (Eq. (3-9)); nominal values calibrated to the ladder boundary — a design approximation (Chapter 3, Section 6)</w:t>
            </w:r>
          </w:p>
        </w:tc>
      </w:tr>
      <w:tr>
        <w:trPr>
          <w:cantSplit/>
        </w:trPr>
        <w:tc>
          <w:tcPr>
            <w:tcW w:type="dxa" w:w="2835"/>
          </w:tcPr>
          <w:p>
            <w:pPr>
              <w:spacing w:line="288" w:lineRule="auto" w:before="20" w:after="20"/>
              <w:jc w:val="left"/>
            </w:pPr>
            <w:r/>
            <w:r>
              <w:rPr>
                <w:rFonts w:ascii="Times New Roman" w:hAnsi="Times New Roman" w:eastAsia="HY신명조"/>
                <w:b w:val="0"/>
                <w:sz w:val="19"/>
              </w:rPr>
              <w:t>Cost-function weights</w:t>
            </w:r>
          </w:p>
        </w:tc>
        <w:tc>
          <w:tcPr>
            <w:tcW w:type="dxa" w:w="2835"/>
          </w:tcPr>
          <w:p>
            <w:pPr>
              <w:spacing w:line="288" w:lineRule="auto" w:before="20" w:after="20"/>
              <w:jc w:val="left"/>
            </w:pPr>
            <w:r/>
            <w:r>
              <w:rPr>
                <w:rFonts w:ascii="Times New Roman" w:hAnsi="Times New Roman" w:eastAsia="HY신명조"/>
                <w:b w:val="0"/>
                <w:sz w:val="19"/>
              </w:rPr>
              <w:t>w_t=7.0/s · w_tl=200 · w_sec=500 · w_loc=14/s</w:t>
            </w:r>
          </w:p>
        </w:tc>
        <w:tc>
          <w:tcPr>
            <w:tcW w:type="dxa" w:w="2835"/>
          </w:tcPr>
          <w:p>
            <w:pPr>
              <w:spacing w:line="288" w:lineRule="auto" w:before="20" w:after="20"/>
              <w:jc w:val="left"/>
            </w:pPr>
            <w:r/>
            <w:r>
              <w:rPr>
                <w:rFonts w:ascii="Times New Roman" w:hAnsi="Times New Roman" w:eastAsia="HY신명조"/>
                <w:b w:val="0"/>
                <w:sz w:val="19"/>
              </w:rPr>
              <w:t>Eq. (3-8); expected wait 15 s per traffic light, shoulder MRC penalty 175 (≈25 s of degraded driving)</w:t>
            </w:r>
          </w:p>
        </w:tc>
      </w:tr>
      <w:tr>
        <w:trPr>
          <w:cantSplit/>
        </w:trPr>
        <w:tc>
          <w:tcPr>
            <w:tcW w:type="dxa" w:w="2835"/>
          </w:tcPr>
          <w:p>
            <w:pPr>
              <w:spacing w:line="288" w:lineRule="auto" w:before="20" w:after="20"/>
              <w:jc w:val="left"/>
            </w:pPr>
            <w:r/>
            <w:r>
              <w:rPr>
                <w:rFonts w:ascii="Times New Roman" w:hAnsi="Times New Roman" w:eastAsia="HY신명조"/>
                <w:b w:val="0"/>
                <w:sz w:val="19"/>
              </w:rPr>
              <w:t>Candidate hard constraints</w:t>
            </w:r>
          </w:p>
        </w:tc>
        <w:tc>
          <w:tcPr>
            <w:tcW w:type="dxa" w:w="2835"/>
          </w:tcPr>
          <w:p>
            <w:pPr>
              <w:spacing w:line="288" w:lineRule="auto" w:before="20" w:after="20"/>
              <w:jc w:val="left"/>
            </w:pPr>
            <w:r/>
            <w:r>
              <w:rPr>
                <w:rFonts w:ascii="Times New Roman" w:hAnsi="Times New Roman" w:eastAsia="HY신명조"/>
                <w:b w:val="0"/>
                <w:sz w:val="19"/>
              </w:rPr>
              <w:t>min approach 25 m · min shoulder length 7.0 m</w:t>
            </w:r>
          </w:p>
        </w:tc>
        <w:tc>
          <w:tcPr>
            <w:tcW w:type="dxa" w:w="2835"/>
          </w:tcPr>
          <w:p>
            <w:pPr>
              <w:spacing w:line="288" w:lineRule="auto" w:before="20" w:after="20"/>
              <w:jc w:val="left"/>
            </w:pPr>
            <w:r/>
            <w:r>
              <w:rPr>
                <w:rFonts w:ascii="Times New Roman" w:hAnsi="Times New Roman" w:eastAsia="HY신명조"/>
                <w:b w:val="0"/>
                <w:sz w:val="19"/>
              </w:rPr>
              <w:t>candidates below these are assigned infinite cost (Chapter 3, Section 5)</w:t>
            </w:r>
          </w:p>
        </w:tc>
      </w:tr>
      <w:tr>
        <w:trPr>
          <w:cantSplit/>
        </w:trPr>
        <w:tc>
          <w:tcPr>
            <w:tcW w:type="dxa" w:w="2835"/>
          </w:tcPr>
          <w:p>
            <w:pPr>
              <w:spacing w:line="288" w:lineRule="auto" w:before="20" w:after="20"/>
              <w:jc w:val="left"/>
            </w:pPr>
            <w:r/>
            <w:r>
              <w:rPr>
                <w:rFonts w:ascii="Times New Roman" w:hAnsi="Times New Roman" w:eastAsia="HY신명조"/>
                <w:b w:val="0"/>
                <w:sz w:val="19"/>
              </w:rPr>
              <w:t>Pedestrian launch time</w:t>
            </w:r>
          </w:p>
        </w:tc>
        <w:tc>
          <w:tcPr>
            <w:tcW w:type="dxa" w:w="2835"/>
          </w:tcPr>
          <w:p>
            <w:pPr>
              <w:spacing w:line="288" w:lineRule="auto" w:before="20" w:after="20"/>
              <w:jc w:val="left"/>
            </w:pPr>
            <w:r/>
            <w:r>
              <w:rPr>
                <w:rFonts w:ascii="Times New Roman" w:hAnsi="Times New Roman" w:eastAsia="HY신명조"/>
                <w:b w:val="0"/>
                <w:sz w:val="19"/>
              </w:rPr>
              <w:t>t_detect + 3.0 s</w:t>
            </w:r>
          </w:p>
        </w:tc>
        <w:tc>
          <w:tcPr>
            <w:tcW w:type="dxa" w:w="2835"/>
          </w:tcPr>
          <w:p>
            <w:pPr>
              <w:spacing w:line="288" w:lineRule="auto" w:before="20" w:after="20"/>
              <w:jc w:val="left"/>
            </w:pPr>
            <w:r/>
            <w:r>
              <w:rPr>
                <w:rFonts w:ascii="Times New Roman" w:hAnsi="Times New Roman" w:eastAsia="HY신명조"/>
                <w:b w:val="0"/>
                <w:sz w:val="19"/>
              </w:rPr>
              <w:t>Ablation study, behavior-independent time trigger (Chapter 4, Section 7)</w:t>
            </w:r>
          </w:p>
        </w:tc>
      </w:tr>
      <w:tr>
        <w:trPr>
          <w:cantSplit/>
        </w:trPr>
        <w:tc>
          <w:tcPr>
            <w:tcW w:type="dxa" w:w="2835"/>
          </w:tcPr>
          <w:p>
            <w:pPr>
              <w:spacing w:line="288" w:lineRule="auto" w:before="20" w:after="20"/>
              <w:jc w:val="left"/>
            </w:pPr>
            <w:r/>
            <w:r>
              <w:rPr>
                <w:rFonts w:ascii="Times New Roman" w:hAnsi="Times New Roman" w:eastAsia="HY신명조"/>
                <w:b w:val="0"/>
                <w:sz w:val="19"/>
              </w:rPr>
              <w:t>Launch geometry</w:t>
            </w:r>
          </w:p>
        </w:tc>
        <w:tc>
          <w:tcPr>
            <w:tcW w:type="dxa" w:w="2835"/>
          </w:tcPr>
          <w:p>
            <w:pPr>
              <w:spacing w:line="288" w:lineRule="auto" w:before="20" w:after="20"/>
              <w:jc w:val="left"/>
            </w:pPr>
            <w:r/>
            <w:r>
              <w:rPr>
                <w:rFonts w:ascii="Times New Roman" w:hAnsi="Times New Roman" w:eastAsia="HY신명조"/>
                <w:b w:val="0"/>
                <w:sz w:val="19"/>
              </w:rPr>
              <w:t>8 m ahead, lateral jitter ±0.2 m</w:t>
            </w:r>
          </w:p>
        </w:tc>
        <w:tc>
          <w:tcPr>
            <w:tcW w:type="dxa" w:w="2835"/>
          </w:tcPr>
          <w:p>
            <w:pPr>
              <w:spacing w:line="288" w:lineRule="auto" w:before="20" w:after="20"/>
              <w:jc w:val="left"/>
            </w:pPr>
            <w:r/>
            <w:r>
              <w:rPr>
                <w:rFonts w:ascii="Times New Roman" w:hAnsi="Times New Roman" w:eastAsia="HY신명조"/>
                <w:b w:val="0"/>
                <w:sz w:val="19"/>
              </w:rPr>
              <w:t>Crossing starts at the right edge of the driving lane +0.5 m</w:t>
            </w:r>
          </w:p>
        </w:tc>
      </w:tr>
      <w:tr>
        <w:trPr>
          <w:cantSplit/>
        </w:trPr>
        <w:tc>
          <w:tcPr>
            <w:tcW w:type="dxa" w:w="2835"/>
          </w:tcPr>
          <w:p>
            <w:pPr>
              <w:spacing w:line="288" w:lineRule="auto" w:before="20" w:after="20"/>
              <w:jc w:val="left"/>
            </w:pPr>
            <w:r/>
            <w:r>
              <w:rPr>
                <w:rFonts w:ascii="Times New Roman" w:hAnsi="Times New Roman" w:eastAsia="HY신명조"/>
                <w:b w:val="0"/>
                <w:sz w:val="19"/>
              </w:rPr>
              <w:t>Commanded walking speed</w:t>
            </w:r>
          </w:p>
        </w:tc>
        <w:tc>
          <w:tcPr>
            <w:tcW w:type="dxa" w:w="2835"/>
          </w:tcPr>
          <w:p>
            <w:pPr>
              <w:spacing w:line="288" w:lineRule="auto" w:before="20" w:after="20"/>
              <w:jc w:val="left"/>
            </w:pPr>
            <w:r/>
            <w:r>
              <w:rPr>
                <w:rFonts w:ascii="Times New Roman" w:hAnsi="Times New Roman" w:eastAsia="HY신명조"/>
                <w:b w:val="0"/>
                <w:sz w:val="19"/>
              </w:rPr>
              <w:t>{2.5, 3.0} m/s (blocked by seed)</w:t>
            </w:r>
          </w:p>
        </w:tc>
        <w:tc>
          <w:tcPr>
            <w:tcW w:type="dxa" w:w="2835"/>
          </w:tcPr>
          <w:p>
            <w:pPr>
              <w:spacing w:line="288" w:lineRule="auto" w:before="20" w:after="20"/>
              <w:jc w:val="left"/>
            </w:pPr>
            <w:r/>
            <w:r>
              <w:rPr>
                <w:rFonts w:ascii="Times New Roman" w:hAnsi="Times New Roman" w:eastAsia="HY신명조"/>
                <w:b w:val="0"/>
                <w:sz w:val="19"/>
              </w:rPr>
              <w:t>Measured (tick-instrumented encounter runs, n=90): median 2.46 m/s in the 0.5 s window (1.2–3.0) and 2.50 m/s in the 1 s window — the acceleration transient is discussed in Chapter 6, Section 6</w:t>
            </w:r>
          </w:p>
        </w:tc>
      </w:tr>
      <w:tr>
        <w:trPr>
          <w:cantSplit/>
        </w:trPr>
        <w:tc>
          <w:tcPr>
            <w:tcW w:type="dxa" w:w="2835"/>
          </w:tcPr>
          <w:p>
            <w:pPr>
              <w:spacing w:line="288" w:lineRule="auto" w:before="20" w:after="20"/>
              <w:jc w:val="left"/>
            </w:pPr>
            <w:r/>
            <w:r>
              <w:rPr>
                <w:rFonts w:ascii="Times New Roman" w:hAnsi="Times New Roman" w:eastAsia="HY신명조"/>
                <w:b w:val="0"/>
                <w:sz w:val="19"/>
              </w:rPr>
              <w:t>Ablation seeds</w:t>
            </w:r>
          </w:p>
        </w:tc>
        <w:tc>
          <w:tcPr>
            <w:tcW w:type="dxa" w:w="2835"/>
          </w:tcPr>
          <w:p>
            <w:pPr>
              <w:spacing w:line="288" w:lineRule="auto" w:before="20" w:after="20"/>
              <w:jc w:val="left"/>
            </w:pPr>
            <w:r/>
            <w:r>
              <w:rPr>
                <w:rFonts w:ascii="Times New Roman" w:hAnsi="Times New Roman" w:eastAsia="HY신명조"/>
                <w:b w:val="0"/>
                <w:sz w:val="19"/>
              </w:rPr>
              <w:t>S02–S21 (20 seeds, shared pairwise across the 4 arms;</w:t>
            </w:r>
          </w:p>
          <w:p>
            <w:pPr>
              <w:spacing w:line="288" w:lineRule="auto" w:before="20" w:after="20"/>
              <w:jc w:val="left"/>
            </w:pPr>
            <w:r>
              <w:rPr>
                <w:rFonts w:ascii="Times New Roman" w:hAnsi="Times New Roman" w:eastAsia="HY신명조"/>
                <w:b w:val="0"/>
                <w:sz w:val="19"/>
              </w:rPr>
              <w:t>S01 excluded as development seed)</w:t>
            </w:r>
          </w:p>
        </w:tc>
        <w:tc>
          <w:tcPr>
            <w:tcW w:type="dxa" w:w="2835"/>
          </w:tcPr>
          <w:p>
            <w:pPr>
              <w:spacing w:line="288" w:lineRule="auto" w:before="20" w:after="20"/>
              <w:jc w:val="left"/>
            </w:pPr>
            <w:r/>
            <w:r>
              <w:rPr>
                <w:rFonts w:ascii="Times New Roman" w:hAnsi="Times New Roman" w:eastAsia="HY신명조"/>
                <w:b w:val="0"/>
                <w:sz w:val="19"/>
              </w:rPr>
              <w:t>Fixed: fault onset 11–44 s, walking 2.5/3.0 m/s blocks, lateral jitter,</w:t>
            </w:r>
          </w:p>
          <w:p>
            <w:pPr>
              <w:spacing w:line="288" w:lineRule="auto" w:before="20" w:after="20"/>
              <w:jc w:val="left"/>
            </w:pPr>
            <w:r>
              <w:rPr>
                <w:rFonts w:ascii="Times New Roman" w:hAnsi="Times New Roman" w:eastAsia="HY신명조"/>
                <w:b w:val="0"/>
                <w:sz w:val="19"/>
              </w:rPr>
              <w:t>CARLA, fault waveform (FAULT_SEED), pedestrian random numbers (Chapter 4, Section 7)</w:t>
            </w:r>
          </w:p>
        </w:tc>
      </w:tr>
      <w:tr>
        <w:trPr>
          <w:cantSplit/>
        </w:trPr>
        <w:tc>
          <w:tcPr>
            <w:tcW w:type="dxa" w:w="2835"/>
          </w:tcPr>
          <w:p>
            <w:pPr>
              <w:spacing w:line="288" w:lineRule="auto" w:before="20" w:after="20"/>
              <w:jc w:val="left"/>
            </w:pPr>
            <w:r/>
            <w:r>
              <w:rPr>
                <w:rFonts w:ascii="Times New Roman" w:hAnsi="Times New Roman" w:eastAsia="HY신명조"/>
                <w:b w:val="0"/>
                <w:sz w:val="19"/>
              </w:rPr>
              <w:t>Fault intensity (SEVERITY, mid/high)</w:t>
            </w:r>
          </w:p>
        </w:tc>
        <w:tc>
          <w:tcPr>
            <w:tcW w:type="dxa" w:w="2835"/>
          </w:tcPr>
          <w:p>
            <w:pPr>
              <w:spacing w:line="288" w:lineRule="auto" w:before="20" w:after="20"/>
              <w:jc w:val="left"/>
            </w:pPr>
            <w:r/>
            <w:r>
              <w:rPr>
                <w:rFonts w:ascii="Times New Roman" w:hAnsi="Times New Roman" w:eastAsia="HY신명조"/>
                <w:b w:val="0"/>
                <w:sz w:val="19"/>
              </w:rPr>
              <w:t>cn 15/30, imn 0.5/1.5, gn 1.0/2.5,</w:t>
            </w:r>
          </w:p>
          <w:p>
            <w:pPr>
              <w:spacing w:line="288" w:lineRule="auto" w:before="20" w:after="20"/>
              <w:jc w:val="left"/>
            </w:pPr>
            <w:r>
              <w:rPr>
                <w:rFonts w:ascii="Times New Roman" w:hAnsi="Times New Roman" w:eastAsia="HY신명조"/>
                <w:b w:val="0"/>
                <w:sz w:val="19"/>
              </w:rPr>
              <w:t>lso "0.33:90"/"0.07:150", lcl "5:1500"/"25:4000"</w:t>
            </w:r>
          </w:p>
        </w:tc>
        <w:tc>
          <w:tcPr>
            <w:tcW w:type="dxa" w:w="2835"/>
          </w:tcPr>
          <w:p>
            <w:pPr>
              <w:spacing w:line="288" w:lineRule="auto" w:before="20" w:after="20"/>
              <w:jc w:val="left"/>
            </w:pPr>
            <w:r/>
            <w:r>
              <w:rPr>
                <w:rFonts w:ascii="Times New Roman" w:hAnsi="Times New Roman" w:eastAsia="HY신명조"/>
                <w:b w:val="0"/>
                <w:sz w:val="19"/>
              </w:rPr>
              <w:t>Raw injector parameter values (cn pixel σ, imn gyro σ,</w:t>
            </w:r>
          </w:p>
          <w:p>
            <w:pPr>
              <w:spacing w:line="288" w:lineRule="auto" w:before="20" w:after="20"/>
              <w:jc w:val="left"/>
            </w:pPr>
            <w:r>
              <w:rPr>
                <w:rFonts w:ascii="Times New Roman" w:hAnsi="Times New Roman" w:eastAsia="HY신명조"/>
                <w:b w:val="0"/>
                <w:sz w:val="19"/>
              </w:rPr>
              <w:t>gn position σ[m], lso/lcl physical parameter pairs)</w:t>
            </w:r>
          </w:p>
        </w:tc>
      </w:tr>
      <w:tr>
        <w:trPr>
          <w:cantSplit/>
        </w:trPr>
        <w:tc>
          <w:tcPr>
            <w:tcW w:type="dxa" w:w="2835"/>
          </w:tcPr>
          <w:p>
            <w:pPr>
              <w:spacing w:line="288" w:lineRule="auto" w:before="20" w:after="20"/>
              <w:jc w:val="left"/>
            </w:pPr>
            <w:r/>
            <w:r>
              <w:rPr>
                <w:rFonts w:ascii="Times New Roman" w:hAnsi="Times New Roman" w:eastAsia="HY신명조"/>
                <w:b w:val="0"/>
                <w:sz w:val="19"/>
              </w:rPr>
              <w:t>Simulator lifetime</w:t>
            </w:r>
          </w:p>
        </w:tc>
        <w:tc>
          <w:tcPr>
            <w:tcW w:type="dxa" w:w="2835"/>
          </w:tcPr>
          <w:p>
            <w:pPr>
              <w:spacing w:line="288" w:lineRule="auto" w:before="20" w:after="20"/>
              <w:jc w:val="left"/>
            </w:pPr>
            <w:r/>
            <w:r>
              <w:rPr>
                <w:rFonts w:ascii="Times New Roman" w:hAnsi="Times New Roman" w:eastAsia="HY신명조"/>
                <w:b w:val="0"/>
                <w:sz w:val="19"/>
              </w:rPr>
              <w:t>CARLA_RESTART_EVERY=1</w:t>
            </w:r>
          </w:p>
        </w:tc>
        <w:tc>
          <w:tcPr>
            <w:tcW w:type="dxa" w:w="2835"/>
          </w:tcPr>
          <w:p>
            <w:pPr>
              <w:spacing w:line="288" w:lineRule="auto" w:before="20" w:after="20"/>
              <w:jc w:val="left"/>
            </w:pPr>
            <w:r/>
            <w:r>
              <w:rPr>
                <w:rFonts w:ascii="Times New Roman" w:hAnsi="Times New Roman" w:eastAsia="HY신명조"/>
                <w:b w:val="0"/>
                <w:sz w:val="19"/>
              </w:rPr>
              <w:t>Full restart for every case — blocks state accumulation</w:t>
            </w:r>
          </w:p>
        </w:tc>
      </w:tr>
      <w:tr>
        <w:trPr>
          <w:cantSplit/>
        </w:trPr>
        <w:tc>
          <w:tcPr>
            <w:tcW w:type="dxa" w:w="2835"/>
          </w:tcPr>
          <w:p>
            <w:pPr>
              <w:spacing w:line="288" w:lineRule="auto" w:before="20" w:after="20"/>
              <w:jc w:val="left"/>
            </w:pPr>
            <w:r/>
            <w:r>
              <w:rPr>
                <w:rFonts w:ascii="Times New Roman" w:hAnsi="Times New Roman" w:eastAsia="HY신명조"/>
                <w:b w:val="0"/>
                <w:sz w:val="19"/>
              </w:rPr>
              <w:t>Speed-dose launch bands</w:t>
            </w:r>
          </w:p>
        </w:tc>
        <w:tc>
          <w:tcPr>
            <w:tcW w:type="dxa" w:w="2835"/>
          </w:tcPr>
          <w:p>
            <w:pPr>
              <w:spacing w:line="288" w:lineRule="auto" w:before="20" w:after="20"/>
              <w:jc w:val="left"/>
            </w:pPr>
            <w:r/>
            <w:r>
              <w:rPr>
                <w:rFonts w:ascii="Times New Roman" w:hAnsi="Times New Roman" w:eastAsia="HY신명조"/>
                <w:b w:val="0"/>
                <w:sz w:val="19"/>
              </w:rPr>
              <w:t>4.2→[3.85, 4.45] · 3.6→[3.25, 3.75] ·</w:t>
            </w:r>
          </w:p>
          <w:p>
            <w:pPr>
              <w:spacing w:line="288" w:lineRule="auto" w:before="20" w:after="20"/>
              <w:jc w:val="left"/>
            </w:pPr>
            <w:r>
              <w:rPr>
                <w:rFonts w:ascii="Times New Roman" w:hAnsi="Times New Roman" w:eastAsia="HY신명조"/>
                <w:b w:val="0"/>
                <w:sz w:val="19"/>
              </w:rPr>
              <w:t>3.0→[2.65, 3.15] m/s, 1.0 s continuous, spread ≤0.25</w:t>
            </w:r>
          </w:p>
        </w:tc>
        <w:tc>
          <w:tcPr>
            <w:tcW w:type="dxa" w:w="2835"/>
          </w:tcPr>
          <w:p>
            <w:pPr>
              <w:spacing w:line="288" w:lineRule="auto" w:before="20" w:after="20"/>
              <w:jc w:val="left"/>
            </w:pPr>
            <w:r/>
            <w:r>
              <w:rPr>
                <w:rFonts w:ascii="Times New Roman" w:hAnsi="Times New Roman" w:eastAsia="HY신명조"/>
                <w:b w:val="0"/>
                <w:sz w:val="19"/>
              </w:rPr>
              <w:t>Settlement trigger; reflects the smoother tracking offset (about −0.2), mutually disjoint (Chapter 5, Section 8)</w:t>
            </w:r>
          </w:p>
        </w:tc>
      </w:tr>
      <w:tr>
        <w:trPr>
          <w:cantSplit/>
        </w:trPr>
        <w:tc>
          <w:tcPr>
            <w:tcW w:type="dxa" w:w="2835"/>
          </w:tcPr>
          <w:p>
            <w:pPr>
              <w:spacing w:line="288" w:lineRule="auto" w:before="20" w:after="20"/>
              <w:jc w:val="left"/>
            </w:pPr>
            <w:r/>
            <w:r>
              <w:rPr>
                <w:rFonts w:ascii="Times New Roman" w:hAnsi="Times New Roman" w:eastAsia="HY신명조"/>
                <w:b w:val="0"/>
                <w:sz w:val="19"/>
              </w:rPr>
              <w:t>Traffic-light control</w:t>
            </w:r>
          </w:p>
        </w:tc>
        <w:tc>
          <w:tcPr>
            <w:tcW w:type="dxa" w:w="2835"/>
          </w:tcPr>
          <w:p>
            <w:pPr>
              <w:spacing w:line="288" w:lineRule="auto" w:before="20" w:after="20"/>
              <w:jc w:val="left"/>
            </w:pPr>
            <w:r/>
            <w:r>
              <w:rPr>
                <w:rFonts w:ascii="Times New Roman" w:hAnsi="Times New Roman" w:eastAsia="HY신명조"/>
                <w:b w:val="0"/>
                <w:sz w:val="19"/>
              </w:rPr>
              <w:t>All frozen green</w:t>
            </w:r>
          </w:p>
        </w:tc>
        <w:tc>
          <w:tcPr>
            <w:tcW w:type="dxa" w:w="2835"/>
          </w:tcPr>
          <w:p>
            <w:pPr>
              <w:spacing w:line="288" w:lineRule="auto" w:before="20" w:after="20"/>
              <w:jc w:val="left"/>
            </w:pPr>
            <w:r/>
            <w:r>
              <w:rPr>
                <w:rFonts w:ascii="Times New Roman" w:hAnsi="Times New Roman" w:eastAsia="HY신명조"/>
                <w:b w:val="0"/>
                <w:sz w:val="19"/>
              </w:rPr>
              <w:t>Removes signal-wait confounds in the encounter and ablation experiments (experimental control setting)</w:t>
            </w:r>
          </w:p>
        </w:tc>
      </w:tr>
    </w:tbl>
    <w:p>
      <w:pPr>
        <w:pageBreakBefore/>
        <w:spacing w:line="501" w:lineRule="exact" w:before="0" w:after="0"/>
        <w:jc w:val="center"/>
      </w:pPr>
      <w:r>
        <w:rPr>
          <w:rFonts w:ascii="Times New Roman" w:hAnsi="Times New Roman" w:eastAsia="HY신명조"/>
          <w:b/>
          <w:sz w:val="32"/>
        </w:rPr>
        <w:t>Chapter 5. Experimental Results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Main Campaign: Detection Performance and Per-Fault Monitoring and Evacuation Behavior</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begin with detection performance (the premise of RQ1). Table 5-1 summarizes the detection rate and median detection latency for each fault type × severity condition of the main campaign. The proposed detectors achieved detection rates of 96–100% in 11 of the 12 fault conditions — median detection latencies of about 1.0 s for hard fails (cf/lf, ledger re-measurement) and 2.1–5.0 s for degradation faults, with zero false activations across the 45 fault-free (nf) control cases. The sole exception, mid-severity LiDAR sparsification (lso-mid, detection rate 0.02), falls by design within the tolerated (normal) band above the threshold — even after point dropout at this level, an effective detection range of roughly 55 m remains, the health score does not reach the intervention condition, and the supervisor chooses deliberate non-intervention (continued driving) (Table 5-2). We do not, however, describe this non-intervention purely as a "precise judgment": it overlaps with a detection limitation — the valid-point-ratio channel is insensitive to sparsification at this level — and separating the tolerance judgment from the detection limitation is explicitly stated as future work. The four navigation faults not included in the main campaign (gb correlated bias, gf outage, imb gyro bias, imd bias ramp) were evaluated in a supplementary campaign with the same matrix structure (45 cases per condition and method, identical seed pairing): the detection rate was 100% in every condition across the 611/630 valid cases (Table 5-1, bottom, †), and every case converged to localization-confidence-based deferral, exhibiting the same design manifestation as gn-high. We note three observations. (i) The detection latency of imd is inversely related to the ramp slope (median 8.6 s vs. 5.4 s) — an empirical extension of the formulation that small faults are caught later but also become dangerous later. (ii) The detection latency of gf is bimodal: outages while driving are caught at a median of about 3 s, whereas outages coinciding with a stop at a red light are caught only after restarting (21–40 s). This is an intended delay produced by the speed condition of the silence-decay mechanism, which does not treat loss of localization while stationary as an immediate hazard; since the vehicle is stopped, it is not a risk exposure — however, reporting the median alone for a bimodal distribution would be misleading, so we report the two modes separately. (iii) The manner of the deferral stop split along fault type: the GNSS family produced comfortable stops, whereas the IMU family produced hard stops in every case — since even a comfortable stop is trajectory following, the execution layer demotes it to a hard stop when the rotational sense is corrupted.</w:t>
      </w:r>
    </w:p>
    <w:p>
      <w:pPr>
        <w:keepNext/>
        <w:spacing w:line="312" w:lineRule="auto" w:before="40" w:after="0"/>
      </w:pPr>
      <w:r>
        <w:rPr>
          <w:rFonts w:ascii="Times New Roman" w:hAnsi="Times New Roman" w:eastAsia="HY신명조"/>
          <w:b/>
          <w:sz w:val="19"/>
        </w:rPr>
        <w:t xml:space="preserve">Table 5-1. </w:t>
      </w:r>
      <w:r>
        <w:rPr>
          <w:rFonts w:ascii="Times New Roman" w:hAnsi="Times New Roman" w:eastAsia="HY신명조"/>
          <w:b w:val="0"/>
          <w:sz w:val="19"/>
        </w:rPr>
        <w:t>Detection performance: detection rate and median detection latency per fault condition (main and supplementary† campaigns, proposed detectors)</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Times New Roman" w:hAnsi="Times New Roman" w:eastAsia="HY신명조"/>
                <w:b/>
                <w:sz w:val="19"/>
              </w:rPr>
              <w:t>Fault</w:t>
            </w:r>
          </w:p>
        </w:tc>
        <w:tc>
          <w:tcPr>
            <w:tcW w:type="dxa" w:w="1701"/>
          </w:tcPr>
          <w:p>
            <w:pPr>
              <w:spacing w:line="288" w:lineRule="auto" w:before="20" w:after="20"/>
              <w:jc w:val="center"/>
            </w:pPr>
            <w:r/>
            <w:r>
              <w:rPr>
                <w:rFonts w:ascii="Times New Roman" w:hAnsi="Times New Roman" w:eastAsia="HY신명조"/>
                <w:b/>
                <w:sz w:val="19"/>
              </w:rPr>
              <w:t>Severity</w:t>
            </w:r>
          </w:p>
        </w:tc>
        <w:tc>
          <w:tcPr>
            <w:tcW w:type="dxa" w:w="1701"/>
          </w:tcPr>
          <w:p>
            <w:pPr>
              <w:spacing w:line="288" w:lineRule="auto" w:before="20" w:after="20"/>
              <w:jc w:val="center"/>
            </w:pPr>
            <w:r/>
            <w:r>
              <w:rPr>
                <w:rFonts w:ascii="Times New Roman" w:hAnsi="Times New Roman" w:eastAsia="HY신명조"/>
                <w:b/>
                <w:sz w:val="19"/>
              </w:rPr>
              <w:t>n</w:t>
            </w:r>
          </w:p>
        </w:tc>
        <w:tc>
          <w:tcPr>
            <w:tcW w:type="dxa" w:w="1701"/>
          </w:tcPr>
          <w:p>
            <w:pPr>
              <w:spacing w:line="288" w:lineRule="auto" w:before="20" w:after="20"/>
              <w:jc w:val="center"/>
            </w:pPr>
            <w:r/>
            <w:r>
              <w:rPr>
                <w:rFonts w:ascii="Times New Roman" w:hAnsi="Times New Roman" w:eastAsia="HY신명조"/>
                <w:b/>
                <w:sz w:val="19"/>
              </w:rPr>
              <w:t>Detection rate</w:t>
            </w:r>
          </w:p>
        </w:tc>
        <w:tc>
          <w:tcPr>
            <w:tcW w:type="dxa" w:w="1701"/>
          </w:tcPr>
          <w:p>
            <w:pPr>
              <w:spacing w:line="288" w:lineRule="auto" w:before="20" w:after="20"/>
              <w:jc w:val="center"/>
            </w:pPr>
            <w:r/>
            <w:r>
              <w:rPr>
                <w:rFonts w:ascii="Times New Roman" w:hAnsi="Times New Roman" w:eastAsia="HY신명조"/>
                <w:b/>
                <w:sz w:val="19"/>
              </w:rPr>
              <w:t>Median detection latency (s)</w:t>
            </w:r>
          </w:p>
        </w:tc>
      </w:tr>
      <w:tr>
        <w:trPr>
          <w:cantSplit/>
        </w:trPr>
        <w:tc>
          <w:tcPr>
            <w:tcW w:type="dxa" w:w="1701"/>
          </w:tcPr>
          <w:p>
            <w:pPr>
              <w:spacing w:line="288" w:lineRule="auto" w:before="20" w:after="20"/>
              <w:jc w:val="left"/>
            </w:pPr>
            <w:r/>
            <w:r>
              <w:rPr>
                <w:rFonts w:ascii="Times New Roman" w:hAnsi="Times New Roman" w:eastAsia="HY신명조"/>
                <w:b w:val="0"/>
                <w:sz w:val="19"/>
              </w:rPr>
              <w:t>cf camera death</w:t>
            </w:r>
          </w:p>
        </w:tc>
        <w:tc>
          <w:tcPr>
            <w:tcW w:type="dxa" w:w="1701"/>
          </w:tcPr>
          <w:p>
            <w:pPr>
              <w:spacing w:line="288" w:lineRule="auto" w:before="20" w:after="20"/>
              <w:jc w:val="left"/>
            </w:pPr>
            <w:r/>
            <w:r>
              <w:rPr>
                <w:rFonts w:ascii="Times New Roman" w:hAnsi="Times New Roman" w:eastAsia="HY신명조"/>
                <w:b w:val="0"/>
                <w:sz w:val="19"/>
              </w:rPr>
              <w:t>-</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0.98*</w:t>
            </w:r>
          </w:p>
        </w:tc>
      </w:tr>
      <w:tr>
        <w:trPr>
          <w:cantSplit/>
        </w:trPr>
        <w:tc>
          <w:tcPr>
            <w:tcW w:type="dxa" w:w="1701"/>
          </w:tcPr>
          <w:p>
            <w:pPr>
              <w:spacing w:line="288" w:lineRule="auto" w:before="20" w:after="20"/>
              <w:jc w:val="left"/>
            </w:pPr>
            <w:r/>
            <w:r>
              <w:rPr>
                <w:rFonts w:ascii="Times New Roman" w:hAnsi="Times New Roman" w:eastAsia="HY신명조"/>
                <w:b w:val="0"/>
                <w:sz w:val="19"/>
              </w:rPr>
              <w:t>cn camera noise</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3.2</w:t>
            </w:r>
          </w:p>
        </w:tc>
      </w:tr>
      <w:tr>
        <w:trPr>
          <w:cantSplit/>
        </w:trPr>
        <w:tc>
          <w:tcPr>
            <w:tcW w:type="dxa" w:w="1701"/>
          </w:tcPr>
          <w:p>
            <w:pPr>
              <w:spacing w:line="288" w:lineRule="auto" w:before="20" w:after="20"/>
              <w:jc w:val="left"/>
            </w:pPr>
            <w:r/>
            <w:r>
              <w:rPr>
                <w:rFonts w:ascii="Times New Roman" w:hAnsi="Times New Roman" w:eastAsia="HY신명조"/>
                <w:b w:val="0"/>
                <w:sz w:val="19"/>
              </w:rPr>
              <w:t>cn camera noise</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0.98</w:t>
            </w:r>
          </w:p>
        </w:tc>
        <w:tc>
          <w:tcPr>
            <w:tcW w:type="dxa" w:w="1701"/>
          </w:tcPr>
          <w:p>
            <w:pPr>
              <w:spacing w:line="288" w:lineRule="auto" w:before="20" w:after="20"/>
              <w:jc w:val="left"/>
            </w:pPr>
            <w:r/>
            <w:r>
              <w:rPr>
                <w:rFonts w:ascii="Times New Roman" w:hAnsi="Times New Roman" w:eastAsia="HY신명조"/>
                <w:b w:val="0"/>
                <w:sz w:val="19"/>
              </w:rPr>
              <w:t>3.3</w:t>
            </w:r>
          </w:p>
        </w:tc>
      </w:tr>
      <w:tr>
        <w:trPr>
          <w:cantSplit/>
        </w:trPr>
        <w:tc>
          <w:tcPr>
            <w:tcW w:type="dxa" w:w="1701"/>
          </w:tcPr>
          <w:p>
            <w:pPr>
              <w:spacing w:line="288" w:lineRule="auto" w:before="20" w:after="20"/>
              <w:jc w:val="left"/>
            </w:pPr>
            <w:r/>
            <w:r>
              <w:rPr>
                <w:rFonts w:ascii="Times New Roman" w:hAnsi="Times New Roman" w:eastAsia="HY신명조"/>
                <w:b w:val="0"/>
                <w:sz w:val="19"/>
              </w:rPr>
              <w:t>gn GNSS position noise</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4.4</w:t>
            </w:r>
          </w:p>
        </w:tc>
      </w:tr>
      <w:tr>
        <w:trPr>
          <w:cantSplit/>
        </w:trPr>
        <w:tc>
          <w:tcPr>
            <w:tcW w:type="dxa" w:w="1701"/>
          </w:tcPr>
          <w:p>
            <w:pPr>
              <w:spacing w:line="288" w:lineRule="auto" w:before="20" w:after="20"/>
              <w:jc w:val="left"/>
            </w:pPr>
            <w:r/>
            <w:r>
              <w:rPr>
                <w:rFonts w:ascii="Times New Roman" w:hAnsi="Times New Roman" w:eastAsia="HY신명조"/>
                <w:b w:val="0"/>
                <w:sz w:val="19"/>
              </w:rPr>
              <w:t>gn GNSS position noise</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2.1</w:t>
            </w:r>
          </w:p>
        </w:tc>
      </w:tr>
      <w:tr>
        <w:trPr>
          <w:cantSplit/>
        </w:trPr>
        <w:tc>
          <w:tcPr>
            <w:tcW w:type="dxa" w:w="1701"/>
          </w:tcPr>
          <w:p>
            <w:pPr>
              <w:spacing w:line="288" w:lineRule="auto" w:before="20" w:after="20"/>
              <w:jc w:val="left"/>
            </w:pPr>
            <w:r/>
            <w:r>
              <w:rPr>
                <w:rFonts w:ascii="Times New Roman" w:hAnsi="Times New Roman" w:eastAsia="HY신명조"/>
                <w:b w:val="0"/>
                <w:sz w:val="19"/>
              </w:rPr>
              <w:t>imn IMU gyro noise</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0.98</w:t>
            </w:r>
          </w:p>
        </w:tc>
        <w:tc>
          <w:tcPr>
            <w:tcW w:type="dxa" w:w="1701"/>
          </w:tcPr>
          <w:p>
            <w:pPr>
              <w:spacing w:line="288" w:lineRule="auto" w:before="20" w:after="20"/>
              <w:jc w:val="left"/>
            </w:pPr>
            <w:r/>
            <w:r>
              <w:rPr>
                <w:rFonts w:ascii="Times New Roman" w:hAnsi="Times New Roman" w:eastAsia="HY신명조"/>
                <w:b w:val="0"/>
                <w:sz w:val="19"/>
              </w:rPr>
              <w:t>3.7</w:t>
            </w:r>
          </w:p>
        </w:tc>
      </w:tr>
      <w:tr>
        <w:trPr>
          <w:cantSplit/>
        </w:trPr>
        <w:tc>
          <w:tcPr>
            <w:tcW w:type="dxa" w:w="1701"/>
          </w:tcPr>
          <w:p>
            <w:pPr>
              <w:spacing w:line="288" w:lineRule="auto" w:before="20" w:after="20"/>
              <w:jc w:val="left"/>
            </w:pPr>
            <w:r/>
            <w:r>
              <w:rPr>
                <w:rFonts w:ascii="Times New Roman" w:hAnsi="Times New Roman" w:eastAsia="HY신명조"/>
                <w:b w:val="0"/>
                <w:sz w:val="19"/>
              </w:rPr>
              <w:t>imn IMU gyro noise</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4.8</w:t>
            </w:r>
          </w:p>
        </w:tc>
      </w:tr>
      <w:tr>
        <w:trPr>
          <w:cantSplit/>
        </w:trPr>
        <w:tc>
          <w:tcPr>
            <w:tcW w:type="dxa" w:w="1701"/>
          </w:tcPr>
          <w:p>
            <w:pPr>
              <w:spacing w:line="288" w:lineRule="auto" w:before="20" w:after="20"/>
              <w:jc w:val="left"/>
            </w:pPr>
            <w:r/>
            <w:r>
              <w:rPr>
                <w:rFonts w:ascii="Times New Roman" w:hAnsi="Times New Roman" w:eastAsia="HY신명조"/>
                <w:b w:val="0"/>
                <w:sz w:val="19"/>
              </w:rPr>
              <w:t>lcl LiDAR clutter</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26</w:t>
            </w:r>
          </w:p>
        </w:tc>
        <w:tc>
          <w:tcPr>
            <w:tcW w:type="dxa" w:w="1701"/>
          </w:tcPr>
          <w:p>
            <w:pPr>
              <w:spacing w:line="288" w:lineRule="auto" w:before="20" w:after="20"/>
              <w:jc w:val="left"/>
            </w:pPr>
            <w:r/>
            <w:r>
              <w:rPr>
                <w:rFonts w:ascii="Times New Roman" w:hAnsi="Times New Roman" w:eastAsia="HY신명조"/>
                <w:b w:val="0"/>
                <w:sz w:val="19"/>
              </w:rPr>
              <w:t>0.96</w:t>
            </w:r>
          </w:p>
        </w:tc>
        <w:tc>
          <w:tcPr>
            <w:tcW w:type="dxa" w:w="1701"/>
          </w:tcPr>
          <w:p>
            <w:pPr>
              <w:spacing w:line="288" w:lineRule="auto" w:before="20" w:after="20"/>
              <w:jc w:val="left"/>
            </w:pPr>
            <w:r/>
            <w:r>
              <w:rPr>
                <w:rFonts w:ascii="Times New Roman" w:hAnsi="Times New Roman" w:eastAsia="HY신명조"/>
                <w:b w:val="0"/>
                <w:sz w:val="19"/>
              </w:rPr>
              <w:t>4.5</w:t>
            </w:r>
          </w:p>
        </w:tc>
      </w:tr>
      <w:tr>
        <w:trPr>
          <w:cantSplit/>
        </w:trPr>
        <w:tc>
          <w:tcPr>
            <w:tcW w:type="dxa" w:w="1701"/>
          </w:tcPr>
          <w:p>
            <w:pPr>
              <w:spacing w:line="288" w:lineRule="auto" w:before="20" w:after="20"/>
              <w:jc w:val="left"/>
            </w:pPr>
            <w:r/>
            <w:r>
              <w:rPr>
                <w:rFonts w:ascii="Times New Roman" w:hAnsi="Times New Roman" w:eastAsia="HY신명조"/>
                <w:b w:val="0"/>
                <w:sz w:val="19"/>
              </w:rPr>
              <w:t>lcl LiDAR clutter</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4.8</w:t>
            </w:r>
          </w:p>
        </w:tc>
      </w:tr>
      <w:tr>
        <w:trPr>
          <w:cantSplit/>
        </w:trPr>
        <w:tc>
          <w:tcPr>
            <w:tcW w:type="dxa" w:w="1701"/>
          </w:tcPr>
          <w:p>
            <w:pPr>
              <w:spacing w:line="288" w:lineRule="auto" w:before="20" w:after="20"/>
              <w:jc w:val="left"/>
            </w:pPr>
            <w:r/>
            <w:r>
              <w:rPr>
                <w:rFonts w:ascii="Times New Roman" w:hAnsi="Times New Roman" w:eastAsia="HY신명조"/>
                <w:b w:val="0"/>
                <w:sz w:val="19"/>
              </w:rPr>
              <w:t>lf LiDAR death</w:t>
            </w:r>
          </w:p>
        </w:tc>
        <w:tc>
          <w:tcPr>
            <w:tcW w:type="dxa" w:w="1701"/>
          </w:tcPr>
          <w:p>
            <w:pPr>
              <w:spacing w:line="288" w:lineRule="auto" w:before="20" w:after="20"/>
              <w:jc w:val="left"/>
            </w:pPr>
            <w:r/>
            <w:r>
              <w:rPr>
                <w:rFonts w:ascii="Times New Roman" w:hAnsi="Times New Roman" w:eastAsia="HY신명조"/>
                <w:b w:val="0"/>
                <w:sz w:val="19"/>
              </w:rPr>
              <w:t>-</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1.00*</w:t>
            </w:r>
          </w:p>
        </w:tc>
      </w:tr>
      <w:tr>
        <w:trPr>
          <w:cantSplit/>
        </w:trPr>
        <w:tc>
          <w:tcPr>
            <w:tcW w:type="dxa" w:w="1701"/>
          </w:tcPr>
          <w:p>
            <w:pPr>
              <w:spacing w:line="288" w:lineRule="auto" w:before="20" w:after="20"/>
              <w:jc w:val="left"/>
            </w:pPr>
            <w:r/>
            <w:r>
              <w:rPr>
                <w:rFonts w:ascii="Times New Roman" w:hAnsi="Times New Roman" w:eastAsia="HY신명조"/>
                <w:b w:val="0"/>
                <w:sz w:val="19"/>
              </w:rPr>
              <w:t>lso LiDAR sparsification</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0.98</w:t>
            </w:r>
          </w:p>
        </w:tc>
        <w:tc>
          <w:tcPr>
            <w:tcW w:type="dxa" w:w="1701"/>
          </w:tcPr>
          <w:p>
            <w:pPr>
              <w:spacing w:line="288" w:lineRule="auto" w:before="20" w:after="20"/>
              <w:jc w:val="left"/>
            </w:pPr>
            <w:r/>
            <w:r>
              <w:rPr>
                <w:rFonts w:ascii="Times New Roman" w:hAnsi="Times New Roman" w:eastAsia="HY신명조"/>
                <w:b w:val="0"/>
                <w:sz w:val="19"/>
              </w:rPr>
              <w:t>5.0</w:t>
            </w:r>
          </w:p>
        </w:tc>
      </w:tr>
      <w:tr>
        <w:trPr>
          <w:cantSplit/>
        </w:trPr>
        <w:tc>
          <w:tcPr>
            <w:tcW w:type="dxa" w:w="1701"/>
          </w:tcPr>
          <w:p>
            <w:pPr>
              <w:spacing w:line="288" w:lineRule="auto" w:before="20" w:after="20"/>
              <w:jc w:val="left"/>
            </w:pPr>
            <w:r/>
            <w:r>
              <w:rPr>
                <w:rFonts w:ascii="Times New Roman" w:hAnsi="Times New Roman" w:eastAsia="HY신명조"/>
                <w:b w:val="0"/>
                <w:sz w:val="19"/>
              </w:rPr>
              <w:t>lso LiDAR sparsification</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0.02</w:t>
            </w:r>
          </w:p>
        </w:tc>
        <w:tc>
          <w:tcPr>
            <w:tcW w:type="dxa" w:w="1701"/>
          </w:tcPr>
          <w:p>
            <w:pPr>
              <w:spacing w:line="288" w:lineRule="auto" w:before="20" w:after="20"/>
              <w:jc w:val="left"/>
            </w:pPr>
            <w:r/>
            <w:r>
              <w:rPr>
                <w:rFonts w:ascii="Times New Roman" w:hAnsi="Times New Roman" w:eastAsia="HY신명조"/>
                <w:b w:val="0"/>
                <w:sz w:val="19"/>
              </w:rPr>
              <w:t>- (tolerated band; deliberate non-intervention)</w:t>
            </w:r>
          </w:p>
        </w:tc>
      </w:tr>
      <w:tr>
        <w:trPr>
          <w:cantSplit/>
        </w:trPr>
        <w:tc>
          <w:tcPr>
            <w:tcW w:type="dxa" w:w="1701"/>
          </w:tcPr>
          <w:p>
            <w:pPr>
              <w:spacing w:line="288" w:lineRule="auto" w:before="20" w:after="20"/>
              <w:jc w:val="left"/>
            </w:pPr>
            <w:r/>
            <w:r>
              <w:rPr>
                <w:rFonts w:ascii="Times New Roman" w:hAnsi="Times New Roman" w:eastAsia="HY신명조"/>
                <w:b w:val="0"/>
                <w:sz w:val="19"/>
              </w:rPr>
              <w:t>gb† GNSS correlated bias</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2.3</w:t>
            </w:r>
          </w:p>
        </w:tc>
      </w:tr>
      <w:tr>
        <w:trPr>
          <w:cantSplit/>
        </w:trPr>
        <w:tc>
          <w:tcPr>
            <w:tcW w:type="dxa" w:w="1701"/>
          </w:tcPr>
          <w:p>
            <w:pPr>
              <w:spacing w:line="288" w:lineRule="auto" w:before="20" w:after="20"/>
              <w:jc w:val="left"/>
            </w:pPr>
            <w:r/>
            <w:r>
              <w:rPr>
                <w:rFonts w:ascii="Times New Roman" w:hAnsi="Times New Roman" w:eastAsia="HY신명조"/>
                <w:b w:val="0"/>
                <w:sz w:val="19"/>
              </w:rPr>
              <w:t>gb† GNSS correlated bias</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3.0</w:t>
            </w:r>
          </w:p>
        </w:tc>
      </w:tr>
      <w:tr>
        <w:trPr>
          <w:cantSplit/>
        </w:trPr>
        <w:tc>
          <w:tcPr>
            <w:tcW w:type="dxa" w:w="1701"/>
          </w:tcPr>
          <w:p>
            <w:pPr>
              <w:spacing w:line="288" w:lineRule="auto" w:before="20" w:after="20"/>
              <w:jc w:val="left"/>
            </w:pPr>
            <w:r/>
            <w:r>
              <w:rPr>
                <w:rFonts w:ascii="Times New Roman" w:hAnsi="Times New Roman" w:eastAsia="HY신명조"/>
                <w:b w:val="0"/>
                <w:sz w:val="19"/>
              </w:rPr>
              <w:t>gf† GNSS outage</w:t>
            </w:r>
          </w:p>
        </w:tc>
        <w:tc>
          <w:tcPr>
            <w:tcW w:type="dxa" w:w="1701"/>
          </w:tcPr>
          <w:p>
            <w:pPr>
              <w:spacing w:line="288" w:lineRule="auto" w:before="20" w:after="20"/>
              <w:jc w:val="left"/>
            </w:pPr>
            <w:r/>
            <w:r>
              <w:rPr>
                <w:rFonts w:ascii="Times New Roman" w:hAnsi="Times New Roman" w:eastAsia="HY신명조"/>
                <w:b w:val="0"/>
                <w:sz w:val="19"/>
              </w:rPr>
              <w:t>-</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3.2 (while driving; bimodal — see text)</w:t>
            </w:r>
          </w:p>
        </w:tc>
      </w:tr>
      <w:tr>
        <w:trPr>
          <w:cantSplit/>
        </w:trPr>
        <w:tc>
          <w:tcPr>
            <w:tcW w:type="dxa" w:w="1701"/>
          </w:tcPr>
          <w:p>
            <w:pPr>
              <w:spacing w:line="288" w:lineRule="auto" w:before="20" w:after="20"/>
              <w:jc w:val="left"/>
            </w:pPr>
            <w:r/>
            <w:r>
              <w:rPr>
                <w:rFonts w:ascii="Times New Roman" w:hAnsi="Times New Roman" w:eastAsia="HY신명조"/>
                <w:b w:val="0"/>
                <w:sz w:val="19"/>
              </w:rPr>
              <w:t>imb† IMU gyro bias</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3.2</w:t>
            </w:r>
          </w:p>
        </w:tc>
      </w:tr>
      <w:tr>
        <w:trPr>
          <w:cantSplit/>
        </w:trPr>
        <w:tc>
          <w:tcPr>
            <w:tcW w:type="dxa" w:w="1701"/>
          </w:tcPr>
          <w:p>
            <w:pPr>
              <w:spacing w:line="288" w:lineRule="auto" w:before="20" w:after="20"/>
              <w:jc w:val="left"/>
            </w:pPr>
            <w:r/>
            <w:r>
              <w:rPr>
                <w:rFonts w:ascii="Times New Roman" w:hAnsi="Times New Roman" w:eastAsia="HY신명조"/>
                <w:b w:val="0"/>
                <w:sz w:val="19"/>
              </w:rPr>
              <w:t>imb† IMU gyro bias</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43</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3.6</w:t>
            </w:r>
          </w:p>
        </w:tc>
      </w:tr>
      <w:tr>
        <w:trPr>
          <w:cantSplit/>
        </w:trPr>
        <w:tc>
          <w:tcPr>
            <w:tcW w:type="dxa" w:w="1701"/>
          </w:tcPr>
          <w:p>
            <w:pPr>
              <w:spacing w:line="288" w:lineRule="auto" w:before="20" w:after="20"/>
              <w:jc w:val="left"/>
            </w:pPr>
            <w:r/>
            <w:r>
              <w:rPr>
                <w:rFonts w:ascii="Times New Roman" w:hAnsi="Times New Roman" w:eastAsia="HY신명조"/>
                <w:b w:val="0"/>
                <w:sz w:val="19"/>
              </w:rPr>
              <w:t>imd† IMU bias ramp</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44</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5.4</w:t>
            </w:r>
          </w:p>
        </w:tc>
      </w:tr>
      <w:tr>
        <w:trPr>
          <w:cantSplit/>
        </w:trPr>
        <w:tc>
          <w:tcPr>
            <w:tcW w:type="dxa" w:w="1701"/>
          </w:tcPr>
          <w:p>
            <w:pPr>
              <w:spacing w:line="288" w:lineRule="auto" w:before="20" w:after="20"/>
              <w:jc w:val="left"/>
            </w:pPr>
            <w:r/>
            <w:r>
              <w:rPr>
                <w:rFonts w:ascii="Times New Roman" w:hAnsi="Times New Roman" w:eastAsia="HY신명조"/>
                <w:b w:val="0"/>
                <w:sz w:val="19"/>
              </w:rPr>
              <w:t>imd† IMU bias ramp</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43</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8.6</w:t>
            </w:r>
          </w:p>
        </w:tc>
      </w:tr>
    </w:tbl>
    <w:p>
      <w:pPr>
        <w:spacing w:line="312" w:lineRule="auto" w:before="0" w:after="0"/>
      </w:pPr>
      <w:r>
        <w:rPr>
          <w:rFonts w:ascii="Times New Roman" w:hAnsi="Times New Roman" w:eastAsia="HY신명조"/>
          <w:b w:val="0"/>
          <w:sz w:val="19"/>
        </w:rPr>
        <w:t>Zero false activations in the 45 fault-free (nf) control cases (0/45). The "-" for lso-mid indicates that no median latency is reported due to an insufficient detection sample (1/45). †Supplementary campaign (four navigation faults, same matrix structure and identical seed pairing; valid n based on the proposed arm — the baseline arm also achieved 100% detection in all conditions). *Latencies for cf and lf (hard fails) are ledger-based, in simulation time; detailed distributions are reported in Table 5-9, Section 9. Latencies for the other conditions are wall-clock based.</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9" name="Picture 9"/>
            <wp:cNvGraphicFramePr>
              <a:graphicFrameLocks noChangeAspect="1"/>
            </wp:cNvGraphicFramePr>
            <a:graphic>
              <a:graphicData uri="http://schemas.openxmlformats.org/drawingml/2006/picture">
                <pic:pic>
                  <pic:nvPicPr>
                    <pic:cNvPr id="0" name="fig7_latency.png"/>
                    <pic:cNvPicPr/>
                  </pic:nvPicPr>
                  <pic:blipFill>
                    <a:blip r:embed="rId23"/>
                    <a:stretch>
                      <a:fillRect/>
                    </a:stretch>
                  </pic:blipFill>
                  <pic:spPr>
                    <a:xfrm>
                      <a:off x="0" y="0"/>
                      <a:ext cx="4320000" cy="4942641"/>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5-1. </w:t>
      </w:r>
      <w:r>
        <w:rPr>
          <w:rFonts w:ascii="Times New Roman" w:hAnsi="Times New Roman" w:eastAsia="HY신명조"/>
          <w:b w:val="0"/>
          <w:sz w:val="19"/>
        </w:rPr>
        <w:t>Detection latency distributions per fault condition (proposed arm, measured from injection time). The upper panel shows the main campaign and the lower panel the supplementary campaign (navigation extension, Table 5-1 †); camera and LiDAR death (*) are ledger-based simulation-time re-measurements of the hard-fail fast path (Chapter 5, Section 8). Thick horizontal bars are medians, and the right tail of GNSS outage (gf) corresponds to cases injected during a red-light stop and detected after restart. The hard-fail rows (simulation time) and the remaining rows (wall clock) live in different clock domains; absolute latency values must not be compared directly across them.</w:t>
      </w:r>
    </w:p>
    <w:p>
      <w:pPr>
        <w:spacing w:line="501" w:lineRule="exact" w:before="0" w:after="0"/>
      </w:pPr>
    </w:p>
    <w:p>
      <w:pPr>
        <w:spacing w:line="501" w:lineRule="exact" w:before="0" w:after="0"/>
        <w:jc w:val="both"/>
      </w:pPr>
      <w:r>
        <w:rPr>
          <w:rFonts w:ascii="Times New Roman" w:hAnsi="Times New Roman" w:eastAsia="HY신명조"/>
          <w:b w:val="0"/>
          <w:sz w:val="22"/>
        </w:rPr>
        <w:t xml:space="preserve">   Behind the binary detection rates in the table lies a continuous health-score signal (Figure 5-2). What actually feeds the supervisor's state transitions (0.7/0.3) is the perception channel — under LiDAR degradation the localization capability remains intact, so the decision variable of health = min(perception, cap_loc) is perception. This decision variable separates into distinct bands by fault intensity: fault-free runs stay in the normal band and do not drop below the upper threshold of 0.7 after warm-up (measured minimum 0.71 — consistent with zero false activations in the 45 fault-free cases); mid severity stays in the tolerated (normal) band above the threshold (the intended non-intervention of lso-mid rests on this); and high severity departs into a low band below the threshold immediately after fault injection, triggering intervention. This band separation is the basis of the low/mid/high grading and the three-regime state transition (normal/evacuation/deferral). The obstacle channel is dedicated to the MRM movement gate and is not a state-transition trigger channel; its fluctuations below 0.7 (sector-coverage changes in open terrain and during turns) are not triggering events and therefore do not contradict the zero false activations. Note, however, that the health score for the navigation family (gn, imn) is produced not from the /monitor/scores topic but by the localization channels of the monitoring layer (the residual detectors loc_meas/loc_jump, which reside in the supervisor process as an implementation matter), so this observation applies to the LiDAR-degradation channels of /monitor/scores.</w:t>
      </w:r>
    </w:p>
    <w:p>
      <w:pPr>
        <w:keepNext/>
        <w:spacing w:line="240" w:lineRule="auto"/>
        <w:jc w:val="center"/>
      </w:pPr>
      <w:r>
        <w:drawing>
          <wp:inline xmlns:a="http://schemas.openxmlformats.org/drawingml/2006/main" xmlns:pic="http://schemas.openxmlformats.org/drawingml/2006/picture">
            <wp:extent cx="5220000" cy="3132678"/>
            <wp:docPr id="10" name="Picture 10"/>
            <wp:cNvGraphicFramePr>
              <a:graphicFrameLocks noChangeAspect="1"/>
            </wp:cNvGraphicFramePr>
            <a:graphic>
              <a:graphicData uri="http://schemas.openxmlformats.org/drawingml/2006/picture">
                <pic:pic>
                  <pic:nvPicPr>
                    <pic:cNvPr id="0" name="fig12_health.png"/>
                    <pic:cNvPicPr/>
                  </pic:nvPicPr>
                  <pic:blipFill>
                    <a:blip r:embed="rId24"/>
                    <a:stretch>
                      <a:fillRect/>
                    </a:stretch>
                  </pic:blipFill>
                  <pic:spPr>
                    <a:xfrm>
                      <a:off x="0" y="0"/>
                      <a:ext cx="5220000" cy="3132678"/>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5-2. </w:t>
      </w:r>
      <w:r>
        <w:rPr>
          <w:rFonts w:ascii="Times New Roman" w:hAnsi="Times New Roman" w:eastAsia="HY신명조"/>
          <w:b w:val="0"/>
          <w:sz w:val="19"/>
        </w:rPr>
        <w:t>Injection-aligned continuous health traces — (top) the perception capability score that feeds the state transitions (dual thresholds 0.7/0.3) and (bottom) the affected sensor's raw score: (a) LiDAR sparsification (lso), (b) camera pixel noise (cn). Time zero is the fault-injection instant (simulation time of the ledger's FAULT_ACTIVE event); the injection schedule is identical across runs. The shaded band is the P5–P95 range of the fault-free run's settled interval (fault-free runs have no injection anchor, so a range replaces a time-aligned curve). One representative run per condition. lso-mid is tolerated — despite the level drop of the raw score, capability never crosses the upper threshold, and the run continues to route completion — whereas lso-high and both cn severities cross the threshold and trigger intervention. The navigation family (gn, imn) is out of scope by design — its decision variables come from the localization channels of the monitoring layer (outside the /monitor/scores topic).</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turn next to evacuation behavior. Table 5-2 summarizes the evacuation behavior of the 1,131 valid cases of the main matrix (all combinations: fault-severity × method). For faults that preserve the capability to move, the proposed method performed shoulder evacuation while the baseline came to an in-lane stop in every case — the baseline's zero evacuations are not failures but the definitional consequence of its in-lane stop policy by design. Under camera death (cf), the proposed method completed shoulder evacuation in 16 of 45 cases; the remaining 29 comprise 27 stop deferrals (MRM_DEFER) in which no evacuation was attempted and 2 incompletions during the evacuation maneuver — deferral is not a system failure but the supervisor's intended policy choice that "moving in this state is dangerous," and the actual maneuver incompletions being the 2 cases above. One factor lowering the evacuation completion rate is the reduction of candidates due to the intended conservatism of the traffic-light observability gate. For camera noise (cn), 25 of 90 cases reached the shoulder.</w:t>
      </w:r>
    </w:p>
    <w:p>
      <w:pPr>
        <w:keepNext/>
        <w:spacing w:line="312" w:lineRule="auto" w:before="40" w:after="0"/>
      </w:pPr>
      <w:r>
        <w:rPr>
          <w:rFonts w:ascii="Times New Roman" w:hAnsi="Times New Roman" w:eastAsia="HY신명조"/>
          <w:b/>
          <w:sz w:val="19"/>
        </w:rPr>
        <w:t xml:space="preserve">Table 5-2. </w:t>
      </w:r>
      <w:r>
        <w:rPr>
          <w:rFonts w:ascii="Times New Roman" w:hAnsi="Times New Roman" w:eastAsia="HY신명조"/>
          <w:b w:val="0"/>
          <w:sz w:val="19"/>
        </w:rPr>
        <w:t>Summary of evacuation behavior in the main campaign (proposed method)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9"/>
              </w:rPr>
              <w:t>Fault</w:t>
            </w:r>
          </w:p>
        </w:tc>
        <w:tc>
          <w:tcPr>
            <w:tcW w:type="dxa" w:w="2126"/>
          </w:tcPr>
          <w:p>
            <w:pPr>
              <w:keepNext/>
              <w:spacing w:line="288" w:lineRule="auto" w:before="20" w:after="20"/>
              <w:jc w:val="center"/>
            </w:pPr>
            <w:r/>
            <w:r>
              <w:rPr>
                <w:rFonts w:ascii="Times New Roman" w:hAnsi="Times New Roman" w:eastAsia="HY신명조"/>
                <w:b/>
                <w:sz w:val="19"/>
              </w:rPr>
              <w:t>Cases</w:t>
            </w:r>
          </w:p>
        </w:tc>
        <w:tc>
          <w:tcPr>
            <w:tcW w:type="dxa" w:w="2126"/>
          </w:tcPr>
          <w:p>
            <w:pPr>
              <w:keepNext/>
              <w:spacing w:line="288" w:lineRule="auto" w:before="20" w:after="20"/>
              <w:jc w:val="center"/>
            </w:pPr>
            <w:r/>
            <w:r>
              <w:rPr>
                <w:rFonts w:ascii="Times New Roman" w:hAnsi="Times New Roman" w:eastAsia="HY신명조"/>
                <w:b/>
                <w:sz w:val="19"/>
              </w:rPr>
              <w:t>Shoulder/parking reached</w:t>
            </w:r>
          </w:p>
        </w:tc>
        <w:tc>
          <w:tcPr>
            <w:tcW w:type="dxa" w:w="2126"/>
          </w:tcPr>
          <w:p>
            <w:pPr>
              <w:keepNext/>
              <w:spacing w:line="288" w:lineRule="auto" w:before="20" w:after="20"/>
              <w:jc w:val="center"/>
            </w:pPr>
            <w:r/>
            <w:r>
              <w:rPr>
                <w:rFonts w:ascii="Times New Roman" w:hAnsi="Times New Roman" w:eastAsia="HY신명조"/>
                <w:b/>
                <w:sz w:val="19"/>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cf camera death</w:t>
            </w:r>
          </w:p>
        </w:tc>
        <w:tc>
          <w:tcPr>
            <w:tcW w:type="dxa" w:w="2126"/>
          </w:tcPr>
          <w:p>
            <w:pPr>
              <w:keepNext/>
              <w:spacing w:line="288" w:lineRule="auto" w:before="20" w:after="20"/>
              <w:jc w:val="left"/>
            </w:pPr>
            <w:r/>
            <w:r>
              <w:rPr>
                <w:rFonts w:ascii="Times New Roman" w:hAnsi="Times New Roman" w:eastAsia="HY신명조"/>
                <w:b w:val="0"/>
                <w:sz w:val="19"/>
              </w:rPr>
              <w:t>45</w:t>
            </w:r>
          </w:p>
        </w:tc>
        <w:tc>
          <w:tcPr>
            <w:tcW w:type="dxa" w:w="2126"/>
          </w:tcPr>
          <w:p>
            <w:pPr>
              <w:keepNext/>
              <w:spacing w:line="288" w:lineRule="auto" w:before="20" w:after="20"/>
              <w:jc w:val="left"/>
            </w:pPr>
            <w:r/>
            <w:r>
              <w:rPr>
                <w:rFonts w:ascii="Times New Roman" w:hAnsi="Times New Roman" w:eastAsia="HY신명조"/>
                <w:b w:val="0"/>
                <w:sz w:val="19"/>
              </w:rPr>
              <w:t>Shoulder 16</w:t>
            </w:r>
          </w:p>
        </w:tc>
        <w:tc>
          <w:tcPr>
            <w:tcW w:type="dxa" w:w="2126"/>
          </w:tcPr>
          <w:p>
            <w:pPr>
              <w:keepNext/>
              <w:spacing w:line="288" w:lineRule="auto" w:before="20" w:after="20"/>
              <w:jc w:val="left"/>
            </w:pPr>
            <w:r/>
            <w:r>
              <w:rPr>
                <w:rFonts w:ascii="Times New Roman" w:hAnsi="Times New Roman" w:eastAsia="HY신명조"/>
                <w:b w:val="0"/>
                <w:sz w:val="19"/>
              </w:rPr>
              <w:t>baseline: in-lane stop in all cases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cn camera noise</w:t>
            </w:r>
          </w:p>
        </w:tc>
        <w:tc>
          <w:tcPr>
            <w:tcW w:type="dxa" w:w="2126"/>
          </w:tcPr>
          <w:p>
            <w:pPr>
              <w:keepNext/>
              <w:spacing w:line="288" w:lineRule="auto" w:before="20" w:after="20"/>
              <w:jc w:val="left"/>
            </w:pPr>
            <w:r/>
            <w:r>
              <w:rPr>
                <w:rFonts w:ascii="Times New Roman" w:hAnsi="Times New Roman" w:eastAsia="HY신명조"/>
                <w:b w:val="0"/>
                <w:sz w:val="19"/>
              </w:rPr>
              <w:t>90</w:t>
            </w:r>
          </w:p>
        </w:tc>
        <w:tc>
          <w:tcPr>
            <w:tcW w:type="dxa" w:w="2126"/>
          </w:tcPr>
          <w:p>
            <w:pPr>
              <w:keepNext/>
              <w:spacing w:line="288" w:lineRule="auto" w:before="20" w:after="20"/>
              <w:jc w:val="left"/>
            </w:pPr>
            <w:r/>
            <w:r>
              <w:rPr>
                <w:rFonts w:ascii="Times New Roman" w:hAnsi="Times New Roman" w:eastAsia="HY신명조"/>
                <w:b w:val="0"/>
                <w:sz w:val="19"/>
              </w:rPr>
              <w:t>Shoulder 25</w:t>
            </w:r>
          </w:p>
        </w:tc>
        <w:tc>
          <w:tcPr>
            <w:tcW w:type="dxa" w:w="2126"/>
          </w:tcPr>
          <w:p>
            <w:pPr>
              <w:keepNext/>
              <w:spacing w:line="288" w:lineRule="auto" w:before="20" w:after="20"/>
              <w:jc w:val="left"/>
            </w:pPr>
            <w:r/>
            <w:r>
              <w:rPr>
                <w:rFonts w:ascii="Times New Roman" w:hAnsi="Times New Roman" w:eastAsia="HY신명조"/>
                <w:b w:val="0"/>
                <w:sz w:val="19"/>
              </w:rPr>
            </w:r>
          </w:p>
        </w:tc>
      </w:tr>
      <w:tr>
        <w:trPr>
          <w:cantSplit/>
        </w:trPr>
        <w:tc>
          <w:tcPr>
            <w:tcW w:type="dxa" w:w="2126"/>
          </w:tcPr>
          <w:p>
            <w:pPr>
              <w:keepNext/>
              <w:spacing w:line="288" w:lineRule="auto" w:before="20" w:after="20"/>
              <w:jc w:val="left"/>
            </w:pPr>
            <w:r/>
            <w:r>
              <w:rPr>
                <w:rFonts w:ascii="Times New Roman" w:hAnsi="Times New Roman" w:eastAsia="HY신명조"/>
                <w:b w:val="0"/>
                <w:sz w:val="19"/>
              </w:rPr>
              <w:t>gn GNSS position noise</w:t>
            </w:r>
          </w:p>
        </w:tc>
        <w:tc>
          <w:tcPr>
            <w:tcW w:type="dxa" w:w="2126"/>
          </w:tcPr>
          <w:p>
            <w:pPr>
              <w:keepNext/>
              <w:spacing w:line="288" w:lineRule="auto" w:before="20" w:after="20"/>
              <w:jc w:val="left"/>
            </w:pPr>
            <w:r/>
            <w:r>
              <w:rPr>
                <w:rFonts w:ascii="Times New Roman" w:hAnsi="Times New Roman" w:eastAsia="HY신명조"/>
                <w:b w:val="0"/>
                <w:sz w:val="19"/>
              </w:rPr>
              <w:t>90</w:t>
            </w:r>
          </w:p>
        </w:tc>
        <w:tc>
          <w:tcPr>
            <w:tcW w:type="dxa" w:w="2126"/>
          </w:tcPr>
          <w:p>
            <w:pPr>
              <w:keepNext/>
              <w:spacing w:line="288" w:lineRule="auto" w:before="20" w:after="20"/>
              <w:jc w:val="left"/>
            </w:pPr>
            <w:r/>
            <w:r>
              <w:rPr>
                <w:rFonts w:ascii="Times New Roman" w:hAnsi="Times New Roman" w:eastAsia="HY신명조"/>
                <w:b w:val="0"/>
                <w:sz w:val="19"/>
              </w:rPr>
              <w:t>Shoulder 41 + parking 1</w:t>
            </w:r>
          </w:p>
        </w:tc>
        <w:tc>
          <w:tcPr>
            <w:tcW w:type="dxa" w:w="2126"/>
          </w:tcPr>
          <w:p>
            <w:pPr>
              <w:keepNext/>
              <w:spacing w:line="288" w:lineRule="auto" w:before="20" w:after="20"/>
              <w:jc w:val="left"/>
            </w:pPr>
            <w:r/>
            <w:r>
              <w:rPr>
                <w:rFonts w:ascii="Times New Roman" w:hAnsi="Times New Roman" w:eastAsia="HY신명조"/>
                <w:b w:val="0"/>
                <w:sz w:val="19"/>
              </w:rPr>
              <w:t>Severity determines behavior (see text)</w:t>
            </w:r>
          </w:p>
        </w:tc>
      </w:tr>
      <w:tr>
        <w:trPr>
          <w:cantSplit/>
        </w:trPr>
        <w:tc>
          <w:tcPr>
            <w:tcW w:type="dxa" w:w="2126"/>
          </w:tcPr>
          <w:p>
            <w:pPr>
              <w:spacing w:line="288" w:lineRule="auto" w:before="20" w:after="20"/>
              <w:jc w:val="left"/>
            </w:pPr>
            <w:r/>
            <w:r>
              <w:rPr>
                <w:rFonts w:ascii="Times New Roman" w:hAnsi="Times New Roman" w:eastAsia="HY신명조"/>
                <w:b w:val="0"/>
                <w:sz w:val="19"/>
              </w:rPr>
              <w:t>lso-mid LiDAR sparsification (mid)</w:t>
            </w:r>
          </w:p>
        </w:tc>
        <w:tc>
          <w:tcPr>
            <w:tcW w:type="dxa" w:w="2126"/>
          </w:tcPr>
          <w:p>
            <w:pPr>
              <w:spacing w:line="288" w:lineRule="auto" w:before="20" w:after="20"/>
              <w:jc w:val="left"/>
            </w:pPr>
            <w:r/>
            <w:r>
              <w:rPr>
                <w:rFonts w:ascii="Times New Roman" w:hAnsi="Times New Roman" w:eastAsia="HY신명조"/>
                <w:b w:val="0"/>
                <w:sz w:val="19"/>
              </w:rPr>
              <w:t>-</w:t>
            </w:r>
          </w:p>
        </w:tc>
        <w:tc>
          <w:tcPr>
            <w:tcW w:type="dxa" w:w="2126"/>
          </w:tcPr>
          <w:p>
            <w:pPr>
              <w:spacing w:line="288" w:lineRule="auto" w:before="20" w:after="20"/>
              <w:jc w:val="left"/>
            </w:pPr>
            <w:r/>
            <w:r>
              <w:rPr>
                <w:rFonts w:ascii="Times New Roman" w:hAnsi="Times New Roman" w:eastAsia="HY신명조"/>
                <w:b w:val="0"/>
                <w:sz w:val="19"/>
              </w:rPr>
              <w:t>Deliberate continued driving</w:t>
            </w:r>
          </w:p>
        </w:tc>
        <w:tc>
          <w:tcPr>
            <w:tcW w:type="dxa" w:w="2126"/>
          </w:tcPr>
          <w:p>
            <w:pPr>
              <w:spacing w:line="288" w:lineRule="auto" w:before="20" w:after="20"/>
              <w:jc w:val="left"/>
            </w:pPr>
            <w:r/>
            <w:r>
              <w:rPr>
                <w:rFonts w:ascii="Times New Roman" w:hAnsi="Times New Roman" w:eastAsia="HY신명조"/>
                <w:b w:val="0"/>
                <w:sz w:val="19"/>
              </w:rPr>
              <w:t>Judged not hazardous; deg_dist 255 m</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The graded response in which severity determines behavior was most pronounced in the navigation family. Mid-severity GNSS position noise (gn-mid) accounted for the bulk of shoulder evacuations with 40 of 45 cases, whereas high severity (gn-high) converged to a comfort stop (deferral) in 42 of 45 cases — a manifestation of the design that abandons movement when localization confidence falls below the minimum required for motion. Conversely, under mid-severity LiDAR sparsification (lso-mid), the supervisor chose to continue driving without intervention because the health score did not enter the hazard band (degraded-state driving distance 255 m) — "response proportional to degree," not "stop at every anomaly." As an honest caveat, the main-matrix cases contain no pedestrian dart-out injections, and the case-level "zero collisions" claim rests on data predating the ledger introduced in Chapter 4, Section 5, so we do not use it as evidence for a safety claim (Chapter 6, Section 6).</w:t>
      </w:r>
    </w:p>
    <w:p>
      <w:pPr>
        <w:spacing w:line="501" w:lineRule="exact" w:before="0" w:after="0"/>
      </w:pPr>
    </w:p>
    <w:p>
      <w:pPr>
        <w:spacing w:line="501" w:lineRule="exact" w:before="0" w:after="0"/>
      </w:pPr>
      <w:r>
        <w:rPr>
          <w:rFonts w:ascii="Times New Roman" w:hAnsi="Times New Roman" w:eastAsia="HY신명조"/>
          <w:b/>
          <w:sz w:val="28"/>
        </w:rPr>
        <w:t>2. Exposure Metric: Degraded-State Driving Distance</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utility of monitoring is shortening the exposure of driving in a degraded state. In the non-intervention (mrm-off) observations, the stock stack effectively completed the route without detecting the injected fault: degraded-state driving distances were 238 m for camera death, 240 m for camera noise, 251 m for GNSS position noise, 264 m for LiDAR sparsification, and 275 m for LiDAR clutter (only under IMU noise did the stack stop on its own, at 71 m). Excluding lso-mid, the deliberate non-intervention case, the degraded-state driving distance in the camera and navigation families was 32–58 m for the proposed method (detection + evacuation) and 9–18 m for detection + in-lane stop; for LiDAR clutter and IMU noise it was 11–12 m and 8–9 m, respectively. In short, without monitoring the exposure is "the entire route," whereas with monitoring the exposure becomes a choice variable of the response strategy — the in-lane stop minimizes exposure at the cost of leaving lane occupancy behind, while evacuation accepts tens of meters of controlled exposure in exchange for the possibility of lane clearance and reaching a safe position. The safety-side cost of this trade-off is quantified by the encounter experiments in Sections 4–6.</w:t>
      </w:r>
    </w:p>
    <w:p>
      <w:pPr>
        <w:spacing w:line="501" w:lineRule="exact" w:before="0" w:after="0"/>
        <w:jc w:val="both"/>
      </w:pPr>
      <w:r>
        <w:rPr>
          <w:rFonts w:ascii="Times New Roman" w:hAnsi="Times New Roman" w:eastAsia="HY신명조"/>
          <w:b w:val="0"/>
          <w:sz w:val="22"/>
        </w:rPr>
        <w:t xml:space="preserve">   Distance-based exposure (deg_dist) is intuitive, but comparisons can be distorted when observation times differ between arms. The complementary metrics are the fixed-horizon exposure E20 of Chapter 4, Section 8 (movement exposure during the 20 s after the encounter) and the lane clearance time T_lat-clear. The structure of the two metrics is clear: the in-lane stop minimizes E20 but leaves T_lat-clear unobserved within the observation horizon (censored), whereas evacuation accepts an intermediate level of E20 and in return clears the driving lane within the observation horizon in about half of the collision-free cases (6/13). Aggregates of the two metrics, computed from the physics-tick records of the ablation study, are reported in Section 5 (Table 5-6).</w:t>
      </w:r>
    </w:p>
    <w:p>
      <w:pPr>
        <w:spacing w:line="501" w:lineRule="exact" w:before="0" w:after="0"/>
      </w:pPr>
    </w:p>
    <w:p>
      <w:pPr>
        <w:spacing w:line="501" w:lineRule="exact" w:before="0" w:after="0"/>
      </w:pPr>
      <w:r>
        <w:rPr>
          <w:rFonts w:ascii="Times New Roman" w:hAnsi="Times New Roman" w:eastAsia="HY신명조"/>
          <w:b/>
          <w:sz w:val="28"/>
        </w:rPr>
        <w:t>3. Distance Ladder: Measuring the Avoidance/Collision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With the fault-free stock stack driving at 4.2 m/s, the results by pedestrian dart-out spawn distance showed a clear staircase: at 14 m and 11 m, all 4/4 per distance were avoided (of each 4, 2 are post-ledger runs adjudicated by the ledger and physics oracle, and the other 2 are pre-ledger runs adjudicated by the runner and video), while at 8, 6, and 5 m all 4/4 at each distance collided (Table 5-3, Figure 5-3). The avoidance/collision boundary thus lies in the 8–11 m interval. This agrees with the stopping-distance model d = vτ + v²/2a (τ≈1.5 s, a≈3.5 m/s²), which predicts d(4.2)=8.8 m, and establishes two things: (i) the choice of 8 m as the dart-out distance in subsequent experiments is a grounded choice of "just below the boundary where avoidance becomes physically impossible," and (ii) the speed→boundary design approximation is self-consistent in the near-boundary regime (same data as its calibration source — not an independent validation; Chapter 3, Section 6), so the effect of the speed cap can be interpreted within the same approximation.</w:t>
      </w:r>
    </w:p>
    <w:p>
      <w:pPr>
        <w:keepNext/>
        <w:spacing w:line="312" w:lineRule="auto" w:before="40" w:after="0"/>
      </w:pPr>
      <w:r>
        <w:rPr>
          <w:rFonts w:ascii="Times New Roman" w:hAnsi="Times New Roman" w:eastAsia="HY신명조"/>
          <w:b/>
          <w:sz w:val="19"/>
        </w:rPr>
        <w:t xml:space="preserve">Table 5-3. </w:t>
      </w:r>
      <w:r>
        <w:rPr>
          <w:rFonts w:ascii="Times New Roman" w:hAnsi="Times New Roman" w:eastAsia="HY신명조"/>
          <w:b w:val="0"/>
          <w:sz w:val="19"/>
        </w:rPr>
        <w:t>Distance ladder results (ledger and video adjudication)</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Times New Roman" w:hAnsi="Times New Roman" w:eastAsia="HY신명조"/>
                <w:b/>
                <w:sz w:val="19"/>
              </w:rPr>
              <w:t>Spawn distance</w:t>
            </w:r>
          </w:p>
        </w:tc>
        <w:tc>
          <w:tcPr>
            <w:tcW w:type="dxa" w:w="2835"/>
          </w:tcPr>
          <w:p>
            <w:pPr>
              <w:keepNext/>
              <w:spacing w:line="288" w:lineRule="auto" w:before="20" w:after="20"/>
              <w:jc w:val="center"/>
            </w:pPr>
            <w:r/>
            <w:r>
              <w:rPr>
                <w:rFonts w:ascii="Times New Roman" w:hAnsi="Times New Roman" w:eastAsia="HY신명조"/>
                <w:b/>
                <w:sz w:val="19"/>
              </w:rPr>
              <w:t>Fault-free stock 4.2 m/s (n=4/distance)</w:t>
            </w:r>
          </w:p>
        </w:tc>
        <w:tc>
          <w:tcPr>
            <w:tcW w:type="dxa" w:w="2835"/>
          </w:tcPr>
          <w:p>
            <w:pPr>
              <w:keepNext/>
              <w:spacing w:line="288" w:lineRule="auto" w:before="20" w:after="20"/>
              <w:jc w:val="center"/>
            </w:pPr>
            <w:r/>
            <w:r>
              <w:rPr>
                <w:rFonts w:ascii="Times New Roman" w:hAnsi="Times New Roman" w:eastAsia="HY신명조"/>
                <w:b/>
                <w:sz w:val="19"/>
              </w:rPr>
              <w:t>Blinded (lso-high) stock</w:t>
            </w:r>
          </w:p>
        </w:tc>
      </w:tr>
      <w:tr>
        <w:trPr>
          <w:cantSplit/>
        </w:trPr>
        <w:tc>
          <w:tcPr>
            <w:tcW w:type="dxa" w:w="2835"/>
          </w:tcPr>
          <w:p>
            <w:pPr>
              <w:keepNext/>
              <w:spacing w:line="288" w:lineRule="auto" w:before="20" w:after="20"/>
              <w:jc w:val="left"/>
            </w:pPr>
            <w:r/>
            <w:r>
              <w:rPr>
                <w:rFonts w:ascii="Times New Roman" w:hAnsi="Times New Roman" w:eastAsia="HY신명조"/>
                <w:b w:val="0"/>
                <w:sz w:val="19"/>
              </w:rPr>
              <w:t>14 m</w:t>
            </w:r>
          </w:p>
        </w:tc>
        <w:tc>
          <w:tcPr>
            <w:tcW w:type="dxa" w:w="2835"/>
          </w:tcPr>
          <w:p>
            <w:pPr>
              <w:keepNext/>
              <w:spacing w:line="288" w:lineRule="auto" w:before="20" w:after="20"/>
              <w:jc w:val="left"/>
            </w:pPr>
            <w:r/>
            <w:r>
              <w:rPr>
                <w:rFonts w:ascii="Times New Roman" w:hAnsi="Times New Roman" w:eastAsia="HY신명조"/>
                <w:b w:val="0"/>
                <w:sz w:val="19"/>
              </w:rPr>
              <w:t>Avoided 4/4</w:t>
            </w:r>
          </w:p>
        </w:tc>
        <w:tc>
          <w:tcPr>
            <w:tcW w:type="dxa" w:w="2835"/>
          </w:tcPr>
          <w:p>
            <w:pPr>
              <w:keepNext/>
              <w:spacing w:line="288" w:lineRule="auto" w:before="20" w:after="20"/>
              <w:jc w:val="left"/>
            </w:pPr>
            <w:r/>
            <w:r>
              <w:rPr>
                <w:rFonts w:ascii="Times New Roman" w:hAnsi="Times New Roman" w:eastAsia="HY신명조"/>
                <w:b w:val="0"/>
                <w:sz w:val="19"/>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9"/>
              </w:rPr>
              <w:t>11 m</w:t>
            </w:r>
          </w:p>
        </w:tc>
        <w:tc>
          <w:tcPr>
            <w:tcW w:type="dxa" w:w="2835"/>
          </w:tcPr>
          <w:p>
            <w:pPr>
              <w:keepNext/>
              <w:spacing w:line="288" w:lineRule="auto" w:before="20" w:after="20"/>
              <w:jc w:val="left"/>
            </w:pPr>
            <w:r/>
            <w:r>
              <w:rPr>
                <w:rFonts w:ascii="Times New Roman" w:hAnsi="Times New Roman" w:eastAsia="HY신명조"/>
                <w:b w:val="0"/>
                <w:sz w:val="19"/>
              </w:rPr>
              <w:t>Avoided 4/4</w:t>
            </w:r>
          </w:p>
        </w:tc>
        <w:tc>
          <w:tcPr>
            <w:tcW w:type="dxa" w:w="2835"/>
          </w:tcPr>
          <w:p>
            <w:pPr>
              <w:keepNext/>
              <w:spacing w:line="288" w:lineRule="auto" w:before="20" w:after="20"/>
              <w:jc w:val="left"/>
            </w:pPr>
            <w:r/>
            <w:r>
              <w:rPr>
                <w:rFonts w:ascii="Times New Roman" w:hAnsi="Times New Roman" w:eastAsia="HY신명조"/>
                <w:b w:val="0"/>
                <w:sz w:val="19"/>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9"/>
              </w:rPr>
              <w:t>8 m</w:t>
            </w:r>
          </w:p>
        </w:tc>
        <w:tc>
          <w:tcPr>
            <w:tcW w:type="dxa" w:w="2835"/>
          </w:tcPr>
          <w:p>
            <w:pPr>
              <w:keepNext/>
              <w:spacing w:line="288" w:lineRule="auto" w:before="20" w:after="20"/>
              <w:jc w:val="left"/>
            </w:pPr>
            <w:r/>
            <w:r>
              <w:rPr>
                <w:rFonts w:ascii="Times New Roman" w:hAnsi="Times New Roman" w:eastAsia="HY신명조"/>
                <w:b w:val="0"/>
                <w:sz w:val="19"/>
              </w:rPr>
              <w:t>Collision 4/4</w:t>
            </w:r>
          </w:p>
        </w:tc>
        <w:tc>
          <w:tcPr>
            <w:tcW w:type="dxa" w:w="2835"/>
          </w:tcPr>
          <w:p>
            <w:pPr>
              <w:keepNext/>
              <w:spacing w:line="288" w:lineRule="auto" w:before="20" w:after="20"/>
              <w:jc w:val="left"/>
            </w:pPr>
            <w:r/>
            <w:r>
              <w:rPr>
                <w:rFonts w:ascii="Times New Roman" w:hAnsi="Times New Roman" w:eastAsia="HY신명조"/>
                <w:b w:val="0"/>
                <w:sz w:val="19"/>
              </w:rPr>
              <w:t>Collision</w:t>
            </w:r>
          </w:p>
        </w:tc>
      </w:tr>
      <w:tr>
        <w:trPr>
          <w:cantSplit/>
        </w:trPr>
        <w:tc>
          <w:tcPr>
            <w:tcW w:type="dxa" w:w="2835"/>
          </w:tcPr>
          <w:p>
            <w:pPr>
              <w:keepNext/>
              <w:spacing w:line="288" w:lineRule="auto" w:before="20" w:after="20"/>
              <w:jc w:val="left"/>
            </w:pPr>
            <w:r/>
            <w:r>
              <w:rPr>
                <w:rFonts w:ascii="Times New Roman" w:hAnsi="Times New Roman" w:eastAsia="HY신명조"/>
                <w:b w:val="0"/>
                <w:sz w:val="19"/>
              </w:rPr>
              <w:t>6 m</w:t>
            </w:r>
          </w:p>
        </w:tc>
        <w:tc>
          <w:tcPr>
            <w:tcW w:type="dxa" w:w="2835"/>
          </w:tcPr>
          <w:p>
            <w:pPr>
              <w:keepNext/>
              <w:spacing w:line="288" w:lineRule="auto" w:before="20" w:after="20"/>
              <w:jc w:val="left"/>
            </w:pPr>
            <w:r/>
            <w:r>
              <w:rPr>
                <w:rFonts w:ascii="Times New Roman" w:hAnsi="Times New Roman" w:eastAsia="HY신명조"/>
                <w:b w:val="0"/>
                <w:sz w:val="19"/>
              </w:rPr>
              <w:t>Collision 4/4</w:t>
            </w:r>
          </w:p>
        </w:tc>
        <w:tc>
          <w:tcPr>
            <w:tcW w:type="dxa" w:w="2835"/>
          </w:tcPr>
          <w:p>
            <w:pPr>
              <w:keepNext/>
              <w:spacing w:line="288" w:lineRule="auto" w:before="20" w:after="20"/>
              <w:jc w:val="left"/>
            </w:pPr>
            <w:r/>
            <w:r>
              <w:rPr>
                <w:rFonts w:ascii="Times New Roman" w:hAnsi="Times New Roman" w:eastAsia="HY신명조"/>
                <w:b w:val="0"/>
                <w:sz w:val="19"/>
              </w:rPr>
              <w:t>Collision</w:t>
            </w:r>
          </w:p>
        </w:tc>
      </w:tr>
      <w:tr>
        <w:trPr>
          <w:cantSplit/>
        </w:trPr>
        <w:tc>
          <w:tcPr>
            <w:tcW w:type="dxa" w:w="2835"/>
          </w:tcPr>
          <w:p>
            <w:pPr>
              <w:spacing w:line="288" w:lineRule="auto" w:before="20" w:after="20"/>
              <w:jc w:val="left"/>
            </w:pPr>
            <w:r/>
            <w:r>
              <w:rPr>
                <w:rFonts w:ascii="Times New Roman" w:hAnsi="Times New Roman" w:eastAsia="HY신명조"/>
                <w:b w:val="0"/>
                <w:sz w:val="19"/>
              </w:rPr>
              <w:t>5 m</w:t>
            </w:r>
          </w:p>
        </w:tc>
        <w:tc>
          <w:tcPr>
            <w:tcW w:type="dxa" w:w="2835"/>
          </w:tcPr>
          <w:p>
            <w:pPr>
              <w:spacing w:line="288" w:lineRule="auto" w:before="20" w:after="20"/>
              <w:jc w:val="left"/>
            </w:pPr>
            <w:r/>
            <w:r>
              <w:rPr>
                <w:rFonts w:ascii="Times New Roman" w:hAnsi="Times New Roman" w:eastAsia="HY신명조"/>
                <w:b w:val="0"/>
                <w:sz w:val="19"/>
              </w:rPr>
              <w:t>Collision 4/4</w:t>
            </w:r>
          </w:p>
        </w:tc>
        <w:tc>
          <w:tcPr>
            <w:tcW w:type="dxa" w:w="2835"/>
          </w:tcPr>
          <w:p>
            <w:pPr>
              <w:spacing w:line="288" w:lineRule="auto" w:before="20" w:after="20"/>
              <w:jc w:val="left"/>
            </w:pPr>
            <w:r/>
            <w:r>
              <w:rPr>
                <w:rFonts w:ascii="Times New Roman" w:hAnsi="Times New Roman" w:eastAsia="HY신명조"/>
                <w:b w:val="0"/>
                <w:sz w:val="19"/>
              </w:rPr>
              <w:t>Collision (6/6 total at 8 m and below)</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1" name="Picture 11"/>
            <wp:cNvGraphicFramePr>
              <a:graphicFrameLocks noChangeAspect="1"/>
            </wp:cNvGraphicFramePr>
            <a:graphic>
              <a:graphicData uri="http://schemas.openxmlformats.org/drawingml/2006/picture">
                <pic:pic>
                  <pic:nvPicPr>
                    <pic:cNvPr id="0" name="fig8_stopdist.png"/>
                    <pic:cNvPicPr/>
                  </pic:nvPicPr>
                  <pic:blipFill>
                    <a:blip r:embed="rId25"/>
                    <a:stretch>
                      <a:fillRect/>
                    </a:stretch>
                  </pic:blipFill>
                  <pic:spPr>
                    <a:xfrm>
                      <a:off x="0" y="0"/>
                      <a:ext cx="4140000" cy="3272984"/>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5-3. </w:t>
      </w:r>
      <w:r>
        <w:rPr>
          <w:rFonts w:ascii="Times New Roman" w:hAnsi="Times New Roman" w:eastAsia="HY신명조"/>
          <w:b w:val="0"/>
          <w:sz w:val="19"/>
        </w:rPr>
        <w:t>Stopping-distance model d = vτ + v²/2a (τ=1.5 s, a=3.5 m/s²) and the measured avoidance/collision boundaries from the distance ladder (shaded bands). The measured boundary at 4.2 m/s (8–11 m) matches the model prediction of 8.8 m, and at 3.0 m/s the model is optimistic — the prediction of 5.79 m underestimates the measured boundary of 7–8 m (planner reaction variance), consistent with reading the 3.0 m/s cap as a conservative policy value below the model bound (3.89 m/s). The dashed line marks the dart-out spawn distance of 8 m used in subsequent experiments.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same ladder with the stock stack under complete LiDAR degradation (lso-high) showed a different form of failure. At the 14 and 11 m conditions, a freeze caused by empty point clouds occurred before reaching the encounter point, leaving the vehicle stopped in the middle of the road (4/4), and at 8 m and below every case collided (6/6). In summary, "a blinded vehicle either stands still or strikes" — unmonitored driving in a degraded state resolves into a binary choice between collision and lane blocking, and neither is an MRC.</w:t>
      </w:r>
    </w:p>
    <w:p>
      <w:pPr>
        <w:spacing w:line="501" w:lineRule="exact" w:before="0" w:after="0"/>
      </w:pPr>
    </w:p>
    <w:p>
      <w:pPr>
        <w:spacing w:line="501" w:lineRule="exact" w:before="0" w:after="0"/>
      </w:pPr>
      <w:r>
        <w:rPr>
          <w:rFonts w:ascii="Times New Roman" w:hAnsi="Times New Roman" w:eastAsia="HY신명조"/>
          <w:b/>
          <w:sz w:val="28"/>
        </w:rPr>
        <w:t>4. The 8 m Encounter: Low-Speed MRM versus Stock</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now present the comparison for a pedestrian dart-out 8 m ahead under the GNSS position noise (gn-mid) fault state. Since gn is a navigation fault that corrupts the EKF localization input while the perception sensors (LiDAR, camera) remain intact, all three conditions share the same pedestrian-detection capability, and only the effects of speed and policy are compared. The stock stack (holding 4.2 m/s) collided in all 10 runs (0/10 avoided). In contrast, the condition in which the proposed system was in low-speed settled cruise (nominal 3.0 m/s cap configured; a post-hoc audit found the cap undelivered, the low speed stemming from the restart profile — Section 8 — while encounter speeds are verified by measurement) avoided the pedestrian in all 8 runs and subsequently completed shoulder evacuation (8/8; auxiliary Fisher's exact test p=2.3×10⁻⁵). Because 8 m lies outside the avoidance boundary at 4.2 m/s but not outside the required stopping distance at 3.0 m/s (5.79 m), this outcome is exactly what the physics model of Section 3 predicts. The important finding is the third condition: even the same proposed system collided in both of its runs during the transient immediately after fault detection, while deceleration was still in progress (speed at encounter 3.5–3.8 m/s). That is, the protection of the low-speed MRM is effective only after deceleration completes, and residual risk concentrates in the post-detection transient from detection to reaching the settled speed. This observation is the starting point of the two-regime analysis in Section 6.</w:t>
      </w:r>
    </w:p>
    <w:p>
      <w:pPr>
        <w:spacing w:line="501" w:lineRule="exact" w:before="0" w:after="0"/>
      </w:pPr>
    </w:p>
    <w:p>
      <w:pPr>
        <w:spacing w:line="501" w:lineRule="exact" w:before="0" w:after="0"/>
      </w:pPr>
      <w:r>
        <w:rPr>
          <w:rFonts w:ascii="Times New Roman" w:hAnsi="Times New Roman" w:eastAsia="HY신명조"/>
          <w:b/>
          <w:sz w:val="28"/>
        </w:rPr>
        <w:t>5. Ablation Study: Ablating Non-intervention, Stop, Evacuation, and the Speed Cap</w:t>
      </w:r>
    </w:p>
    <w:p>
      <w:pPr>
        <w:spacing w:line="501" w:lineRule="exact" w:before="0" w:after="0"/>
      </w:pPr>
    </w:p>
    <w:p>
      <w:pPr>
        <w:spacing w:line="501" w:lineRule="exact" w:before="0" w:after="0"/>
        <w:jc w:val="both"/>
      </w:pPr>
      <w:r>
        <w:rPr>
          <w:rFonts w:ascii="Times New Roman" w:hAnsi="Times New Roman" w:eastAsia="HY신명조"/>
          <w:b w:val="0"/>
          <w:sz w:val="22"/>
        </w:rPr>
        <w:t xml:space="preserve">   Table 5-4 shows the results of the same-seed paired four-arm ablation (the first round S02–S11 plus the new-seed extension S12–S21 under the same harness and rules, giving n=20 per arm). In all arms the launch is at detection+3.0 s — the deceleration transient of the evacuation arms.</w:t>
      </w:r>
    </w:p>
    <w:p>
      <w:pPr>
        <w:keepNext/>
        <w:spacing w:line="312" w:lineRule="auto" w:before="40" w:after="0"/>
      </w:pPr>
      <w:r>
        <w:rPr>
          <w:rFonts w:ascii="Times New Roman" w:hAnsi="Times New Roman" w:eastAsia="HY신명조"/>
          <w:b/>
          <w:sz w:val="19"/>
        </w:rPr>
        <w:t xml:space="preserve">Table 5-4. </w:t>
      </w:r>
      <w:r>
        <w:rPr>
          <w:rFonts w:ascii="Times New Roman" w:hAnsi="Times New Roman" w:eastAsia="HY신명조"/>
          <w:b w:val="0"/>
          <w:sz w:val="19"/>
        </w:rPr>
        <w:t>Ablation study results — 8 m dart-out @ detection+3 s (transient), ledger adjudication (n=20 per arm: first round S02–S11 + extension S12–S21)</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9"/>
              </w:rPr>
              <w:t>Arm</w:t>
            </w:r>
          </w:p>
        </w:tc>
        <w:tc>
          <w:tcPr>
            <w:tcW w:type="dxa" w:w="2126"/>
          </w:tcPr>
          <w:p>
            <w:pPr>
              <w:keepNext/>
              <w:spacing w:line="288" w:lineRule="auto" w:before="20" w:after="20"/>
              <w:jc w:val="center"/>
            </w:pPr>
            <w:r/>
            <w:r>
              <w:rPr>
                <w:rFonts w:ascii="Times New Roman" w:hAnsi="Times New Roman" w:eastAsia="HY신명조"/>
                <w:b/>
                <w:sz w:val="19"/>
              </w:rPr>
              <w:t>Collisions</w:t>
            </w:r>
          </w:p>
        </w:tc>
        <w:tc>
          <w:tcPr>
            <w:tcW w:type="dxa" w:w="2126"/>
          </w:tcPr>
          <w:p>
            <w:pPr>
              <w:keepNext/>
              <w:spacing w:line="288" w:lineRule="auto" w:before="20" w:after="20"/>
              <w:jc w:val="center"/>
            </w:pPr>
            <w:r/>
            <w:r>
              <w:rPr>
                <w:rFonts w:ascii="Times New Roman" w:hAnsi="Times New Roman" w:eastAsia="HY신명조"/>
                <w:b/>
                <w:sz w:val="19"/>
              </w:rPr>
              <w:t>Collision rate [Wilson 95% CI]</w:t>
            </w:r>
          </w:p>
        </w:tc>
        <w:tc>
          <w:tcPr>
            <w:tcW w:type="dxa" w:w="2126"/>
          </w:tcPr>
          <w:p>
            <w:pPr>
              <w:keepNext/>
              <w:spacing w:line="288" w:lineRule="auto" w:before="20" w:after="20"/>
              <w:jc w:val="center"/>
            </w:pPr>
            <w:r/>
            <w:r>
              <w:rPr>
                <w:rFonts w:ascii="Times New Roman" w:hAnsi="Times New Roman" w:eastAsia="HY신명조"/>
                <w:b/>
                <w:sz w:val="19"/>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A1 native continuation</w:t>
            </w:r>
          </w:p>
        </w:tc>
        <w:tc>
          <w:tcPr>
            <w:tcW w:type="dxa" w:w="2126"/>
          </w:tcPr>
          <w:p>
            <w:pPr>
              <w:keepNext/>
              <w:spacing w:line="288" w:lineRule="auto" w:before="20" w:after="20"/>
              <w:jc w:val="left"/>
            </w:pPr>
            <w:r/>
            <w:r>
              <w:rPr>
                <w:rFonts w:ascii="Times New Roman" w:hAnsi="Times New Roman" w:eastAsia="HY신명조"/>
                <w:b w:val="0"/>
                <w:sz w:val="19"/>
              </w:rPr>
              <w:t>14/20</w:t>
            </w:r>
          </w:p>
        </w:tc>
        <w:tc>
          <w:tcPr>
            <w:tcW w:type="dxa" w:w="2126"/>
          </w:tcPr>
          <w:p>
            <w:pPr>
              <w:keepNext/>
              <w:spacing w:line="288" w:lineRule="auto" w:before="20" w:after="20"/>
              <w:jc w:val="left"/>
            </w:pPr>
            <w:r/>
            <w:r>
              <w:rPr>
                <w:rFonts w:ascii="Times New Roman" w:hAnsi="Times New Roman" w:eastAsia="HY신명조"/>
                <w:b w:val="0"/>
                <w:sz w:val="19"/>
              </w:rPr>
              <w:t>70% [48.1, 85.5]</w:t>
            </w:r>
          </w:p>
        </w:tc>
        <w:tc>
          <w:tcPr>
            <w:tcW w:type="dxa" w:w="2126"/>
          </w:tcPr>
          <w:p>
            <w:pPr>
              <w:keepNext/>
              <w:spacing w:line="288" w:lineRule="auto" w:before="20" w:after="20"/>
              <w:jc w:val="left"/>
            </w:pPr>
            <w:r/>
            <w:r>
              <w:rPr>
                <w:rFonts w:ascii="Times New Roman" w:hAnsi="Times New Roman" w:eastAsia="HY신명조"/>
                <w:b w:val="0"/>
                <w:sz w:val="19"/>
              </w:rPr>
              <w:t>Maintains 4.2 m/s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A2 detection + in-lane stop</w:t>
            </w:r>
          </w:p>
        </w:tc>
        <w:tc>
          <w:tcPr>
            <w:tcW w:type="dxa" w:w="2126"/>
          </w:tcPr>
          <w:p>
            <w:pPr>
              <w:keepNext/>
              <w:spacing w:line="288" w:lineRule="auto" w:before="20" w:after="20"/>
              <w:jc w:val="left"/>
            </w:pPr>
            <w:r/>
            <w:r>
              <w:rPr>
                <w:rFonts w:ascii="Times New Roman" w:hAnsi="Times New Roman" w:eastAsia="HY신명조"/>
                <w:b w:val="0"/>
                <w:sz w:val="19"/>
              </w:rPr>
              <w:t>0/20</w:t>
            </w:r>
          </w:p>
        </w:tc>
        <w:tc>
          <w:tcPr>
            <w:tcW w:type="dxa" w:w="2126"/>
          </w:tcPr>
          <w:p>
            <w:pPr>
              <w:keepNext/>
              <w:spacing w:line="288" w:lineRule="auto" w:before="20" w:after="20"/>
              <w:jc w:val="left"/>
            </w:pPr>
            <w:r/>
            <w:r>
              <w:rPr>
                <w:rFonts w:ascii="Times New Roman" w:hAnsi="Times New Roman" w:eastAsia="HY신명조"/>
                <w:b w:val="0"/>
                <w:sz w:val="19"/>
              </w:rPr>
              <w:t>0% [0.0, 16.1]</w:t>
            </w:r>
          </w:p>
        </w:tc>
        <w:tc>
          <w:tcPr>
            <w:tcW w:type="dxa" w:w="2126"/>
          </w:tcPr>
          <w:p>
            <w:pPr>
              <w:keepNext/>
              <w:spacing w:line="288" w:lineRule="auto" w:before="20" w:after="20"/>
              <w:jc w:val="left"/>
            </w:pPr>
            <w:r/>
            <w:r>
              <w:rPr>
                <w:rFonts w:ascii="Times New Roman" w:hAnsi="Times New Roman" w:eastAsia="HY신명조"/>
                <w:b w:val="0"/>
                <w:sz w:val="19"/>
              </w:rPr>
              <w:t>Lowest collision rate in this sample (0/20); lane occupancy persists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A3 uncapped evacuation</w:t>
            </w:r>
          </w:p>
        </w:tc>
        <w:tc>
          <w:tcPr>
            <w:tcW w:type="dxa" w:w="2126"/>
          </w:tcPr>
          <w:p>
            <w:pPr>
              <w:keepNext/>
              <w:spacing w:line="288" w:lineRule="auto" w:before="20" w:after="20"/>
              <w:jc w:val="left"/>
            </w:pPr>
            <w:r/>
            <w:r>
              <w:rPr>
                <w:rFonts w:ascii="Times New Roman" w:hAnsi="Times New Roman" w:eastAsia="HY신명조"/>
                <w:b w:val="0"/>
                <w:sz w:val="19"/>
              </w:rPr>
              <w:t>10/20</w:t>
            </w:r>
          </w:p>
        </w:tc>
        <w:tc>
          <w:tcPr>
            <w:tcW w:type="dxa" w:w="2126"/>
          </w:tcPr>
          <w:p>
            <w:pPr>
              <w:keepNext/>
              <w:spacing w:line="288" w:lineRule="auto" w:before="20" w:after="20"/>
              <w:jc w:val="left"/>
            </w:pPr>
            <w:r/>
            <w:r>
              <w:rPr>
                <w:rFonts w:ascii="Times New Roman" w:hAnsi="Times New Roman" w:eastAsia="HY신명조"/>
                <w:b w:val="0"/>
                <w:sz w:val="19"/>
              </w:rPr>
              <w:t>50% [29.9, 70.1]</w:t>
            </w:r>
          </w:p>
        </w:tc>
        <w:tc>
          <w:tcPr>
            <w:tcW w:type="dxa" w:w="2126"/>
          </w:tcPr>
          <w:p>
            <w:pPr>
              <w:keepNext/>
              <w:spacing w:line="288" w:lineRule="auto" w:before="20" w:after="20"/>
              <w:jc w:val="left"/>
            </w:pPr>
            <w:r/>
            <w:r>
              <w:rPr>
                <w:rFonts w:ascii="Times New Roman" w:hAnsi="Times New Roman" w:eastAsia="HY신명조"/>
                <w:b w:val="0"/>
                <w:sz w:val="19"/>
              </w:rPr>
              <w:t>All collisions in the transient</w:t>
            </w:r>
          </w:p>
        </w:tc>
      </w:tr>
      <w:tr>
        <w:trPr>
          <w:cantSplit/>
        </w:trPr>
        <w:tc>
          <w:tcPr>
            <w:tcW w:type="dxa" w:w="2126"/>
          </w:tcPr>
          <w:p>
            <w:pPr>
              <w:spacing w:line="288" w:lineRule="auto" w:before="20" w:after="20"/>
              <w:jc w:val="left"/>
            </w:pPr>
            <w:r/>
            <w:r>
              <w:rPr>
                <w:rFonts w:ascii="Times New Roman" w:hAnsi="Times New Roman" w:eastAsia="HY신명조"/>
                <w:b w:val="0"/>
                <w:sz w:val="19"/>
              </w:rPr>
              <w:t>A4 capped(3.0) evacuation</w:t>
            </w:r>
          </w:p>
        </w:tc>
        <w:tc>
          <w:tcPr>
            <w:tcW w:type="dxa" w:w="2126"/>
          </w:tcPr>
          <w:p>
            <w:pPr>
              <w:spacing w:line="288" w:lineRule="auto" w:before="20" w:after="20"/>
              <w:jc w:val="left"/>
            </w:pPr>
            <w:r/>
            <w:r>
              <w:rPr>
                <w:rFonts w:ascii="Times New Roman" w:hAnsi="Times New Roman" w:eastAsia="HY신명조"/>
                <w:b w:val="0"/>
                <w:sz w:val="19"/>
              </w:rPr>
              <w:t>11/20</w:t>
            </w:r>
          </w:p>
        </w:tc>
        <w:tc>
          <w:tcPr>
            <w:tcW w:type="dxa" w:w="2126"/>
          </w:tcPr>
          <w:p>
            <w:pPr>
              <w:spacing w:line="288" w:lineRule="auto" w:before="20" w:after="20"/>
              <w:jc w:val="left"/>
            </w:pPr>
            <w:r/>
            <w:r>
              <w:rPr>
                <w:rFonts w:ascii="Times New Roman" w:hAnsi="Times New Roman" w:eastAsia="HY신명조"/>
                <w:b w:val="0"/>
                <w:sz w:val="19"/>
              </w:rPr>
              <w:t>55% [34.2, 74.2]</w:t>
            </w:r>
          </w:p>
        </w:tc>
        <w:tc>
          <w:tcPr>
            <w:tcW w:type="dxa" w:w="2126"/>
          </w:tcPr>
          <w:p>
            <w:pPr>
              <w:spacing w:line="288" w:lineRule="auto" w:before="20" w:after="20"/>
              <w:jc w:val="left"/>
            </w:pPr>
            <w:r/>
            <w:r>
              <w:rPr>
                <w:rFonts w:ascii="Times New Roman" w:hAnsi="Times New Roman" w:eastAsia="HY신명조"/>
                <w:b w:val="0"/>
                <w:sz w:val="19"/>
              </w:rPr>
              <w:t>All collisions in the transient</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The per-seed results are disclosed in full in Table 5-5. In the extension round (S12–S21), A1 (7/10) and A2 (0/10) reproduced the first round exactly, demonstrating the reproducibility of the experimental framework, whereas the evacuation arms had more collisions (7/10 each) than in the first round (3–4/10) — the difference between the two rounds is not significant, so we report the pooled estimate (Table 5-4), while stating this explicitly as a case showing that small-sample point estimates can shift as the sample is enlarged. Heterogeneity across seeds is pronounced: S06, S09, S11, S16, and S17 avoided collision in all four arms (lenient encounter geometry), while S05, S07, S08, S12, S13, S15, S19, S20, and S21 were harsh realizations in which the three arms other than A2 (stop) collided. In seeds where A2 avoided collision, every case in which an evacuation arm collided was a transient collision caused by continued movement, consistent with the mechanism analysis.</w:t>
      </w:r>
    </w:p>
    <w:p>
      <w:pPr>
        <w:keepNext/>
        <w:spacing w:line="312" w:lineRule="auto" w:before="40" w:after="0"/>
      </w:pPr>
      <w:r>
        <w:rPr>
          <w:rFonts w:ascii="Times New Roman" w:hAnsi="Times New Roman" w:eastAsia="HY신명조"/>
          <w:b/>
          <w:sz w:val="19"/>
        </w:rPr>
        <w:t xml:space="preserve">Table 5-5. </w:t>
      </w:r>
      <w:r>
        <w:rPr>
          <w:rFonts w:ascii="Times New Roman" w:hAnsi="Times New Roman" w:eastAsia="HY신명조"/>
          <w:b w:val="0"/>
          <w:sz w:val="19"/>
        </w:rPr>
        <w:t>Per-seed adjudication of the ablation study, S02–S21 (ledger basis; C collision / A avoidance)</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Times New Roman" w:hAnsi="Times New Roman" w:eastAsia="HY신명조"/>
                <w:b/>
                <w:sz w:val="19"/>
              </w:rPr>
              <w:t>Seed</w:t>
            </w:r>
          </w:p>
        </w:tc>
        <w:tc>
          <w:tcPr>
            <w:tcW w:type="dxa" w:w="1701"/>
          </w:tcPr>
          <w:p>
            <w:pPr>
              <w:spacing w:line="288" w:lineRule="auto" w:before="20" w:after="20"/>
              <w:jc w:val="center"/>
            </w:pPr>
            <w:r/>
            <w:r>
              <w:rPr>
                <w:rFonts w:ascii="Times New Roman" w:hAnsi="Times New Roman" w:eastAsia="HY신명조"/>
                <w:b/>
                <w:sz w:val="19"/>
              </w:rPr>
              <w:t>A1 stock</w:t>
            </w:r>
          </w:p>
        </w:tc>
        <w:tc>
          <w:tcPr>
            <w:tcW w:type="dxa" w:w="1701"/>
          </w:tcPr>
          <w:p>
            <w:pPr>
              <w:spacing w:line="288" w:lineRule="auto" w:before="20" w:after="20"/>
              <w:jc w:val="center"/>
            </w:pPr>
            <w:r/>
            <w:r>
              <w:rPr>
                <w:rFonts w:ascii="Times New Roman" w:hAnsi="Times New Roman" w:eastAsia="HY신명조"/>
                <w:b/>
                <w:sz w:val="19"/>
              </w:rPr>
              <w:t>A2 stop</w:t>
            </w:r>
          </w:p>
        </w:tc>
        <w:tc>
          <w:tcPr>
            <w:tcW w:type="dxa" w:w="1701"/>
          </w:tcPr>
          <w:p>
            <w:pPr>
              <w:spacing w:line="288" w:lineRule="auto" w:before="20" w:after="20"/>
              <w:jc w:val="center"/>
            </w:pPr>
            <w:r/>
            <w:r>
              <w:rPr>
                <w:rFonts w:ascii="Times New Roman" w:hAnsi="Times New Roman" w:eastAsia="HY신명조"/>
                <w:b/>
                <w:sz w:val="19"/>
              </w:rPr>
              <w:t>A3 uncapped evacuation</w:t>
            </w:r>
          </w:p>
        </w:tc>
        <w:tc>
          <w:tcPr>
            <w:tcW w:type="dxa" w:w="1701"/>
          </w:tcPr>
          <w:p>
            <w:pPr>
              <w:spacing w:line="288" w:lineRule="auto" w:before="20" w:after="20"/>
              <w:jc w:val="center"/>
            </w:pPr>
            <w:r/>
            <w:r>
              <w:rPr>
                <w:rFonts w:ascii="Times New Roman" w:hAnsi="Times New Roman" w:eastAsia="HY신명조"/>
                <w:b/>
                <w:sz w:val="19"/>
              </w:rPr>
              <w:t>A4 capped evacuation</w:t>
            </w:r>
          </w:p>
        </w:tc>
      </w:tr>
      <w:tr>
        <w:trPr>
          <w:cantSplit/>
        </w:trPr>
        <w:tc>
          <w:tcPr>
            <w:tcW w:type="dxa" w:w="1701"/>
          </w:tcPr>
          <w:p>
            <w:pPr>
              <w:spacing w:line="288" w:lineRule="auto" w:before="20" w:after="20"/>
              <w:jc w:val="left"/>
            </w:pPr>
            <w:r/>
            <w:r>
              <w:rPr>
                <w:rFonts w:ascii="Times New Roman" w:hAnsi="Times New Roman" w:eastAsia="HY신명조"/>
                <w:b w:val="0"/>
                <w:sz w:val="19"/>
              </w:rPr>
              <w:t>S02</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S03</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S04</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S05*</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S06</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S07</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S08</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S09</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S10</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S11</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S12</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S13</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S14</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S15</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S16</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S17</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S18</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S19</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S20</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S21</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Total (collisions)</w:t>
            </w:r>
          </w:p>
        </w:tc>
        <w:tc>
          <w:tcPr>
            <w:tcW w:type="dxa" w:w="1701"/>
          </w:tcPr>
          <w:p>
            <w:pPr>
              <w:spacing w:line="288" w:lineRule="auto" w:before="20" w:after="20"/>
              <w:jc w:val="left"/>
            </w:pPr>
            <w:r/>
            <w:r>
              <w:rPr>
                <w:rFonts w:ascii="Times New Roman" w:hAnsi="Times New Roman" w:eastAsia="HY신명조"/>
                <w:b w:val="0"/>
                <w:sz w:val="19"/>
              </w:rPr>
              <w:t>14/20</w:t>
            </w:r>
          </w:p>
        </w:tc>
        <w:tc>
          <w:tcPr>
            <w:tcW w:type="dxa" w:w="1701"/>
          </w:tcPr>
          <w:p>
            <w:pPr>
              <w:spacing w:line="288" w:lineRule="auto" w:before="20" w:after="20"/>
              <w:jc w:val="left"/>
            </w:pPr>
            <w:r/>
            <w:r>
              <w:rPr>
                <w:rFonts w:ascii="Times New Roman" w:hAnsi="Times New Roman" w:eastAsia="HY신명조"/>
                <w:b w:val="0"/>
                <w:sz w:val="19"/>
              </w:rPr>
              <w:t>0/20</w:t>
            </w:r>
          </w:p>
        </w:tc>
        <w:tc>
          <w:tcPr>
            <w:tcW w:type="dxa" w:w="1701"/>
          </w:tcPr>
          <w:p>
            <w:pPr>
              <w:spacing w:line="288" w:lineRule="auto" w:before="20" w:after="20"/>
              <w:jc w:val="left"/>
            </w:pPr>
            <w:r/>
            <w:r>
              <w:rPr>
                <w:rFonts w:ascii="Times New Roman" w:hAnsi="Times New Roman" w:eastAsia="HY신명조"/>
                <w:b w:val="0"/>
                <w:sz w:val="19"/>
              </w:rPr>
              <w:t>10/20</w:t>
            </w:r>
          </w:p>
        </w:tc>
        <w:tc>
          <w:tcPr>
            <w:tcW w:type="dxa" w:w="1701"/>
          </w:tcPr>
          <w:p>
            <w:pPr>
              <w:spacing w:line="288" w:lineRule="auto" w:before="20" w:after="20"/>
              <w:jc w:val="left"/>
            </w:pPr>
            <w:r/>
            <w:r>
              <w:rPr>
                <w:rFonts w:ascii="Times New Roman" w:hAnsi="Times New Roman" w:eastAsia="HY신명조"/>
                <w:b w:val="0"/>
                <w:sz w:val="19"/>
              </w:rPr>
              <w:t>11/20</w:t>
            </w:r>
          </w:p>
        </w:tc>
      </w:tr>
    </w:tbl>
    <w:p>
      <w:pPr>
        <w:spacing w:line="312" w:lineRule="auto" w:before="0" w:after="0"/>
      </w:pPr>
      <w:r>
        <w:rPr>
          <w:rFonts w:ascii="Times New Roman" w:hAnsi="Times New Roman" w:eastAsia="HY신명조"/>
          <w:b w:val="0"/>
          <w:sz w:val="19"/>
        </w:rPr>
        <w:t>* For S05, the A2 and A4 entries are results from a same-seed rerun (S05R) after a simulator failure. The A2 runs of S12 and S15 in the extension round were likewise filled in by reruns of the same kind. The explicit cap of A4 was found post hoc to be undelivered (Section 8), so A3 and A4 are de facto the same policy.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divergence between runner termination labels and ledger adjudication was also demonstrated in this sample. For example, A1 of S02 was labeled "HAZARD_STOPPED" but was in fact a post-collision stop case with pedestrian contact recorded in the ledger; conversely, some avoidance cases in the evacuation arms retained the label "stalled during evacuation" although both the ledger and visual inspection showed no contact. Under label-based aggregation, the former would have been a missed collision and the latter an overcount of failures — showing that the adjudication framework of Chapter 4, Section 5 is a prerequisite for the reported numbers.</w:t>
      </w:r>
    </w:p>
    <w:p>
      <w:pPr>
        <w:spacing w:line="501" w:lineRule="exact" w:before="0" w:after="0"/>
        <w:jc w:val="both"/>
      </w:pPr>
      <w:r>
        <w:rPr>
          <w:rFonts w:ascii="Times New Roman" w:hAnsi="Times New Roman" w:eastAsia="HY신명조"/>
          <w:b w:val="0"/>
          <w:sz w:val="22"/>
        </w:rPr>
        <w:t xml:space="preserve">   The mechanism decomposes as follows. Effect of the detection-based stop intervention (A1→A2): the 14/20 collisions of stock continued driving drop to 0/20 under detection + immediate stop — since the shadow detector operates identically in A1 as well (transitions recorded only, actions blocked), this difference is produced not by detector accuracy but by the presence or absence of a detection-based stop intervention, and the reduction was observed in the worst-case time window of a transient launch. Because the encounter instant was fixed at a single point (detection + 3 s), this comparison is restricted to that transient — it is not a general stop-versus-evacuate comparison over the distribution of hazard-onset times; the settled-cruise 0/8 is a complementary observation at a different instant with a small sample. However, since A2 is an in-lane stop, lane occupancy is not resolved within the observation horizon. The cost of evacuation (A2→A3/A4): the evacuation arms continue moving, so transient collisions remain (A3 10/20, A4 11/20 — all collisions in both arms occurred in the segment where deceleration was incomplete). For the pre-specified primary contrast, the exact McNemar test gave discordant pairs of 4:1 for A1↔A4 (4 collisions only in A1, 1 only in A4) with p=0.375, and 0:1 for A3↔A4 with p=1.0. A post-campaign audit of the delivery path (Section 8) found that the explicit cap of A4 had never actually been delivered to the velocity-limit arbiter of the evaluated stack — the published message type differed from the subscribed type of the evaluated version and was silently discarded on the same topic name. A3 and A4 were therefore de facto repeated measurements of the same policy (naturally decelerating evacuation), and p=1.0 together with the two arms' close collision counts (10/20 vs 11/20) is the consistent consequence — and, incidentally, evidence of seed-level repeatability. As a post-hoc secondary analysis not included in the pre-specification, testing A2↔A4 in the same way gives discordant pairs of 11:0 with an exact two-sided p=9.8×10⁻⁴ — restricted to this 8 m/transient collision endpoint, the in-lane stop clearly dominates evacuation, quantifying the collision-side cost of the RQ2 trade-off (flagged as exploratory since it was not pre-specified). That is, this ablation turned out post hoc to be a design in which the increment of the explicit cap could not be tested (both arms were de facto uncapped), and the causal effect of the cap is verified in a separate dose-response experiment with the delivery fixed (Section 8). That the collisions of uncapped evacuation (A3) under identical conditions remained at 10/20, lower than A1 (14/20), is interpreted as due to the natural deceleration of the evacuation maneuver itself, to which the speed cap adds an explicit upper bound (Chapter 6, Section 3).</w:t>
      </w:r>
    </w:p>
    <w:p>
      <w:pPr>
        <w:spacing w:line="501" w:lineRule="exact" w:before="0" w:after="0"/>
        <w:jc w:val="both"/>
      </w:pPr>
      <w:r>
        <w:rPr>
          <w:rFonts w:ascii="Times New Roman" w:hAnsi="Times New Roman" w:eastAsia="HY신명조"/>
          <w:b w:val="0"/>
          <w:sz w:val="22"/>
        </w:rPr>
        <w:t xml:space="preserve">   The other axis of the stop–evacuation trade-off — lane clearance — is aggregated from the physics-tick records of the same ablation sample (Table 5-6). The median 20 s post-encounter movement exposure E20 was 0.0 m for the A2 stop, 37.2 m for the evacuation arms (A3/A4), and 50.0 m for the A1 stock. The lane clearance time T_lat-clear follows the definition of Chapter 4, Section 8, and the sample comprises all evacuation arms of the main ablation campaign (the 20 A3/A4 cases of S02–S11; the A4 of S05 is replaced by its same-seed rerun, and non-ablation cases and post-collision departure records are excluded). The outcomes divide into 7 collisions (clearance failure), 6 no-collision cases with departure observed within the horizon, and 7 no-collision cases without departure within the horizon (right-censored); as a check, 7+6+7=20, and the 7 collisions arithmetically match the per-arm collision totals of Table 5-5 (A3 3 + A4 4). In the time distribution computed conditionally on the 13 no-collision cases (Figure 5-4), the observed median of the 6 observed departures is 11.0 s, and with an in-horizon clearance observation proportion of 6/13 the Kaplan–Meier survival curve does not drop below 0.5 (final survival 0.538), so the KM-estimated median exceeds the observation horizon (not reached). Stop (A2) and stock (A1) had 0 in-horizon lane departures and are recorded as right-censored ("not cleared within the horizon") without averaging.</w:t>
      </w:r>
    </w:p>
    <w:p>
      <w:pPr>
        <w:keepNext/>
        <w:spacing w:line="312" w:lineRule="auto" w:before="40" w:after="0"/>
      </w:pPr>
      <w:r>
        <w:rPr>
          <w:rFonts w:ascii="Times New Roman" w:hAnsi="Times New Roman" w:eastAsia="HY신명조"/>
          <w:b/>
          <w:sz w:val="19"/>
        </w:rPr>
        <w:t xml:space="preserve">Table 5-6. </w:t>
      </w:r>
      <w:r>
        <w:rPr>
          <w:rFonts w:ascii="Times New Roman" w:hAnsi="Times New Roman" w:eastAsia="HY신명조"/>
          <w:b w:val="0"/>
          <w:sz w:val="19"/>
        </w:rPr>
        <w:t>Lane clearance axis aggregation (ablation sample, physics-tick basis)</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9"/>
              </w:rPr>
              <w:t>Metric</w:t>
            </w:r>
          </w:p>
        </w:tc>
        <w:tc>
          <w:tcPr>
            <w:tcW w:type="dxa" w:w="2126"/>
          </w:tcPr>
          <w:p>
            <w:pPr>
              <w:keepNext/>
              <w:spacing w:line="288" w:lineRule="auto" w:before="20" w:after="20"/>
              <w:jc w:val="center"/>
            </w:pPr>
            <w:r/>
            <w:r>
              <w:rPr>
                <w:rFonts w:ascii="Times New Roman" w:hAnsi="Times New Roman" w:eastAsia="HY신명조"/>
                <w:b/>
                <w:sz w:val="19"/>
              </w:rPr>
              <w:t>A1 stock</w:t>
            </w:r>
          </w:p>
        </w:tc>
        <w:tc>
          <w:tcPr>
            <w:tcW w:type="dxa" w:w="2126"/>
          </w:tcPr>
          <w:p>
            <w:pPr>
              <w:keepNext/>
              <w:spacing w:line="288" w:lineRule="auto" w:before="20" w:after="20"/>
              <w:jc w:val="center"/>
            </w:pPr>
            <w:r/>
            <w:r>
              <w:rPr>
                <w:rFonts w:ascii="Times New Roman" w:hAnsi="Times New Roman" w:eastAsia="HY신명조"/>
                <w:b/>
                <w:sz w:val="19"/>
              </w:rPr>
              <w:t>A2 stop</w:t>
            </w:r>
          </w:p>
        </w:tc>
        <w:tc>
          <w:tcPr>
            <w:tcW w:type="dxa" w:w="2126"/>
          </w:tcPr>
          <w:p>
            <w:pPr>
              <w:keepNext/>
              <w:spacing w:line="288" w:lineRule="auto" w:before="20" w:after="20"/>
              <w:jc w:val="center"/>
            </w:pPr>
            <w:r/>
            <w:r>
              <w:rPr>
                <w:rFonts w:ascii="Times New Roman" w:hAnsi="Times New Roman" w:eastAsia="HY신명조"/>
                <w:b/>
                <w:sz w:val="19"/>
              </w:rPr>
              <w:t>Evacuation arms (A3/A4, n=20)</w:t>
            </w:r>
          </w:p>
        </w:tc>
      </w:tr>
      <w:tr>
        <w:trPr>
          <w:cantSplit/>
        </w:trPr>
        <w:tc>
          <w:tcPr>
            <w:tcW w:type="dxa" w:w="2126"/>
          </w:tcPr>
          <w:p>
            <w:pPr>
              <w:keepNext/>
              <w:spacing w:line="288" w:lineRule="auto" w:before="20" w:after="20"/>
              <w:jc w:val="left"/>
            </w:pPr>
            <w:r/>
            <w:r>
              <w:rPr>
                <w:rFonts w:ascii="Times New Roman" w:hAnsi="Times New Roman" w:eastAsia="HY신명조"/>
                <w:b w:val="0"/>
                <w:sz w:val="19"/>
              </w:rPr>
              <w:t>E20: 20 s post-encounter movement exposure (median)</w:t>
            </w:r>
          </w:p>
        </w:tc>
        <w:tc>
          <w:tcPr>
            <w:tcW w:type="dxa" w:w="2126"/>
          </w:tcPr>
          <w:p>
            <w:pPr>
              <w:keepNext/>
              <w:spacing w:line="288" w:lineRule="auto" w:before="20" w:after="20"/>
              <w:jc w:val="left"/>
            </w:pPr>
            <w:r/>
            <w:r>
              <w:rPr>
                <w:rFonts w:ascii="Times New Roman" w:hAnsi="Times New Roman" w:eastAsia="HY신명조"/>
                <w:b w:val="0"/>
                <w:sz w:val="19"/>
              </w:rPr>
              <w:t>50.0 m</w:t>
            </w:r>
          </w:p>
        </w:tc>
        <w:tc>
          <w:tcPr>
            <w:tcW w:type="dxa" w:w="2126"/>
          </w:tcPr>
          <w:p>
            <w:pPr>
              <w:keepNext/>
              <w:spacing w:line="288" w:lineRule="auto" w:before="20" w:after="20"/>
              <w:jc w:val="left"/>
            </w:pPr>
            <w:r/>
            <w:r>
              <w:rPr>
                <w:rFonts w:ascii="Times New Roman" w:hAnsi="Times New Roman" w:eastAsia="HY신명조"/>
                <w:b w:val="0"/>
                <w:sz w:val="19"/>
              </w:rPr>
              <w:t>0.0 m</w:t>
            </w:r>
          </w:p>
        </w:tc>
        <w:tc>
          <w:tcPr>
            <w:tcW w:type="dxa" w:w="2126"/>
          </w:tcPr>
          <w:p>
            <w:pPr>
              <w:keepNext/>
              <w:spacing w:line="288" w:lineRule="auto" w:before="20" w:after="20"/>
              <w:jc w:val="left"/>
            </w:pPr>
            <w:r/>
            <w:r>
              <w:rPr>
                <w:rFonts w:ascii="Times New Roman" w:hAnsi="Times New Roman" w:eastAsia="HY신명조"/>
                <w:b w:val="0"/>
                <w:sz w:val="19"/>
              </w:rPr>
              <w:t>37.2 m</w:t>
            </w:r>
          </w:p>
        </w:tc>
      </w:tr>
      <w:tr>
        <w:trPr>
          <w:cantSplit/>
        </w:trPr>
        <w:tc>
          <w:tcPr>
            <w:tcW w:type="dxa" w:w="2126"/>
          </w:tcPr>
          <w:p>
            <w:pPr>
              <w:keepNext/>
              <w:spacing w:line="288" w:lineRule="auto" w:before="20" w:after="20"/>
              <w:jc w:val="left"/>
            </w:pPr>
            <w:r/>
            <w:r>
              <w:rPr>
                <w:rFonts w:ascii="Times New Roman" w:hAnsi="Times New Roman" w:eastAsia="HY신명조"/>
                <w:b w:val="0"/>
                <w:sz w:val="19"/>
              </w:rPr>
              <w:t>T_lat-clear ① Collision — clearance failure</w:t>
            </w:r>
          </w:p>
          <w:p>
            <w:pPr>
              <w:keepNext/>
              <w:spacing w:line="288" w:lineRule="auto" w:before="20" w:after="20"/>
              <w:jc w:val="left"/>
            </w:pPr>
            <w:r>
              <w:rPr>
                <w:rFonts w:ascii="Times New Roman" w:hAnsi="Times New Roman" w:eastAsia="HY신명조"/>
                <w:b w:val="0"/>
                <w:sz w:val="19"/>
              </w:rPr>
              <w:t>(competing event, excluded from time distribution)</w:t>
            </w:r>
          </w:p>
        </w:tc>
        <w:tc>
          <w:tcPr>
            <w:tcW w:type="dxa" w:w="2126"/>
          </w:tcPr>
          <w:p>
            <w:pPr>
              <w:keepNext/>
              <w:spacing w:line="288" w:lineRule="auto" w:before="20" w:after="20"/>
              <w:jc w:val="left"/>
            </w:pPr>
            <w:r/>
            <w:r>
              <w:rPr>
                <w:rFonts w:ascii="Times New Roman" w:hAnsi="Times New Roman" w:eastAsia="HY신명조"/>
                <w:b w:val="0"/>
                <w:sz w:val="19"/>
              </w:rPr>
              <w:t>—</w:t>
            </w:r>
          </w:p>
        </w:tc>
        <w:tc>
          <w:tcPr>
            <w:tcW w:type="dxa" w:w="2126"/>
          </w:tcPr>
          <w:p>
            <w:pPr>
              <w:keepNext/>
              <w:spacing w:line="288" w:lineRule="auto" w:before="20" w:after="20"/>
              <w:jc w:val="left"/>
            </w:pPr>
            <w:r/>
            <w:r>
              <w:rPr>
                <w:rFonts w:ascii="Times New Roman" w:hAnsi="Times New Roman" w:eastAsia="HY신명조"/>
                <w:b w:val="0"/>
                <w:sz w:val="19"/>
              </w:rPr>
              <w:t>—</w:t>
            </w:r>
          </w:p>
        </w:tc>
        <w:tc>
          <w:tcPr>
            <w:tcW w:type="dxa" w:w="2126"/>
          </w:tcPr>
          <w:p>
            <w:pPr>
              <w:keepNext/>
              <w:spacing w:line="288" w:lineRule="auto" w:before="20" w:after="20"/>
              <w:jc w:val="left"/>
            </w:pPr>
            <w:r/>
            <w:r>
              <w:rPr>
                <w:rFonts w:ascii="Times New Roman" w:hAnsi="Times New Roman" w:eastAsia="HY신명조"/>
                <w:b w:val="0"/>
                <w:sz w:val="19"/>
              </w:rPr>
              <w:t>7 cases</w:t>
            </w:r>
          </w:p>
          <w:p>
            <w:pPr>
              <w:keepNext/>
              <w:spacing w:line="288" w:lineRule="auto" w:before="20" w:after="20"/>
              <w:jc w:val="left"/>
            </w:pPr>
            <w:r>
              <w:rPr>
                <w:rFonts w:ascii="Times New Roman" w:hAnsi="Times New Roman" w:eastAsia="HY신명조"/>
                <w:b w:val="0"/>
                <w:sz w:val="19"/>
              </w:rPr>
              <w:t>(A3 3 + A4 4)</w:t>
            </w:r>
          </w:p>
        </w:tc>
      </w:tr>
      <w:tr>
        <w:trPr>
          <w:cantSplit/>
        </w:trPr>
        <w:tc>
          <w:tcPr>
            <w:tcW w:type="dxa" w:w="2126"/>
          </w:tcPr>
          <w:p>
            <w:pPr>
              <w:keepNext/>
              <w:spacing w:line="288" w:lineRule="auto" w:before="20" w:after="20"/>
              <w:jc w:val="left"/>
            </w:pPr>
            <w:r/>
            <w:r>
              <w:rPr>
                <w:rFonts w:ascii="Times New Roman" w:hAnsi="Times New Roman" w:eastAsia="HY신명조"/>
                <w:b w:val="0"/>
                <w:sz w:val="19"/>
              </w:rPr>
              <w:t>T_lat-clear ② No collision, departure</w:t>
            </w:r>
          </w:p>
          <w:p>
            <w:pPr>
              <w:keepNext/>
              <w:spacing w:line="288" w:lineRule="auto" w:before="20" w:after="20"/>
              <w:jc w:val="left"/>
            </w:pPr>
            <w:r>
              <w:rPr>
                <w:rFonts w:ascii="Times New Roman" w:hAnsi="Times New Roman" w:eastAsia="HY신명조"/>
                <w:b w:val="0"/>
                <w:sz w:val="19"/>
              </w:rPr>
              <w:t>observed within horizon</w:t>
            </w:r>
          </w:p>
        </w:tc>
        <w:tc>
          <w:tcPr>
            <w:tcW w:type="dxa" w:w="2126"/>
          </w:tcPr>
          <w:p>
            <w:pPr>
              <w:keepNext/>
              <w:spacing w:line="288" w:lineRule="auto" w:before="20" w:after="20"/>
              <w:jc w:val="left"/>
            </w:pPr>
            <w:r/>
            <w:r>
              <w:rPr>
                <w:rFonts w:ascii="Times New Roman" w:hAnsi="Times New Roman" w:eastAsia="HY신명조"/>
                <w:b w:val="0"/>
                <w:sz w:val="19"/>
              </w:rPr>
              <w:t>0 cases</w:t>
            </w:r>
          </w:p>
        </w:tc>
        <w:tc>
          <w:tcPr>
            <w:tcW w:type="dxa" w:w="2126"/>
          </w:tcPr>
          <w:p>
            <w:pPr>
              <w:keepNext/>
              <w:spacing w:line="288" w:lineRule="auto" w:before="20" w:after="20"/>
              <w:jc w:val="left"/>
            </w:pPr>
            <w:r/>
            <w:r>
              <w:rPr>
                <w:rFonts w:ascii="Times New Roman" w:hAnsi="Times New Roman" w:eastAsia="HY신명조"/>
                <w:b w:val="0"/>
                <w:sz w:val="19"/>
              </w:rPr>
              <w:t>0 cases</w:t>
            </w:r>
          </w:p>
        </w:tc>
        <w:tc>
          <w:tcPr>
            <w:tcW w:type="dxa" w:w="2126"/>
          </w:tcPr>
          <w:p>
            <w:pPr>
              <w:keepNext/>
              <w:spacing w:line="288" w:lineRule="auto" w:before="20" w:after="20"/>
              <w:jc w:val="left"/>
            </w:pPr>
            <w:r/>
            <w:r>
              <w:rPr>
                <w:rFonts w:ascii="Times New Roman" w:hAnsi="Times New Roman" w:eastAsia="HY신명조"/>
                <w:b w:val="0"/>
                <w:sz w:val="19"/>
              </w:rPr>
              <w:t>6 cases</w:t>
            </w:r>
          </w:p>
          <w:p>
            <w:pPr>
              <w:keepNext/>
              <w:spacing w:line="288" w:lineRule="auto" w:before="20" w:after="20"/>
              <w:jc w:val="left"/>
            </w:pPr>
            <w:r>
              <w:rPr>
                <w:rFonts w:ascii="Times New Roman" w:hAnsi="Times New Roman" w:eastAsia="HY신명조"/>
                <w:b w:val="0"/>
                <w:sz w:val="19"/>
              </w:rPr>
              <w:t>(observed median 11.0 s)</w:t>
            </w:r>
          </w:p>
        </w:tc>
      </w:tr>
      <w:tr>
        <w:trPr>
          <w:cantSplit/>
        </w:trPr>
        <w:tc>
          <w:tcPr>
            <w:tcW w:type="dxa" w:w="2126"/>
          </w:tcPr>
          <w:p>
            <w:pPr>
              <w:spacing w:line="288" w:lineRule="auto" w:before="20" w:after="20"/>
              <w:jc w:val="left"/>
            </w:pPr>
            <w:r/>
            <w:r>
              <w:rPr>
                <w:rFonts w:ascii="Times New Roman" w:hAnsi="Times New Roman" w:eastAsia="HY신명조"/>
                <w:b w:val="0"/>
                <w:sz w:val="19"/>
              </w:rPr>
              <w:t>T_lat-clear ③ No collision, no departure within horizon</w:t>
            </w:r>
          </w:p>
          <w:p>
            <w:pPr>
              <w:spacing w:line="288" w:lineRule="auto" w:before="20" w:after="20"/>
              <w:jc w:val="left"/>
            </w:pPr>
            <w:r>
              <w:rPr>
                <w:rFonts w:ascii="Times New Roman" w:hAnsi="Times New Roman" w:eastAsia="HY신명조"/>
                <w:b w:val="0"/>
                <w:sz w:val="19"/>
              </w:rPr>
              <w:t>(right-censored)</w:t>
            </w:r>
          </w:p>
        </w:tc>
        <w:tc>
          <w:tcPr>
            <w:tcW w:type="dxa" w:w="2126"/>
          </w:tcPr>
          <w:p>
            <w:pPr>
              <w:spacing w:line="288" w:lineRule="auto" w:before="20" w:after="20"/>
              <w:jc w:val="left"/>
            </w:pPr>
            <w:r/>
            <w:r>
              <w:rPr>
                <w:rFonts w:ascii="Times New Roman" w:hAnsi="Times New Roman" w:eastAsia="HY신명조"/>
                <w:b w:val="0"/>
                <w:sz w:val="19"/>
              </w:rPr>
              <w:t>All cases</w:t>
            </w:r>
          </w:p>
          <w:p>
            <w:pPr>
              <w:spacing w:line="288" w:lineRule="auto" w:before="20" w:after="20"/>
              <w:jc w:val="left"/>
            </w:pPr>
            <w:r>
              <w:rPr>
                <w:rFonts w:ascii="Times New Roman" w:hAnsi="Times New Roman" w:eastAsia="HY신명조"/>
                <w:b w:val="0"/>
                <w:sz w:val="19"/>
              </w:rPr>
              <w:t>(not cleared within horizon)</w:t>
            </w:r>
          </w:p>
        </w:tc>
        <w:tc>
          <w:tcPr>
            <w:tcW w:type="dxa" w:w="2126"/>
          </w:tcPr>
          <w:p>
            <w:pPr>
              <w:spacing w:line="288" w:lineRule="auto" w:before="20" w:after="20"/>
              <w:jc w:val="left"/>
            </w:pPr>
            <w:r/>
            <w:r>
              <w:rPr>
                <w:rFonts w:ascii="Times New Roman" w:hAnsi="Times New Roman" w:eastAsia="HY신명조"/>
                <w:b w:val="0"/>
                <w:sz w:val="19"/>
              </w:rPr>
              <w:t>All cases</w:t>
            </w:r>
          </w:p>
          <w:p>
            <w:pPr>
              <w:spacing w:line="288" w:lineRule="auto" w:before="20" w:after="20"/>
              <w:jc w:val="left"/>
            </w:pPr>
            <w:r>
              <w:rPr>
                <w:rFonts w:ascii="Times New Roman" w:hAnsi="Times New Roman" w:eastAsia="HY신명조"/>
                <w:b w:val="0"/>
                <w:sz w:val="19"/>
              </w:rPr>
              <w:t>(not cleared within horizon)</w:t>
            </w:r>
          </w:p>
        </w:tc>
        <w:tc>
          <w:tcPr>
            <w:tcW w:type="dxa" w:w="2126"/>
          </w:tcPr>
          <w:p>
            <w:pPr>
              <w:spacing w:line="288" w:lineRule="auto" w:before="20" w:after="20"/>
              <w:jc w:val="left"/>
            </w:pPr>
            <w:r/>
            <w:r>
              <w:rPr>
                <w:rFonts w:ascii="Times New Roman" w:hAnsi="Times New Roman" w:eastAsia="HY신명조"/>
                <w:b w:val="0"/>
                <w:sz w:val="19"/>
              </w:rPr>
              <w:t>7 cases</w:t>
            </w:r>
          </w:p>
        </w:tc>
      </w:tr>
    </w:tbl>
    <w:p>
      <w:pPr>
        <w:spacing w:line="312" w:lineRule="auto" w:before="0" w:after="0"/>
      </w:pPr>
      <w:r>
        <w:rPr>
          <w:rFonts w:ascii="Times New Roman" w:hAnsi="Times New Roman" w:eastAsia="HY신명조"/>
          <w:b w:val="0"/>
          <w:sz w:val="19"/>
        </w:rPr>
        <w:t>The definition of T_lat-clear and the analysis rules (competing-event separation, conditional time distribution, right censoring) follow Chapter 4, Section 8; the checks and the KM interpretation follow the main text (Section 5). "Not cleared within the horizon" is not subject to averaging. The lane clearance axis is based on the first-round sample; unlike the extended pooling on the collision axis (Tables 5-4 and 5-5), no re-aggregation over the extension round was performed.</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960000" cy="3080000"/>
            <wp:docPr id="12" name="Picture 12"/>
            <wp:cNvGraphicFramePr>
              <a:graphicFrameLocks noChangeAspect="1"/>
            </wp:cNvGraphicFramePr>
            <a:graphic>
              <a:graphicData uri="http://schemas.openxmlformats.org/drawingml/2006/picture">
                <pic:pic>
                  <pic:nvPicPr>
                    <pic:cNvPr id="0" name="fig9_km.png"/>
                    <pic:cNvPicPr/>
                  </pic:nvPicPr>
                  <pic:blipFill>
                    <a:blip r:embed="rId26"/>
                    <a:stretch>
                      <a:fillRect/>
                    </a:stretch>
                  </pic:blipFill>
                  <pic:spPr>
                    <a:xfrm>
                      <a:off x="0" y="0"/>
                      <a:ext cx="3960000" cy="3080000"/>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5-4. </w:t>
      </w:r>
      <w:r>
        <w:rPr>
          <w:rFonts w:ascii="Times New Roman" w:hAnsi="Times New Roman" w:eastAsia="HY신명조"/>
          <w:b w:val="0"/>
          <w:sz w:val="19"/>
        </w:rPr>
        <w:t>Kaplan–Meier curve of lane clearance for no-collision evacuation cases (exploratory analysis on the first-round ablation subset, A3/A4 pooled; conditional n=13). With 6 observed departures (median 11.0 s) and 7 right-censored cases (|), the final survival is 0.538, so the median exceeds the observation horizon (20 s). Computed identically to the time-distribution rules of Table 5-6.</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6. Two-Regime Analysis: Temporal Trade-off</w:t>
      </w:r>
    </w:p>
    <w:p>
      <w:pPr>
        <w:spacing w:line="501" w:lineRule="exact" w:before="0" w:after="0"/>
      </w:pPr>
    </w:p>
    <w:p>
      <w:pPr>
        <w:spacing w:line="501" w:lineRule="exact" w:before="0" w:after="0"/>
        <w:jc w:val="both"/>
      </w:pPr>
      <w:r>
        <w:rPr>
          <w:rFonts w:ascii="Times New Roman" w:hAnsi="Times New Roman" w:eastAsia="HY신명조"/>
          <w:b w:val="0"/>
          <w:sz w:val="22"/>
        </w:rPr>
        <w:t xml:space="preserve">   Splitting the encounter outcomes of the same low-speed evacuation policy by time regime yields a sharp contrast (Figure 5-5): launches in the detection+3 s transient (deceleration incomplete) collided in 11/20, whereas launches in low-speed settled cruise with deceleration complete (restart cruise, 8 m encounter re-run; the nominal 3.0 m/s cap was configured but undelivered — the measured encounter speed of about 3.0 m/s stems from the restart profile, Section 8) had 0/8 collisions.</w:t>
      </w:r>
    </w:p>
    <w:p>
      <w:pPr>
        <w:keepNext/>
        <w:spacing w:line="240" w:lineRule="auto"/>
        <w:jc w:val="center"/>
      </w:pPr>
      <w:r>
        <w:drawing>
          <wp:inline xmlns:a="http://schemas.openxmlformats.org/drawingml/2006/main" xmlns:pic="http://schemas.openxmlformats.org/drawingml/2006/picture">
            <wp:extent cx="5220000" cy="2088508"/>
            <wp:docPr id="13" name="Picture 13"/>
            <wp:cNvGraphicFramePr>
              <a:graphicFrameLocks noChangeAspect="1"/>
            </wp:cNvGraphicFramePr>
            <a:graphic>
              <a:graphicData uri="http://schemas.openxmlformats.org/drawingml/2006/picture">
                <pic:pic>
                  <pic:nvPicPr>
                    <pic:cNvPr id="0" name="fig10_ablation.png"/>
                    <pic:cNvPicPr/>
                  </pic:nvPicPr>
                  <pic:blipFill>
                    <a:blip r:embed="rId27"/>
                    <a:stretch>
                      <a:fillRect/>
                    </a:stretch>
                  </pic:blipFill>
                  <pic:spPr>
                    <a:xfrm>
                      <a:off x="0" y="0"/>
                      <a:ext cx="5220000" cy="2088508"/>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5-5. </w:t>
      </w:r>
      <w:r>
        <w:rPr>
          <w:rFonts w:ascii="Times New Roman" w:hAnsi="Times New Roman" w:eastAsia="HY신명조"/>
          <w:b w:val="0"/>
          <w:sz w:val="19"/>
        </w:rPr>
        <w:t>Ablation results (ledger verdicts, pooled n = 20). (a) Collision/avoidance decomposition of the four arms — launched in the detection + 3 s transient. (b) The same low-speed evacuation policy in two regimes — 11/20 in the transient versus 0/8 in low-speed settled cruise.</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structure this result exhibits is as follows: the residual risk of evacuation concentrates in the post-detection transient — from the moment of detection until the settled speed is reached, its length set by the deceleration time (transient 11/20 vs. settled 0/8). However, this contrast is not a causal experiment that independently manipulated the detection time but an observational comparison partitioning the encounter-time regimes of the same policy, so it is not to be read as an estimate of a causal effect size — the interpretation is addressed in Chapter 6, Sections 1–2.</w:t>
      </w:r>
    </w:p>
    <w:p>
      <w:pPr>
        <w:spacing w:line="501" w:lineRule="exact" w:before="0" w:after="0"/>
      </w:pPr>
    </w:p>
    <w:p>
      <w:pPr>
        <w:spacing w:line="501" w:lineRule="exact" w:before="0" w:after="0"/>
      </w:pPr>
      <w:r>
        <w:rPr>
          <w:rFonts w:ascii="Times New Roman" w:hAnsi="Times New Roman" w:eastAsia="HY신명조"/>
          <w:b/>
          <w:sz w:val="28"/>
        </w:rPr>
        <w:t>7. Low-Speed Ladder: Shift of the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In low-speed settled cruise (nominal 3.0 m/s cap configured), the boundary was measured empirically by lowering the spawn distance (Table 5-7). At 8 m the outcome was 8/8 avoidance (Section 6), while at 7, 6, and 5 m the vehicle collided in 2/2 runs at each distance, so the avoidance/collision boundary at 3.0 m/s lies in the 7–8 m interval. Compared with the 8–11 m boundary at 4.2 m/s, the measurements confirm that the reduction of encounter speed moved the boundary inward. Three points are stated explicitly, however. First, the explicit cap was undelivered in these ladder runs as well (Section 8) — the low speed stems from the restart acceleration profile, but since the comparison axis is the measured encounter speed the conclusion stands, and the controlled verification under an actually delivered cap is performed in Section 8. Second, the launch protocols differ — the 4.2 ladder launches into the path of normal driving, whereas the 3.0 ladder launches during restart cruise, and the axis of comparison is the encounter speed of an "encounter during constant-speed cruise." Third, the measured boundary (7–8 m) lies farther out than the pure prediction of the physics model (5.79 m). The difference is explained by the margin required against a moving target and by the off-nominal segment of the acceleration profile immediately after restart, and the model should be interpreted as a lower-bound approximation. Taken together, the per-speed boundaries are 4.2 m/s → 8–11 m and 3.0 m/s → 7–8 m: low-speed encounters physically narrow the range of "unavoidable dart-outs," and its effect and its limit (the transient) are consistently explained by stopping-distance physics.</w:t>
      </w:r>
    </w:p>
    <w:p>
      <w:pPr>
        <w:keepNext/>
        <w:spacing w:line="312" w:lineRule="auto" w:before="40" w:after="0"/>
      </w:pPr>
      <w:r>
        <w:rPr>
          <w:rFonts w:ascii="Times New Roman" w:hAnsi="Times New Roman" w:eastAsia="HY신명조"/>
          <w:b/>
          <w:sz w:val="19"/>
        </w:rPr>
        <w:t xml:space="preserve">Table 5-7. </w:t>
      </w:r>
      <w:r>
        <w:rPr>
          <w:rFonts w:ascii="Times New Roman" w:hAnsi="Times New Roman" w:eastAsia="HY신명조"/>
          <w:b w:val="0"/>
          <w:sz w:val="19"/>
        </w:rPr>
        <w:t>Low-speed (3.0 m/s) ladder results (ledger adjudication)</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9"/>
              </w:rPr>
              <w:t>Spawn distance</w:t>
            </w:r>
          </w:p>
        </w:tc>
        <w:tc>
          <w:tcPr>
            <w:tcW w:type="dxa" w:w="4252"/>
          </w:tcPr>
          <w:p>
            <w:pPr>
              <w:keepNext/>
              <w:spacing w:line="288" w:lineRule="auto" w:before="20" w:after="20"/>
              <w:jc w:val="center"/>
            </w:pPr>
            <w:r/>
            <w:r>
              <w:rPr>
                <w:rFonts w:ascii="Times New Roman" w:hAnsi="Times New Roman" w:eastAsia="HY신명조"/>
                <w:b/>
                <w:sz w:val="19"/>
              </w:rPr>
              <w:t>Outcome</w:t>
            </w:r>
          </w:p>
        </w:tc>
      </w:tr>
      <w:tr>
        <w:trPr>
          <w:cantSplit/>
        </w:trPr>
        <w:tc>
          <w:tcPr>
            <w:tcW w:type="dxa" w:w="4252"/>
          </w:tcPr>
          <w:p>
            <w:pPr>
              <w:keepNext/>
              <w:spacing w:line="288" w:lineRule="auto" w:before="20" w:after="20"/>
              <w:jc w:val="left"/>
            </w:pPr>
            <w:r/>
            <w:r>
              <w:rPr>
                <w:rFonts w:ascii="Times New Roman" w:hAnsi="Times New Roman" w:eastAsia="HY신명조"/>
                <w:b w:val="0"/>
                <w:sz w:val="19"/>
              </w:rPr>
              <w:t>8 m</w:t>
            </w:r>
          </w:p>
        </w:tc>
        <w:tc>
          <w:tcPr>
            <w:tcW w:type="dxa" w:w="4252"/>
          </w:tcPr>
          <w:p>
            <w:pPr>
              <w:keepNext/>
              <w:spacing w:line="288" w:lineRule="auto" w:before="20" w:after="20"/>
              <w:jc w:val="left"/>
            </w:pPr>
            <w:r/>
            <w:r>
              <w:rPr>
                <w:rFonts w:ascii="Times New Roman" w:hAnsi="Times New Roman" w:eastAsia="HY신명조"/>
                <w:b w:val="0"/>
                <w:sz w:val="19"/>
              </w:rPr>
              <w:t>Avoidance 8/8 (settled cruise, Section 6)</w:t>
            </w:r>
          </w:p>
        </w:tc>
      </w:tr>
      <w:tr>
        <w:trPr>
          <w:cantSplit/>
        </w:trPr>
        <w:tc>
          <w:tcPr>
            <w:tcW w:type="dxa" w:w="4252"/>
          </w:tcPr>
          <w:p>
            <w:pPr>
              <w:keepNext/>
              <w:spacing w:line="288" w:lineRule="auto" w:before="20" w:after="20"/>
              <w:jc w:val="left"/>
            </w:pPr>
            <w:r/>
            <w:r>
              <w:rPr>
                <w:rFonts w:ascii="Times New Roman" w:hAnsi="Times New Roman" w:eastAsia="HY신명조"/>
                <w:b w:val="0"/>
                <w:sz w:val="19"/>
              </w:rPr>
              <w:t>7 m</w:t>
            </w:r>
          </w:p>
        </w:tc>
        <w:tc>
          <w:tcPr>
            <w:tcW w:type="dxa" w:w="4252"/>
          </w:tcPr>
          <w:p>
            <w:pPr>
              <w:keepNext/>
              <w:spacing w:line="288" w:lineRule="auto" w:before="20" w:after="20"/>
              <w:jc w:val="left"/>
            </w:pPr>
            <w:r/>
            <w:r>
              <w:rPr>
                <w:rFonts w:ascii="Times New Roman" w:hAnsi="Times New Roman" w:eastAsia="HY신명조"/>
                <w:b w:val="0"/>
                <w:sz w:val="19"/>
              </w:rPr>
              <w:t>Collision 2/2</w:t>
            </w:r>
          </w:p>
        </w:tc>
      </w:tr>
      <w:tr>
        <w:trPr>
          <w:cantSplit/>
        </w:trPr>
        <w:tc>
          <w:tcPr>
            <w:tcW w:type="dxa" w:w="4252"/>
          </w:tcPr>
          <w:p>
            <w:pPr>
              <w:keepNext/>
              <w:spacing w:line="288" w:lineRule="auto" w:before="20" w:after="20"/>
              <w:jc w:val="left"/>
            </w:pPr>
            <w:r/>
            <w:r>
              <w:rPr>
                <w:rFonts w:ascii="Times New Roman" w:hAnsi="Times New Roman" w:eastAsia="HY신명조"/>
                <w:b w:val="0"/>
                <w:sz w:val="19"/>
              </w:rPr>
              <w:t>6 m</w:t>
            </w:r>
          </w:p>
        </w:tc>
        <w:tc>
          <w:tcPr>
            <w:tcW w:type="dxa" w:w="4252"/>
          </w:tcPr>
          <w:p>
            <w:pPr>
              <w:keepNext/>
              <w:spacing w:line="288" w:lineRule="auto" w:before="20" w:after="20"/>
              <w:jc w:val="left"/>
            </w:pPr>
            <w:r/>
            <w:r>
              <w:rPr>
                <w:rFonts w:ascii="Times New Roman" w:hAnsi="Times New Roman" w:eastAsia="HY신명조"/>
                <w:b w:val="0"/>
                <w:sz w:val="19"/>
              </w:rPr>
              <w:t>Collision 2/2</w:t>
            </w:r>
          </w:p>
        </w:tc>
      </w:tr>
      <w:tr>
        <w:trPr>
          <w:cantSplit/>
        </w:trPr>
        <w:tc>
          <w:tcPr>
            <w:tcW w:type="dxa" w:w="4252"/>
          </w:tcPr>
          <w:p>
            <w:pPr>
              <w:spacing w:line="288" w:lineRule="auto" w:before="20" w:after="20"/>
              <w:jc w:val="left"/>
            </w:pPr>
            <w:r/>
            <w:r>
              <w:rPr>
                <w:rFonts w:ascii="Times New Roman" w:hAnsi="Times New Roman" w:eastAsia="HY신명조"/>
                <w:b w:val="0"/>
                <w:sz w:val="19"/>
              </w:rPr>
              <w:t>5 m</w:t>
            </w:r>
          </w:p>
        </w:tc>
        <w:tc>
          <w:tcPr>
            <w:tcW w:type="dxa" w:w="4252"/>
          </w:tcPr>
          <w:p>
            <w:pPr>
              <w:spacing w:line="288" w:lineRule="auto" w:before="20" w:after="20"/>
              <w:jc w:val="left"/>
            </w:pPr>
            <w:r/>
            <w:r>
              <w:rPr>
                <w:rFonts w:ascii="Times New Roman" w:hAnsi="Times New Roman" w:eastAsia="HY신명조"/>
                <w:b w:val="0"/>
                <w:sz w:val="19"/>
              </w:rPr>
              <w:t>Collision 2/2</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8. Causal Verification of the Speed Cap: A Dose-Response Experiment on Settled Encounters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ablation of Section 5 could not test the increment of the explicit cap (a delivery defect), and the two ladders of Section 7 used different launch protocols. To close both gaps at once, a controlled dose-response experiment was performed, with the delivery fixed, exclusively on settled-state encounters in which the cap actually held. How the defect was discovered matters methodologically: cap publish logs were recorded normally throughout the campaigns, yet the tick logs showed the moving vehicle tracking the sectional speed limit rather than the cap. The cause was a published message type that differed from the subscribed type of the evaluated stack's selector, silently discarded on the same topic name — "a publish log is not evidence of delivery" (Chapter 6, Section 4). After matching the type and adding 1 s periodic republication while moving, delivery and compliance were re-verified by measurement before entering this experiment.</w:t>
      </w:r>
    </w:p>
    <w:p>
      <w:pPr>
        <w:spacing w:line="501" w:lineRule="exact" w:before="0" w:after="0"/>
        <w:jc w:val="both"/>
      </w:pPr>
      <w:r>
        <w:rPr>
          <w:rFonts w:ascii="Times New Roman" w:hAnsi="Times New Roman" w:eastAsia="HY신명조"/>
          <w:b w:val="0"/>
          <w:sz w:val="22"/>
        </w:rPr>
        <w:t xml:space="preserve">   The design is a paired matrix of caps {4.2, 3.6, 3.0} m/s x spawn distances {6, 7, 8, 9} m x 10 seeds = 120 runs (Chapter 4, Sections 4 (v) and 7). The 4.2 m/s arm is a high-cap control practically equivalent to the road speed limit (15 km/h ≈ 4.17 m/s), and the three arms use the identical external velocity-limit interface differing only in the value, so there is no software-path difference. Launch uses the settlement trigger — the pedestrian is spawned D m ahead at the moment the supervisor is in MRM_MOVE and the measured speed has stayed within the cap-specific band for 1.0 s continuously (spread &lt;= 0.25 m/s) — which, unlike the time trigger of the Section 5 ablation (detection + 3 s, transient), guarantees at the trigger level that the cap holds at the encounter. The primary endpoint (8 m, paired 4.2 vs 3.0 exact McNemar) and the manipulation-check adoption rule were pre-specified in a plan before data collection (Chapter 4, Section 7). Of 125 attempts, 120 runs were adopted; the 5 rejections (4 band-not-reached, 1 reverse-direction spawn) were precondition violations rejected and re-run before their outcomes were examined. Adjudication is based on the ego ledger (RAW-HIT).</w:t>
      </w:r>
    </w:p>
    <w:p>
      <w:pPr>
        <w:keepNext/>
        <w:spacing w:line="312" w:lineRule="auto" w:before="40" w:after="0"/>
      </w:pPr>
      <w:r>
        <w:rPr>
          <w:rFonts w:ascii="Times New Roman" w:hAnsi="Times New Roman" w:eastAsia="HY신명조"/>
          <w:b/>
          <w:sz w:val="19"/>
        </w:rPr>
        <w:t xml:space="preserve">Table 5-8. </w:t>
      </w:r>
      <w:r>
        <w:rPr>
          <w:rFonts w:ascii="Times New Roman" w:hAnsi="Times New Roman" w:eastAsia="HY신명조"/>
          <w:b w:val="0"/>
          <w:sz w:val="19"/>
        </w:rPr>
        <w:t>Speed-dose experiment — collisions in settled encounters (n=10 seeds per cell, ledger adjudication)</w:t>
      </w:r>
    </w:p>
    <w:tbl>
      <w:tblPr>
        <w:tblStyle w:val="ac"/>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keepNext/>
              <w:spacing w:line="288" w:lineRule="auto" w:before="20" w:after="20"/>
              <w:jc w:val="center"/>
            </w:pPr>
            <w:r/>
            <w:r>
              <w:rPr>
                <w:rFonts w:ascii="Times New Roman" w:hAnsi="Times New Roman" w:eastAsia="HY신명조"/>
                <w:b/>
                <w:sz w:val="19"/>
              </w:rPr>
              <w:t>Speed cap</w:t>
            </w:r>
          </w:p>
        </w:tc>
        <w:tc>
          <w:tcPr>
            <w:tcW w:type="dxa" w:w="1417"/>
          </w:tcPr>
          <w:p>
            <w:pPr>
              <w:keepNext/>
              <w:spacing w:line="288" w:lineRule="auto" w:before="20" w:after="20"/>
              <w:jc w:val="center"/>
            </w:pPr>
            <w:r/>
            <w:r>
              <w:rPr>
                <w:rFonts w:ascii="Times New Roman" w:hAnsi="Times New Roman" w:eastAsia="HY신명조"/>
                <w:b/>
                <w:sz w:val="19"/>
              </w:rPr>
              <w:t>6 m</w:t>
            </w:r>
          </w:p>
        </w:tc>
        <w:tc>
          <w:tcPr>
            <w:tcW w:type="dxa" w:w="1417"/>
          </w:tcPr>
          <w:p>
            <w:pPr>
              <w:keepNext/>
              <w:spacing w:line="288" w:lineRule="auto" w:before="20" w:after="20"/>
              <w:jc w:val="center"/>
            </w:pPr>
            <w:r/>
            <w:r>
              <w:rPr>
                <w:rFonts w:ascii="Times New Roman" w:hAnsi="Times New Roman" w:eastAsia="HY신명조"/>
                <w:b/>
                <w:sz w:val="19"/>
              </w:rPr>
              <w:t>7 m</w:t>
            </w:r>
          </w:p>
        </w:tc>
        <w:tc>
          <w:tcPr>
            <w:tcW w:type="dxa" w:w="1417"/>
          </w:tcPr>
          <w:p>
            <w:pPr>
              <w:keepNext/>
              <w:spacing w:line="288" w:lineRule="auto" w:before="20" w:after="20"/>
              <w:jc w:val="center"/>
            </w:pPr>
            <w:r/>
            <w:r>
              <w:rPr>
                <w:rFonts w:ascii="Times New Roman" w:hAnsi="Times New Roman" w:eastAsia="HY신명조"/>
                <w:b/>
                <w:sz w:val="19"/>
              </w:rPr>
              <w:t>8 m</w:t>
            </w:r>
          </w:p>
        </w:tc>
        <w:tc>
          <w:tcPr>
            <w:tcW w:type="dxa" w:w="1417"/>
          </w:tcPr>
          <w:p>
            <w:pPr>
              <w:keepNext/>
              <w:spacing w:line="288" w:lineRule="auto" w:before="20" w:after="20"/>
              <w:jc w:val="center"/>
            </w:pPr>
            <w:r/>
            <w:r>
              <w:rPr>
                <w:rFonts w:ascii="Times New Roman" w:hAnsi="Times New Roman" w:eastAsia="HY신명조"/>
                <w:b/>
                <w:sz w:val="19"/>
              </w:rPr>
              <w:t>9 m</w:t>
            </w:r>
          </w:p>
        </w:tc>
        <w:tc>
          <w:tcPr>
            <w:tcW w:type="dxa" w:w="1417"/>
          </w:tcPr>
          <w:p>
            <w:pPr>
              <w:keepNext/>
              <w:spacing w:line="288" w:lineRule="auto" w:before="20" w:after="20"/>
              <w:jc w:val="center"/>
            </w:pPr>
            <w:r/>
            <w:r>
              <w:rPr>
                <w:rFonts w:ascii="Times New Roman" w:hAnsi="Times New Roman" w:eastAsia="HY신명조"/>
                <w:b/>
                <w:sz w:val="19"/>
              </w:rPr>
              <w:t>Estimated boundary</w:t>
            </w:r>
          </w:p>
        </w:tc>
      </w:tr>
      <w:tr>
        <w:trPr>
          <w:cantSplit/>
        </w:trPr>
        <w:tc>
          <w:tcPr>
            <w:tcW w:type="dxa" w:w="1417"/>
          </w:tcPr>
          <w:p>
            <w:pPr>
              <w:keepNext/>
              <w:spacing w:line="288" w:lineRule="auto" w:before="20" w:after="20"/>
              <w:jc w:val="left"/>
            </w:pPr>
            <w:r/>
            <w:r>
              <w:rPr>
                <w:rFonts w:ascii="Times New Roman" w:hAnsi="Times New Roman" w:eastAsia="HY신명조"/>
                <w:b w:val="0"/>
                <w:sz w:val="19"/>
              </w:rPr>
              <w:t>4.2 m/s (high-cap control)</w:t>
            </w:r>
          </w:p>
        </w:tc>
        <w:tc>
          <w:tcPr>
            <w:tcW w:type="dxa" w:w="1417"/>
          </w:tcPr>
          <w:p>
            <w:pPr>
              <w:keepNext/>
              <w:spacing w:line="288" w:lineRule="auto" w:before="20" w:after="20"/>
              <w:jc w:val="left"/>
            </w:pPr>
            <w:r/>
            <w:r>
              <w:rPr>
                <w:rFonts w:ascii="Times New Roman" w:hAnsi="Times New Roman" w:eastAsia="HY신명조"/>
                <w:b w:val="0"/>
                <w:sz w:val="19"/>
              </w:rPr>
              <w:t>10/10</w:t>
            </w:r>
          </w:p>
        </w:tc>
        <w:tc>
          <w:tcPr>
            <w:tcW w:type="dxa" w:w="1417"/>
          </w:tcPr>
          <w:p>
            <w:pPr>
              <w:keepNext/>
              <w:spacing w:line="288" w:lineRule="auto" w:before="20" w:after="20"/>
              <w:jc w:val="left"/>
            </w:pPr>
            <w:r/>
            <w:r>
              <w:rPr>
                <w:rFonts w:ascii="Times New Roman" w:hAnsi="Times New Roman" w:eastAsia="HY신명조"/>
                <w:b w:val="0"/>
                <w:sz w:val="19"/>
              </w:rPr>
              <w:t>10/10</w:t>
            </w:r>
          </w:p>
        </w:tc>
        <w:tc>
          <w:tcPr>
            <w:tcW w:type="dxa" w:w="1417"/>
          </w:tcPr>
          <w:p>
            <w:pPr>
              <w:keepNext/>
              <w:spacing w:line="288" w:lineRule="auto" w:before="20" w:after="20"/>
              <w:jc w:val="left"/>
            </w:pPr>
            <w:r/>
            <w:r>
              <w:rPr>
                <w:rFonts w:ascii="Times New Roman" w:hAnsi="Times New Roman" w:eastAsia="HY신명조"/>
                <w:b w:val="0"/>
                <w:sz w:val="19"/>
              </w:rPr>
              <w:t>10/10</w:t>
            </w:r>
          </w:p>
        </w:tc>
        <w:tc>
          <w:tcPr>
            <w:tcW w:type="dxa" w:w="1417"/>
          </w:tcPr>
          <w:p>
            <w:pPr>
              <w:keepNext/>
              <w:spacing w:line="288" w:lineRule="auto" w:before="20" w:after="20"/>
              <w:jc w:val="left"/>
            </w:pPr>
            <w:r/>
            <w:r>
              <w:rPr>
                <w:rFonts w:ascii="Times New Roman" w:hAnsi="Times New Roman" w:eastAsia="HY신명조"/>
                <w:b w:val="0"/>
                <w:sz w:val="19"/>
              </w:rPr>
              <w:t>10/10</w:t>
            </w:r>
          </w:p>
        </w:tc>
        <w:tc>
          <w:tcPr>
            <w:tcW w:type="dxa" w:w="1417"/>
          </w:tcPr>
          <w:p>
            <w:pPr>
              <w:keepNext/>
              <w:spacing w:line="288" w:lineRule="auto" w:before="20" w:after="20"/>
              <w:jc w:val="left"/>
            </w:pPr>
            <w:r/>
            <w:r>
              <w:rPr>
                <w:rFonts w:ascii="Times New Roman" w:hAnsi="Times New Roman" w:eastAsia="HY신명조"/>
                <w:b w:val="0"/>
                <w:sz w:val="19"/>
              </w:rPr>
              <w:t>beyond 9 m</w:t>
            </w:r>
          </w:p>
        </w:tc>
      </w:tr>
      <w:tr>
        <w:trPr>
          <w:cantSplit/>
        </w:trPr>
        <w:tc>
          <w:tcPr>
            <w:tcW w:type="dxa" w:w="1417"/>
          </w:tcPr>
          <w:p>
            <w:pPr>
              <w:keepNext/>
              <w:spacing w:line="288" w:lineRule="auto" w:before="20" w:after="20"/>
              <w:jc w:val="left"/>
            </w:pPr>
            <w:r/>
            <w:r>
              <w:rPr>
                <w:rFonts w:ascii="Times New Roman" w:hAnsi="Times New Roman" w:eastAsia="HY신명조"/>
                <w:b w:val="0"/>
                <w:sz w:val="19"/>
              </w:rPr>
              <w:t>3.6 m/s</w:t>
            </w:r>
          </w:p>
        </w:tc>
        <w:tc>
          <w:tcPr>
            <w:tcW w:type="dxa" w:w="1417"/>
          </w:tcPr>
          <w:p>
            <w:pPr>
              <w:keepNext/>
              <w:spacing w:line="288" w:lineRule="auto" w:before="20" w:after="20"/>
              <w:jc w:val="left"/>
            </w:pPr>
            <w:r/>
            <w:r>
              <w:rPr>
                <w:rFonts w:ascii="Times New Roman" w:hAnsi="Times New Roman" w:eastAsia="HY신명조"/>
                <w:b w:val="0"/>
                <w:sz w:val="19"/>
              </w:rPr>
              <w:t>10/10</w:t>
            </w:r>
          </w:p>
        </w:tc>
        <w:tc>
          <w:tcPr>
            <w:tcW w:type="dxa" w:w="1417"/>
          </w:tcPr>
          <w:p>
            <w:pPr>
              <w:keepNext/>
              <w:spacing w:line="288" w:lineRule="auto" w:before="20" w:after="20"/>
              <w:jc w:val="left"/>
            </w:pPr>
            <w:r/>
            <w:r>
              <w:rPr>
                <w:rFonts w:ascii="Times New Roman" w:hAnsi="Times New Roman" w:eastAsia="HY신명조"/>
                <w:b w:val="0"/>
                <w:sz w:val="19"/>
              </w:rPr>
              <w:t>10/10</w:t>
            </w:r>
          </w:p>
        </w:tc>
        <w:tc>
          <w:tcPr>
            <w:tcW w:type="dxa" w:w="1417"/>
          </w:tcPr>
          <w:p>
            <w:pPr>
              <w:keepNext/>
              <w:spacing w:line="288" w:lineRule="auto" w:before="20" w:after="20"/>
              <w:jc w:val="left"/>
            </w:pPr>
            <w:r/>
            <w:r>
              <w:rPr>
                <w:rFonts w:ascii="Times New Roman" w:hAnsi="Times New Roman" w:eastAsia="HY신명조"/>
                <w:b w:val="0"/>
                <w:sz w:val="19"/>
              </w:rPr>
              <w:t>10/10</w:t>
            </w:r>
          </w:p>
        </w:tc>
        <w:tc>
          <w:tcPr>
            <w:tcW w:type="dxa" w:w="1417"/>
          </w:tcPr>
          <w:p>
            <w:pPr>
              <w:keepNext/>
              <w:spacing w:line="288" w:lineRule="auto" w:before="20" w:after="20"/>
              <w:jc w:val="left"/>
            </w:pPr>
            <w:r/>
            <w:r>
              <w:rPr>
                <w:rFonts w:ascii="Times New Roman" w:hAnsi="Times New Roman" w:eastAsia="HY신명조"/>
                <w:b w:val="0"/>
                <w:sz w:val="19"/>
              </w:rPr>
              <w:t>2/10</w:t>
            </w:r>
          </w:p>
        </w:tc>
        <w:tc>
          <w:tcPr>
            <w:tcW w:type="dxa" w:w="1417"/>
          </w:tcPr>
          <w:p>
            <w:pPr>
              <w:keepNext/>
              <w:spacing w:line="288" w:lineRule="auto" w:before="20" w:after="20"/>
              <w:jc w:val="left"/>
            </w:pPr>
            <w:r/>
            <w:r>
              <w:rPr>
                <w:rFonts w:ascii="Times New Roman" w:hAnsi="Times New Roman" w:eastAsia="HY신명조"/>
                <w:b w:val="0"/>
                <w:sz w:val="19"/>
              </w:rPr>
              <w:t>about 9 m</w:t>
            </w:r>
          </w:p>
        </w:tc>
      </w:tr>
      <w:tr>
        <w:trPr>
          <w:cantSplit/>
        </w:trPr>
        <w:tc>
          <w:tcPr>
            <w:tcW w:type="dxa" w:w="1417"/>
          </w:tcPr>
          <w:p>
            <w:pPr>
              <w:spacing w:line="288" w:lineRule="auto" w:before="20" w:after="20"/>
              <w:jc w:val="left"/>
            </w:pPr>
            <w:r/>
            <w:r>
              <w:rPr>
                <w:rFonts w:ascii="Times New Roman" w:hAnsi="Times New Roman" w:eastAsia="HY신명조"/>
                <w:b w:val="0"/>
                <w:sz w:val="19"/>
              </w:rPr>
              <w:t>3.0 m/s (policy value)</w:t>
            </w:r>
          </w:p>
        </w:tc>
        <w:tc>
          <w:tcPr>
            <w:tcW w:type="dxa" w:w="1417"/>
          </w:tcPr>
          <w:p>
            <w:pPr>
              <w:spacing w:line="288" w:lineRule="auto" w:before="20" w:after="20"/>
              <w:jc w:val="left"/>
            </w:pPr>
            <w:r/>
            <w:r>
              <w:rPr>
                <w:rFonts w:ascii="Times New Roman" w:hAnsi="Times New Roman" w:eastAsia="HY신명조"/>
                <w:b w:val="0"/>
                <w:sz w:val="19"/>
              </w:rPr>
              <w:t>8/10</w:t>
            </w:r>
          </w:p>
        </w:tc>
        <w:tc>
          <w:tcPr>
            <w:tcW w:type="dxa" w:w="1417"/>
          </w:tcPr>
          <w:p>
            <w:pPr>
              <w:spacing w:line="288" w:lineRule="auto" w:before="20" w:after="20"/>
              <w:jc w:val="left"/>
            </w:pPr>
            <w:r/>
            <w:r>
              <w:rPr>
                <w:rFonts w:ascii="Times New Roman" w:hAnsi="Times New Roman" w:eastAsia="HY신명조"/>
                <w:b w:val="0"/>
                <w:sz w:val="19"/>
              </w:rPr>
              <w:t>5/10</w:t>
            </w:r>
          </w:p>
        </w:tc>
        <w:tc>
          <w:tcPr>
            <w:tcW w:type="dxa" w:w="1417"/>
          </w:tcPr>
          <w:p>
            <w:pPr>
              <w:spacing w:line="288" w:lineRule="auto" w:before="20" w:after="20"/>
              <w:jc w:val="left"/>
            </w:pPr>
            <w:r/>
            <w:r>
              <w:rPr>
                <w:rFonts w:ascii="Times New Roman" w:hAnsi="Times New Roman" w:eastAsia="HY신명조"/>
                <w:b w:val="0"/>
                <w:sz w:val="19"/>
              </w:rPr>
              <w:t>0/10</w:t>
            </w:r>
          </w:p>
        </w:tc>
        <w:tc>
          <w:tcPr>
            <w:tcW w:type="dxa" w:w="1417"/>
          </w:tcPr>
          <w:p>
            <w:pPr>
              <w:spacing w:line="288" w:lineRule="auto" w:before="20" w:after="20"/>
              <w:jc w:val="left"/>
            </w:pPr>
            <w:r/>
            <w:r>
              <w:rPr>
                <w:rFonts w:ascii="Times New Roman" w:hAnsi="Times New Roman" w:eastAsia="HY신명조"/>
                <w:b w:val="0"/>
                <w:sz w:val="19"/>
              </w:rPr>
              <w:t>0/10</w:t>
            </w:r>
          </w:p>
        </w:tc>
        <w:tc>
          <w:tcPr>
            <w:tcW w:type="dxa" w:w="1417"/>
          </w:tcPr>
          <w:p>
            <w:pPr>
              <w:spacing w:line="288" w:lineRule="auto" w:before="20" w:after="20"/>
              <w:jc w:val="left"/>
            </w:pPr>
            <w:r/>
            <w:r>
              <w:rPr>
                <w:rFonts w:ascii="Times New Roman" w:hAnsi="Times New Roman" w:eastAsia="HY신명조"/>
                <w:b w:val="0"/>
                <w:sz w:val="19"/>
              </w:rPr>
              <w:t>about 7 m</w:t>
            </w:r>
          </w:p>
        </w:tc>
      </w:tr>
    </w:tbl>
    <w:p>
      <w:pPr>
        <w:spacing w:line="312" w:lineRule="auto" w:before="0" w:after="0"/>
      </w:pPr>
      <w:r>
        <w:rPr>
          <w:rFonts w:ascii="Times New Roman" w:hAnsi="Times New Roman" w:eastAsia="HY신명조"/>
          <w:b w:val="0"/>
          <w:sz w:val="19"/>
        </w:rPr>
        <w:t>Manipulation check (measured speed at the first encounter tick): 4.2 arm 4.05–4.13 (median 4.08), 3.6 arm 3.37–3.58 (median 3.52), 3.0 arm 2.60–3.07 (median 2.81) m/s — every run within the required band (0.15 m/s tolerance). Minimum pedestrian gaps in avoidance runs are 1.8–5.4 m, i.e., all genuine encounters.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results are monotone along both axes (Table 5-8, Figure 5-6). At the pre-specified primary endpoint — the 8 m encounter — cap 4.2 collided in all ten seeds and cap 3.0 avoided in all ten, giving discordant pairs 10:0 and an exact McNemar two-sided p=0.002: the collision-reduction effect of the explicit cap, untestable in Section 5, is detected with unanimous seed-level directionality once the cap actually holds at the encounter. In the boundary characterization, the avoid/collide boundary is beyond 9 m at 4.2 m/s (consistent with the 8–11 m ladder of Section 3), about 9 m at 3.6 m/s (2/10 at 9 m), and about 7 m at 3.0 m/s (5/10 at 7 m, 0/10 at 8 m and beyond) — moving inward monotonically as the cap is lowered. In particular, the 5/10 of the 3.0 arm at 7 m falls in the middle of the boundary interval (7–8 m) estimated by the Section 7 low-speed ladder, a mutual corroboration.</w:t>
      </w:r>
    </w:p>
    <w:p>
      <w:pPr>
        <w:keepNext/>
        <w:spacing w:line="240" w:lineRule="auto"/>
        <w:jc w:val="center"/>
      </w:pPr>
      <w:r>
        <w:drawing>
          <wp:inline xmlns:a="http://schemas.openxmlformats.org/drawingml/2006/main" xmlns:pic="http://schemas.openxmlformats.org/drawingml/2006/picture">
            <wp:extent cx="5040000" cy="2072027"/>
            <wp:docPr id="14" name="Picture 14"/>
            <wp:cNvGraphicFramePr>
              <a:graphicFrameLocks noChangeAspect="1"/>
            </wp:cNvGraphicFramePr>
            <a:graphic>
              <a:graphicData uri="http://schemas.openxmlformats.org/drawingml/2006/picture">
                <pic:pic>
                  <pic:nvPicPr>
                    <pic:cNvPr id="0" name="fig13_speeddose.png"/>
                    <pic:cNvPicPr/>
                  </pic:nvPicPr>
                  <pic:blipFill>
                    <a:blip r:embed="rId28"/>
                    <a:stretch>
                      <a:fillRect/>
                    </a:stretch>
                  </pic:blipFill>
                  <pic:spPr>
                    <a:xfrm>
                      <a:off x="0" y="0"/>
                      <a:ext cx="5040000" cy="2072027"/>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5-6. </w:t>
      </w:r>
      <w:r>
        <w:rPr>
          <w:rFonts w:ascii="Times New Roman" w:hAnsi="Times New Roman" w:eastAsia="HY신명조"/>
          <w:b w:val="0"/>
          <w:sz w:val="19"/>
        </w:rPr>
        <w:t>Speed-dose experiment (120 runs, ledger adjudication). (a) Collision rate vs spawn distance per cap (Wilson 95% CI) — the avoid/collide boundary moves inward monotonically as the cap is lowered. (b) Pre-specified primary contrast (8 m): cap 4.2 m/s collided in 10/10, cap 3.0 m/s in 0/10 — discordant pairs 10:0, exact McNemar p=0.002.</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limits of interpretation are stated explicitly. This causal conclusion is restricted to the settled regime in which the cap holds; the transient risk before deceleration completes (Sections 5–6, 11/20) is outside the scope of this experiment — the cap does not remove the transient, it creates the physical safety margin after settling. No optimality claim is made for the 3.0 m/s value (the onset of collapse of the 3.6 arm at 9 m only locates the boundary of an intermediate dose), and the restrictions of n=10 per cell and a single fault (gn-mid) on a single evacuation corridor also remain.</w:t>
      </w:r>
    </w:p>
    <w:p>
      <w:pPr>
        <w:spacing w:line="501" w:lineRule="exact" w:before="0" w:after="0"/>
      </w:pPr>
    </w:p>
    <w:p>
      <w:pPr>
        <w:spacing w:line="501" w:lineRule="exact" w:before="0" w:after="0"/>
      </w:pPr>
      <w:r>
        <w:rPr>
          <w:rFonts w:ascii="Times New Roman" w:hAnsi="Times New Roman" w:eastAsia="HY신명조"/>
          <w:b/>
          <w:sz w:val="28"/>
        </w:rPr>
        <w:t>9. Hard-Fail Decision Latency: Verifying the 1.5 s Deadline</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the detection and decision of hard fails (signal loss), a 1.5 s deadline is set as the specification. The latency budget consists of the freshness deadline of 0.85 s and roughly 0.15 s for score propagation and state transition (the fast decision path of Chapter 3, Section 5: skipping persistence confirmation once death is confirmed, skipping grace and retry for unrecoverable conditions, pre-computing candidate paths), for a budget total of about 1.0 s, leaving margin against the deadline. Compliance was verified in ledger-based simulation time over the full cf and lf matrices (90 executed cases each, same structure as the main campaign; the latency n counts runs with parsable ledger latencies and the MRM denominators count runs judgeable after the ledger introduction, both below 90 after simulator-failure exclusion) (Table 5-9, Figure 5-1): across all subtypes the median was about 1.0 s and the maximum 1.20 s with no violations, and MRM attainment was maintained in full. This deadline is limited to hard fails — the decision for degradation-type faults is inherently a matter of statistical evidence accumulation and thus follows the severity-proportional principle (Chapter 3, Section 4).</w:t>
      </w:r>
    </w:p>
    <w:p>
      <w:pPr>
        <w:keepNext/>
        <w:spacing w:line="312" w:lineRule="auto" w:before="40" w:after="0"/>
      </w:pPr>
      <w:r>
        <w:rPr>
          <w:rFonts w:ascii="Times New Roman" w:hAnsi="Times New Roman" w:eastAsia="HY신명조"/>
          <w:b/>
          <w:sz w:val="19"/>
        </w:rPr>
        <w:t xml:space="preserve">Table 5-9. </w:t>
      </w:r>
      <w:r>
        <w:rPr>
          <w:rFonts w:ascii="Times New Roman" w:hAnsi="Times New Roman" w:eastAsia="HY신명조"/>
          <w:b w:val="0"/>
          <w:sz w:val="19"/>
        </w:rPr>
        <w:t>Hard-fail detection and decision latency (simulation time, ledger basis) and 1.5 s deadline compliance</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Times New Roman" w:hAnsi="Times New Roman" w:eastAsia="HY신명조"/>
                <w:b/>
                <w:sz w:val="19"/>
              </w:rPr>
              <w:t>Subtype</w:t>
            </w:r>
          </w:p>
        </w:tc>
        <w:tc>
          <w:tcPr>
            <w:tcW w:type="dxa" w:w="1215"/>
          </w:tcPr>
          <w:p>
            <w:pPr>
              <w:keepNext/>
              <w:spacing w:line="288" w:lineRule="auto" w:before="20" w:after="20"/>
              <w:jc w:val="center"/>
            </w:pPr>
            <w:r/>
            <w:r>
              <w:rPr>
                <w:rFonts w:ascii="Times New Roman" w:hAnsi="Times New Roman" w:eastAsia="HY신명조"/>
                <w:b/>
                <w:sz w:val="19"/>
              </w:rPr>
              <w:t>n</w:t>
            </w:r>
          </w:p>
        </w:tc>
        <w:tc>
          <w:tcPr>
            <w:tcW w:type="dxa" w:w="1215"/>
          </w:tcPr>
          <w:p>
            <w:pPr>
              <w:keepNext/>
              <w:spacing w:line="288" w:lineRule="auto" w:before="20" w:after="20"/>
              <w:jc w:val="center"/>
            </w:pPr>
            <w:r/>
            <w:r>
              <w:rPr>
                <w:rFonts w:ascii="Times New Roman" w:hAnsi="Times New Roman" w:eastAsia="HY신명조"/>
                <w:b/>
                <w:sz w:val="19"/>
              </w:rPr>
              <w:t>Median [s]</w:t>
            </w:r>
          </w:p>
        </w:tc>
        <w:tc>
          <w:tcPr>
            <w:tcW w:type="dxa" w:w="1215"/>
          </w:tcPr>
          <w:p>
            <w:pPr>
              <w:keepNext/>
              <w:spacing w:line="288" w:lineRule="auto" w:before="20" w:after="20"/>
              <w:jc w:val="center"/>
            </w:pPr>
            <w:r/>
            <w:r>
              <w:rPr>
                <w:rFonts w:ascii="Times New Roman" w:hAnsi="Times New Roman" w:eastAsia="HY신명조"/>
                <w:b/>
                <w:sz w:val="19"/>
              </w:rPr>
              <w:t>P95 [s]</w:t>
            </w:r>
          </w:p>
        </w:tc>
        <w:tc>
          <w:tcPr>
            <w:tcW w:type="dxa" w:w="1215"/>
          </w:tcPr>
          <w:p>
            <w:pPr>
              <w:keepNext/>
              <w:spacing w:line="288" w:lineRule="auto" w:before="20" w:after="20"/>
              <w:jc w:val="center"/>
            </w:pPr>
            <w:r/>
            <w:r>
              <w:rPr>
                <w:rFonts w:ascii="Times New Roman" w:hAnsi="Times New Roman" w:eastAsia="HY신명조"/>
                <w:b/>
                <w:sz w:val="19"/>
              </w:rPr>
              <w:t>Max [s]</w:t>
            </w:r>
          </w:p>
        </w:tc>
        <w:tc>
          <w:tcPr>
            <w:tcW w:type="dxa" w:w="1215"/>
          </w:tcPr>
          <w:p>
            <w:pPr>
              <w:keepNext/>
              <w:spacing w:line="288" w:lineRule="auto" w:before="20" w:after="20"/>
              <w:jc w:val="center"/>
            </w:pPr>
            <w:r/>
            <w:r>
              <w:rPr>
                <w:rFonts w:ascii="Times New Roman" w:hAnsi="Times New Roman" w:eastAsia="HY신명조"/>
                <w:b/>
                <w:sz w:val="19"/>
              </w:rPr>
              <w:t>&gt;1.5 s</w:t>
            </w:r>
          </w:p>
        </w:tc>
        <w:tc>
          <w:tcPr>
            <w:tcW w:type="dxa" w:w="1215"/>
          </w:tcPr>
          <w:p>
            <w:pPr>
              <w:keepNext/>
              <w:spacing w:line="288" w:lineRule="auto" w:before="20" w:after="20"/>
              <w:jc w:val="center"/>
            </w:pPr>
            <w:r/>
            <w:r>
              <w:rPr>
                <w:rFonts w:ascii="Times New Roman" w:hAnsi="Times New Roman" w:eastAsia="HY신명조"/>
                <w:b/>
                <w:sz w:val="19"/>
              </w:rPr>
              <w:t>MRM reached</w:t>
            </w:r>
          </w:p>
        </w:tc>
      </w:tr>
      <w:tr>
        <w:trPr>
          <w:cantSplit/>
        </w:trPr>
        <w:tc>
          <w:tcPr>
            <w:tcW w:type="dxa" w:w="1215"/>
          </w:tcPr>
          <w:p>
            <w:pPr>
              <w:keepNext/>
              <w:spacing w:line="288" w:lineRule="auto" w:before="20" w:after="20"/>
              <w:jc w:val="left"/>
            </w:pPr>
            <w:r/>
            <w:r>
              <w:rPr>
                <w:rFonts w:ascii="Times New Roman" w:hAnsi="Times New Roman" w:eastAsia="HY신명조"/>
                <w:b w:val="0"/>
                <w:sz w:val="19"/>
              </w:rPr>
              <w:t>cf-proposed</w:t>
            </w:r>
          </w:p>
        </w:tc>
        <w:tc>
          <w:tcPr>
            <w:tcW w:type="dxa" w:w="1215"/>
          </w:tcPr>
          <w:p>
            <w:pPr>
              <w:keepNext/>
              <w:spacing w:line="288" w:lineRule="auto" w:before="20" w:after="20"/>
              <w:jc w:val="left"/>
            </w:pPr>
            <w:r/>
            <w:r>
              <w:rPr>
                <w:rFonts w:ascii="Times New Roman" w:hAnsi="Times New Roman" w:eastAsia="HY신명조"/>
                <w:b w:val="0"/>
                <w:sz w:val="19"/>
              </w:rPr>
              <w:t>38</w:t>
            </w:r>
          </w:p>
        </w:tc>
        <w:tc>
          <w:tcPr>
            <w:tcW w:type="dxa" w:w="1215"/>
          </w:tcPr>
          <w:p>
            <w:pPr>
              <w:keepNext/>
              <w:spacing w:line="288" w:lineRule="auto" w:before="20" w:after="20"/>
              <w:jc w:val="left"/>
            </w:pPr>
            <w:r/>
            <w:r>
              <w:rPr>
                <w:rFonts w:ascii="Times New Roman" w:hAnsi="Times New Roman" w:eastAsia="HY신명조"/>
                <w:b w:val="0"/>
                <w:sz w:val="19"/>
              </w:rPr>
              <w:t>0.98</w:t>
            </w:r>
          </w:p>
        </w:tc>
        <w:tc>
          <w:tcPr>
            <w:tcW w:type="dxa" w:w="1215"/>
          </w:tcPr>
          <w:p>
            <w:pPr>
              <w:keepNext/>
              <w:spacing w:line="288" w:lineRule="auto" w:before="20" w:after="20"/>
              <w:jc w:val="left"/>
            </w:pPr>
            <w:r/>
            <w:r>
              <w:rPr>
                <w:rFonts w:ascii="Times New Roman" w:hAnsi="Times New Roman" w:eastAsia="HY신명조"/>
                <w:b w:val="0"/>
                <w:sz w:val="19"/>
              </w:rPr>
              <w:t>1.05</w:t>
            </w:r>
          </w:p>
        </w:tc>
        <w:tc>
          <w:tcPr>
            <w:tcW w:type="dxa" w:w="1215"/>
          </w:tcPr>
          <w:p>
            <w:pPr>
              <w:keepNext/>
              <w:spacing w:line="288" w:lineRule="auto" w:before="20" w:after="20"/>
              <w:jc w:val="left"/>
            </w:pPr>
            <w:r/>
            <w:r>
              <w:rPr>
                <w:rFonts w:ascii="Times New Roman" w:hAnsi="Times New Roman" w:eastAsia="HY신명조"/>
                <w:b w:val="0"/>
                <w:sz w:val="19"/>
              </w:rPr>
              <w:t>1.10</w:t>
            </w:r>
          </w:p>
        </w:tc>
        <w:tc>
          <w:tcPr>
            <w:tcW w:type="dxa" w:w="1215"/>
          </w:tcPr>
          <w:p>
            <w:pPr>
              <w:keepNext/>
              <w:spacing w:line="288" w:lineRule="auto" w:before="20" w:after="20"/>
              <w:jc w:val="left"/>
            </w:pPr>
            <w:r/>
            <w:r>
              <w:rPr>
                <w:rFonts w:ascii="Times New Roman" w:hAnsi="Times New Roman" w:eastAsia="HY신명조"/>
                <w:b w:val="0"/>
                <w:sz w:val="19"/>
              </w:rPr>
              <w:t>0 cases</w:t>
            </w:r>
          </w:p>
        </w:tc>
        <w:tc>
          <w:tcPr>
            <w:tcW w:type="dxa" w:w="1215"/>
          </w:tcPr>
          <w:p>
            <w:pPr>
              <w:keepNext/>
              <w:spacing w:line="288" w:lineRule="auto" w:before="20" w:after="20"/>
              <w:jc w:val="left"/>
            </w:pPr>
            <w:r/>
            <w:r>
              <w:rPr>
                <w:rFonts w:ascii="Times New Roman" w:hAnsi="Times New Roman" w:eastAsia="HY신명조"/>
                <w:b w:val="0"/>
                <w:sz w:val="19"/>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9"/>
              </w:rPr>
              <w:t>cf-baseline</w:t>
            </w:r>
          </w:p>
        </w:tc>
        <w:tc>
          <w:tcPr>
            <w:tcW w:type="dxa" w:w="1215"/>
          </w:tcPr>
          <w:p>
            <w:pPr>
              <w:keepNext/>
              <w:spacing w:line="288" w:lineRule="auto" w:before="20" w:after="20"/>
              <w:jc w:val="left"/>
            </w:pPr>
            <w:r/>
            <w:r>
              <w:rPr>
                <w:rFonts w:ascii="Times New Roman" w:hAnsi="Times New Roman" w:eastAsia="HY신명조"/>
                <w:b w:val="0"/>
                <w:sz w:val="19"/>
              </w:rPr>
              <w:t>40</w:t>
            </w:r>
          </w:p>
        </w:tc>
        <w:tc>
          <w:tcPr>
            <w:tcW w:type="dxa" w:w="1215"/>
          </w:tcPr>
          <w:p>
            <w:pPr>
              <w:keepNext/>
              <w:spacing w:line="288" w:lineRule="auto" w:before="20" w:after="20"/>
              <w:jc w:val="left"/>
            </w:pPr>
            <w:r/>
            <w:r>
              <w:rPr>
                <w:rFonts w:ascii="Times New Roman" w:hAnsi="Times New Roman" w:eastAsia="HY신명조"/>
                <w:b w:val="0"/>
                <w:sz w:val="19"/>
              </w:rPr>
              <w:t>1.00</w:t>
            </w:r>
          </w:p>
        </w:tc>
        <w:tc>
          <w:tcPr>
            <w:tcW w:type="dxa" w:w="1215"/>
          </w:tcPr>
          <w:p>
            <w:pPr>
              <w:keepNext/>
              <w:spacing w:line="288" w:lineRule="auto" w:before="20" w:after="20"/>
              <w:jc w:val="left"/>
            </w:pPr>
            <w:r/>
            <w:r>
              <w:rPr>
                <w:rFonts w:ascii="Times New Roman" w:hAnsi="Times New Roman" w:eastAsia="HY신명조"/>
                <w:b w:val="0"/>
                <w:sz w:val="19"/>
              </w:rPr>
              <w:t>1.05</w:t>
            </w:r>
          </w:p>
        </w:tc>
        <w:tc>
          <w:tcPr>
            <w:tcW w:type="dxa" w:w="1215"/>
          </w:tcPr>
          <w:p>
            <w:pPr>
              <w:keepNext/>
              <w:spacing w:line="288" w:lineRule="auto" w:before="20" w:after="20"/>
              <w:jc w:val="left"/>
            </w:pPr>
            <w:r/>
            <w:r>
              <w:rPr>
                <w:rFonts w:ascii="Times New Roman" w:hAnsi="Times New Roman" w:eastAsia="HY신명조"/>
                <w:b w:val="0"/>
                <w:sz w:val="19"/>
              </w:rPr>
              <w:t>1.10</w:t>
            </w:r>
          </w:p>
        </w:tc>
        <w:tc>
          <w:tcPr>
            <w:tcW w:type="dxa" w:w="1215"/>
          </w:tcPr>
          <w:p>
            <w:pPr>
              <w:keepNext/>
              <w:spacing w:line="288" w:lineRule="auto" w:before="20" w:after="20"/>
              <w:jc w:val="left"/>
            </w:pPr>
            <w:r/>
            <w:r>
              <w:rPr>
                <w:rFonts w:ascii="Times New Roman" w:hAnsi="Times New Roman" w:eastAsia="HY신명조"/>
                <w:b w:val="0"/>
                <w:sz w:val="19"/>
              </w:rPr>
              <w:t>0 cases</w:t>
            </w:r>
          </w:p>
        </w:tc>
        <w:tc>
          <w:tcPr>
            <w:tcW w:type="dxa" w:w="1215"/>
          </w:tcPr>
          <w:p>
            <w:pPr>
              <w:keepNext/>
              <w:spacing w:line="288" w:lineRule="auto" w:before="20" w:after="20"/>
              <w:jc w:val="left"/>
            </w:pPr>
            <w:r/>
            <w:r>
              <w:rPr>
                <w:rFonts w:ascii="Times New Roman" w:hAnsi="Times New Roman" w:eastAsia="HY신명조"/>
                <w:b w:val="0"/>
                <w:sz w:val="19"/>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9"/>
              </w:rPr>
              <w:t>lf-proposed</w:t>
            </w:r>
          </w:p>
        </w:tc>
        <w:tc>
          <w:tcPr>
            <w:tcW w:type="dxa" w:w="1215"/>
          </w:tcPr>
          <w:p>
            <w:pPr>
              <w:keepNext/>
              <w:spacing w:line="288" w:lineRule="auto" w:before="20" w:after="20"/>
              <w:jc w:val="left"/>
            </w:pPr>
            <w:r/>
            <w:r>
              <w:rPr>
                <w:rFonts w:ascii="Times New Roman" w:hAnsi="Times New Roman" w:eastAsia="HY신명조"/>
                <w:b w:val="0"/>
                <w:sz w:val="19"/>
              </w:rPr>
              <w:t>41</w:t>
            </w:r>
          </w:p>
        </w:tc>
        <w:tc>
          <w:tcPr>
            <w:tcW w:type="dxa" w:w="1215"/>
          </w:tcPr>
          <w:p>
            <w:pPr>
              <w:keepNext/>
              <w:spacing w:line="288" w:lineRule="auto" w:before="20" w:after="20"/>
              <w:jc w:val="left"/>
            </w:pPr>
            <w:r/>
            <w:r>
              <w:rPr>
                <w:rFonts w:ascii="Times New Roman" w:hAnsi="Times New Roman" w:eastAsia="HY신명조"/>
                <w:b w:val="0"/>
                <w:sz w:val="19"/>
              </w:rPr>
              <w:t>1.00</w:t>
            </w:r>
          </w:p>
        </w:tc>
        <w:tc>
          <w:tcPr>
            <w:tcW w:type="dxa" w:w="1215"/>
          </w:tcPr>
          <w:p>
            <w:pPr>
              <w:keepNext/>
              <w:spacing w:line="288" w:lineRule="auto" w:before="20" w:after="20"/>
              <w:jc w:val="left"/>
            </w:pPr>
            <w:r/>
            <w:r>
              <w:rPr>
                <w:rFonts w:ascii="Times New Roman" w:hAnsi="Times New Roman" w:eastAsia="HY신명조"/>
                <w:b w:val="0"/>
                <w:sz w:val="19"/>
              </w:rPr>
              <w:t>1.15</w:t>
            </w:r>
          </w:p>
        </w:tc>
        <w:tc>
          <w:tcPr>
            <w:tcW w:type="dxa" w:w="1215"/>
          </w:tcPr>
          <w:p>
            <w:pPr>
              <w:keepNext/>
              <w:spacing w:line="288" w:lineRule="auto" w:before="20" w:after="20"/>
              <w:jc w:val="left"/>
            </w:pPr>
            <w:r/>
            <w:r>
              <w:rPr>
                <w:rFonts w:ascii="Times New Roman" w:hAnsi="Times New Roman" w:eastAsia="HY신명조"/>
                <w:b w:val="0"/>
                <w:sz w:val="19"/>
              </w:rPr>
              <w:t>1.20</w:t>
            </w:r>
          </w:p>
        </w:tc>
        <w:tc>
          <w:tcPr>
            <w:tcW w:type="dxa" w:w="1215"/>
          </w:tcPr>
          <w:p>
            <w:pPr>
              <w:keepNext/>
              <w:spacing w:line="288" w:lineRule="auto" w:before="20" w:after="20"/>
              <w:jc w:val="left"/>
            </w:pPr>
            <w:r/>
            <w:r>
              <w:rPr>
                <w:rFonts w:ascii="Times New Roman" w:hAnsi="Times New Roman" w:eastAsia="HY신명조"/>
                <w:b w:val="0"/>
                <w:sz w:val="19"/>
              </w:rPr>
              <w:t>0 cases</w:t>
            </w:r>
          </w:p>
        </w:tc>
        <w:tc>
          <w:tcPr>
            <w:tcW w:type="dxa" w:w="1215"/>
          </w:tcPr>
          <w:p>
            <w:pPr>
              <w:keepNext/>
              <w:spacing w:line="288" w:lineRule="auto" w:before="20" w:after="20"/>
              <w:jc w:val="left"/>
            </w:pPr>
            <w:r/>
            <w:r>
              <w:rPr>
                <w:rFonts w:ascii="Times New Roman" w:hAnsi="Times New Roman" w:eastAsia="HY신명조"/>
                <w:b w:val="0"/>
                <w:sz w:val="19"/>
              </w:rPr>
              <w:t>33/33</w:t>
            </w:r>
          </w:p>
        </w:tc>
      </w:tr>
      <w:tr>
        <w:trPr>
          <w:cantSplit/>
        </w:trPr>
        <w:tc>
          <w:tcPr>
            <w:tcW w:type="dxa" w:w="1215"/>
          </w:tcPr>
          <w:p>
            <w:pPr>
              <w:spacing w:line="288" w:lineRule="auto" w:before="20" w:after="20"/>
              <w:jc w:val="left"/>
            </w:pPr>
            <w:r/>
            <w:r>
              <w:rPr>
                <w:rFonts w:ascii="Times New Roman" w:hAnsi="Times New Roman" w:eastAsia="HY신명조"/>
                <w:b w:val="0"/>
                <w:sz w:val="19"/>
              </w:rPr>
              <w:t>lf-baseline</w:t>
            </w:r>
          </w:p>
        </w:tc>
        <w:tc>
          <w:tcPr>
            <w:tcW w:type="dxa" w:w="1215"/>
          </w:tcPr>
          <w:p>
            <w:pPr>
              <w:spacing w:line="288" w:lineRule="auto" w:before="20" w:after="20"/>
              <w:jc w:val="left"/>
            </w:pPr>
            <w:r/>
            <w:r>
              <w:rPr>
                <w:rFonts w:ascii="Times New Roman" w:hAnsi="Times New Roman" w:eastAsia="HY신명조"/>
                <w:b w:val="0"/>
                <w:sz w:val="19"/>
              </w:rPr>
              <w:t>40</w:t>
            </w:r>
          </w:p>
        </w:tc>
        <w:tc>
          <w:tcPr>
            <w:tcW w:type="dxa" w:w="1215"/>
          </w:tcPr>
          <w:p>
            <w:pPr>
              <w:spacing w:line="288" w:lineRule="auto" w:before="20" w:after="20"/>
              <w:jc w:val="left"/>
            </w:pPr>
            <w:r/>
            <w:r>
              <w:rPr>
                <w:rFonts w:ascii="Times New Roman" w:hAnsi="Times New Roman" w:eastAsia="HY신명조"/>
                <w:b w:val="0"/>
                <w:sz w:val="19"/>
              </w:rPr>
              <w:t>1.00</w:t>
            </w:r>
          </w:p>
        </w:tc>
        <w:tc>
          <w:tcPr>
            <w:tcW w:type="dxa" w:w="1215"/>
          </w:tcPr>
          <w:p>
            <w:pPr>
              <w:spacing w:line="288" w:lineRule="auto" w:before="20" w:after="20"/>
              <w:jc w:val="left"/>
            </w:pPr>
            <w:r/>
            <w:r>
              <w:rPr>
                <w:rFonts w:ascii="Times New Roman" w:hAnsi="Times New Roman" w:eastAsia="HY신명조"/>
                <w:b w:val="0"/>
                <w:sz w:val="19"/>
              </w:rPr>
              <w:t>1.15</w:t>
            </w:r>
          </w:p>
        </w:tc>
        <w:tc>
          <w:tcPr>
            <w:tcW w:type="dxa" w:w="1215"/>
          </w:tcPr>
          <w:p>
            <w:pPr>
              <w:spacing w:line="288" w:lineRule="auto" w:before="20" w:after="20"/>
              <w:jc w:val="left"/>
            </w:pPr>
            <w:r/>
            <w:r>
              <w:rPr>
                <w:rFonts w:ascii="Times New Roman" w:hAnsi="Times New Roman" w:eastAsia="HY신명조"/>
                <w:b w:val="0"/>
                <w:sz w:val="19"/>
              </w:rPr>
              <w:t>1.20</w:t>
            </w:r>
          </w:p>
        </w:tc>
        <w:tc>
          <w:tcPr>
            <w:tcW w:type="dxa" w:w="1215"/>
          </w:tcPr>
          <w:p>
            <w:pPr>
              <w:spacing w:line="288" w:lineRule="auto" w:before="20" w:after="20"/>
              <w:jc w:val="left"/>
            </w:pPr>
            <w:r/>
            <w:r>
              <w:rPr>
                <w:rFonts w:ascii="Times New Roman" w:hAnsi="Times New Roman" w:eastAsia="HY신명조"/>
                <w:b w:val="0"/>
                <w:sz w:val="19"/>
              </w:rPr>
              <w:t>0 cases</w:t>
            </w:r>
          </w:p>
        </w:tc>
        <w:tc>
          <w:tcPr>
            <w:tcW w:type="dxa" w:w="1215"/>
          </w:tcPr>
          <w:p>
            <w:pPr>
              <w:spacing w:line="288" w:lineRule="auto" w:before="20" w:after="20"/>
              <w:jc w:val="left"/>
            </w:pPr>
            <w:r/>
            <w:r>
              <w:rPr>
                <w:rFonts w:ascii="Times New Roman" w:hAnsi="Times New Roman" w:eastAsia="HY신명조"/>
                <w:b w:val="0"/>
                <w:sz w:val="19"/>
              </w:rPr>
              <w:t>35/35</w:t>
            </w:r>
          </w:p>
        </w:tc>
      </w:tr>
    </w:tbl>
    <w:p>
      <w:pPr>
        <w:spacing w:line="312" w:lineRule="auto" w:before="0" w:after="0"/>
      </w:pPr>
      <w:r>
        <w:rPr>
          <w:rFonts w:ascii="Times New Roman" w:hAnsi="Times New Roman" w:eastAsia="HY신명조"/>
          <w:b w:val="0"/>
          <w:sz w:val="19"/>
        </w:rPr>
        <w:t>Decision latency = from fault activation (injector ledger) to the first MRM state transition (supervisor ledger), in simulation time.</w:t>
      </w:r>
    </w:p>
    <w:p>
      <w:pPr>
        <w:pageBreakBefore/>
        <w:spacing w:line="501" w:lineRule="exact" w:before="0" w:after="0"/>
        <w:jc w:val="center"/>
      </w:pPr>
      <w:r>
        <w:rPr>
          <w:rFonts w:ascii="Times New Roman" w:hAnsi="Times New Roman" w:eastAsia="HY신명조"/>
          <w:b/>
          <w:sz w:val="32"/>
        </w:rPr>
        <w:t>Chapter 6. Limitations and Discussion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The Temporal Trade-off Between Stopping and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structure running through the entire experiment is the temporal trade-off between stop-type and evacuation-type MRMs. In this sample, the in-lane stop showed the lowest collision rate even under the worst-case condition of transient-window launches (Chapter 5, Section 5), but its price is sustained lane occupancy (Chapter 5, Section 2); evacuation accepts controlled moving exposure and residual transient risk, but on success clears the lane and moves to an off-lane refuge position. Lane clearance is an indicator of relinquishing lane occupancy, not proof that the final position is safer — secondary risks at the shoulder (e.g., approaching rear traffic) were not directly compared in this study. Neither is unconditionally superior, and the choice should follow the temporal structure of the fault (hazard grace, remaining capability, and time to complete deceleration) — a result that supplies concrete selection variables to the ISO 23793-1 framework, which calls for principles of MRM type selection.</w:t>
      </w:r>
    </w:p>
    <w:p>
      <w:pPr>
        <w:spacing w:line="501" w:lineRule="exact" w:before="0" w:after="0"/>
      </w:pPr>
    </w:p>
    <w:p>
      <w:pPr>
        <w:spacing w:line="501" w:lineRule="exact" w:before="0" w:after="0"/>
      </w:pPr>
      <w:r>
        <w:rPr>
          <w:rFonts w:ascii="Times New Roman" w:hAnsi="Times New Roman" w:eastAsia="HY신명조"/>
          <w:b/>
          <w:sz w:val="28"/>
        </w:rPr>
        <w:t>2. The Post-Detection Transient, the Overall Fault-Response Risk Window, and FTTI</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fact that all collisions in the evacuation arm occurred in the segment where deceleration was not yet complete, with none during settled cruise (transient 11/20 vs. settled 0/8, Chapter 5, Sections 5–6), signifies the temporal localization of residual risk — even under the same policy, "when the encounter occurs" dominates the outcome. To distinguish the timeline terms: the post-detection transient runs from the detection instant (t_detect) to reaching the settled speed, whereas the overall fault-response risk window runs from fault onset to reaching the settled speed (T_detect + T_deceleration), the interval governed by Eq. (3-7). The present results concretize this general point into a measurable proposition: "earlier detection (shortening T_detect) and faster deceleration (shortening T_deceleration — in tension with ride comfort and rear-end risk) are experimentally supported as means of shrinking the overall fault-response risk window" — however, since this is an observational comparison rather than a causal experiment in which the detection instant was independently manipulated, it must not be read as an estimate of causal effect size.</w:t>
      </w:r>
    </w:p>
    <w:p>
      <w:pPr>
        <w:spacing w:line="501" w:lineRule="exact" w:before="0" w:after="0"/>
      </w:pPr>
    </w:p>
    <w:p>
      <w:pPr>
        <w:spacing w:line="501" w:lineRule="exact" w:before="0" w:after="0"/>
      </w:pPr>
      <w:r>
        <w:rPr>
          <w:rFonts w:ascii="Times New Roman" w:hAnsi="Times New Roman" w:eastAsia="HY신명조"/>
          <w:b/>
          <w:sz w:val="28"/>
        </w:rPr>
        <w:t>3. The Role of the Speed Cap: Causal Effect and Limits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null A3↔A4 difference in the ablation (Chapter 5, Section 5) was not an absence of a cap effect but an inability to test it — a delivery defect made both arms de facto uncapped, a post-hoc finding that itself extends the adjudication methodology (Section 4). With the delivery fixed and encounters controlled to the settled regime in which the cap actually holds, the dose-response experiment (Chapter 5, Section 8) detected the causal effect of the cap: paired discordance 10:0 at 8 m (p=0.002) and a monotone inward shift of the boundary (beyond 9 m to about 7 m). The cap's role is thus twofold — in the settled regime it verifiably moves the avoidance boundary inward, while in the transient it does not yet hold (measured transient encounter speeds 3.5–3.8 m/s, 11/20 collisions). That is, the cap's value is an explicit re-acceleration-suppressing upper bound that does not depend on natural deceleration, but its protection is effective only after deceleration completes. The 3.0 m/s value is grounded but not claimed optimal (the 9 m boundary of the 3.6 arm only locates an intermediate dose), nor is it a formal closed-loop speed guarantee.</w:t>
      </w:r>
    </w:p>
    <w:p>
      <w:pPr>
        <w:spacing w:line="501" w:lineRule="exact" w:before="0" w:after="0"/>
      </w:pPr>
    </w:p>
    <w:p>
      <w:pPr>
        <w:spacing w:line="501" w:lineRule="exact" w:before="0" w:after="0"/>
      </w:pPr>
      <w:r>
        <w:rPr>
          <w:rFonts w:ascii="Times New Roman" w:hAnsi="Times New Roman" w:eastAsia="HY신명조"/>
          <w:b/>
          <w:sz w:val="28"/>
        </w:rPr>
        <w:t>4. Lessons for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lesson of the collision-sensor silence incident (Chapter 4, Section 5) is a general one. In simulation-based safety evaluation, "zero collisions" is meaningful only after the adjudication channel has been proven alive; this study addressed this through positive-control verification of the adjudication sensor, cross-checking against the physics oracle and human visual inspection, and explicit statement of the pitfalls of termination labels and official infractions. The cap non-delivery incident (Chapter 5, Section 8) is the interface edition of the same lesson — a publish log is not evidence of delivery, the interface contract extends to the message type rather than just the topic name, and actuation commands must be verified by their downstream effect (measured vehicle speed). In particular, the error of reading "absence of a record" as "absence of an event" arises structurally in automated large-scale experiments, and the real-time ledger was the effective remedy. The availability of the adjudication infrastructure itself belongs to the same lesson — a watchdog was placed on the recording channel, and data from intervals in which channel liveness was not confirmed were not used for adjudication (watch the watchers).</w:t>
      </w:r>
    </w:p>
    <w:p>
      <w:pPr>
        <w:spacing w:line="501" w:lineRule="exact" w:before="0" w:after="0"/>
      </w:pPr>
    </w:p>
    <w:p>
      <w:pPr>
        <w:spacing w:line="501" w:lineRule="exact" w:before="0" w:after="0"/>
      </w:pPr>
      <w:r>
        <w:rPr>
          <w:rFonts w:ascii="Times New Roman" w:hAnsi="Times New Roman" w:eastAsia="HY신명조"/>
          <w:b/>
          <w:sz w:val="28"/>
        </w:rPr>
        <w:t>5. The Cost of Design Conservatism and the Execution and Map Layers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One of the factors limiting the evacuation completion rate (Chapter 5, Section 1) is the cost of intended conservatism. The traffic-light observability gate ("do not send a vehicle that cannot read signals to candidates routed through signalized intersections") shrinks the candidate set under camera-family faults and limits the evacuation completion rate (cf 16/45) — since mitigations (detour search, relaxed V2X trust) would introduce new trust assumptions, the conservative default was retained. The dependence on the execution layer is also stated explicitly: the shoulder-entry maneuver is delegated to the stock goal_planner, so evacuation-incomplete cases mix the decision layer's choice to defer with the execution layer's failure to complete the maneuver (in cf, 27 deferrals vs. 2 incompletions during the maneuver). Deferral is not a system failure but an intended policy choice of the supervisor, and the decision layer's deferral and the execution layer's maneuver incompletion are distinguished at the log level (Chapter 3, Section 8). At the map layer, manual annotation limits the scope of verification, and the traffic-light miscount (Chapter 4, Section 3) showed that map annotation quality is a hidden confounding variable — the fundamental remedy is automated extraction and verification of HD map attributes.</w:t>
      </w:r>
    </w:p>
    <w:p>
      <w:pPr>
        <w:spacing w:line="501" w:lineRule="exact" w:before="0" w:after="0"/>
      </w:pPr>
    </w:p>
    <w:p>
      <w:pPr>
        <w:spacing w:line="501" w:lineRule="exact" w:before="0" w:after="0"/>
      </w:pPr>
      <w:r>
        <w:rPr>
          <w:rFonts w:ascii="Times New Roman" w:hAnsi="Times New Roman" w:eastAsia="HY신명조"/>
          <w:b/>
          <w:sz w:val="28"/>
        </w:rPr>
        <w:t>6. Limitations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numerical results of this study are limited to the following scope. (i) This is a case study with a single map (Town07), a single speed limit (15 km/h), and two pedestrian launch corridors. The per-speed boundaries (8–11 m, 7–8 m) and the dose-response results (Chapter 5, Section 8) are values for the low-speed ODD; in high-speed environments the boundaries, the post-detection transient, and the overall fault-response risk window all grow — generalizable claims are restricted to structure (the stopping-distance dependence of the boundary, the concentration of risk in the transient, and the stop/evacuation trade-off), not to the numbers. (ii) Observations about Autoware (non-detection by its own diagnostics, stop-only fallback) are limited to the evaluated 0.39.0 version and this execution configuration, and are not claims about Autoware in general. (iii) The ablation study, with the extension round added, reaches n=20 per arm, yet this remains a sample size at which the non-detection of the primary contrast cannot be extended to equivalence; the instance in which the evacuation arm's collision-rate point estimate moved from 30–40% to 50–55% as the sample expanded illustrates the fragility of small-sample point estimates — this is why collision rates and confidence intervals are reported up front and testing was restricted to the two pre-specified tests. (iv) The case-level collision-free status of the main matrix (1,131 cases) comes from data predating the introduction of the ledger, and re-verification against the ledger was not performed (the risk is low since these cases have no pedestrian injection, but this is stated explicitly as a gap in methodological consistency). (v) The threshold of the minimum-separation (min-gap) metric recorded as an auxiliary encounter-proximity measure (1.25 m) is a lateral-approach criterion and may be an overestimate for longitudinal approaches. (vi) The gap between the commanded pedestrian speed ({2.5, 3.0} m/s) and the measured speed stems from the walker controller's post-spawn acceleration transient — in the tick-instrumented encounter runs (n=90), the median is 2.46 m/s in the 0.5 s window (1.2–3.0) and 2.50 m/s in the 1 s window, reaching about 95% of the command thereafter. In the ablation, the commanded speed is fixed per seed and measured speeds are logged at physics-tick rate; physical interpretation of the boundary should rest on the measured distribution, not the command. (vii) The phenomenon in which the CARLA actor list appears empty from an external client remains of unknown root cause and is being worked around. (viii) The lane-clearance metric T_lat-clear (Chapter 5, Section 5) is an operational definition based on a lateral departure of 1.8 m and an observation horizon of 20 s; following the definition in Chapter 4, Section 8, on the 20-case evacuation-arm sample that excludes non-ablation cases (development seeds, distance ladder) and post-collision departure records, the three-way classification counts (7 collisions, 6 observed departures, 7 non-departures within the horizon) and the observed median (11.0 s) were reported, and the KM median was described as not reached (survival 0.538&gt;0.5); however, a survival-regression formulation including covariates was not performed. (ix) Quantification of the detection latency's margin relative to the hazard time (T_hazard − T_detect), i.e., detection deadline compliance, could not be performed because the hazard event time (T_hazard) cannot be derived within the present measurement structure — this remains future work requiring an instrumentation extension for hazard event timing, and is left together with the explicit FRTI-and-margin reservation deferred as future work in Chapter 3, Section 4. (x) Real-vehicle validation was not performed.</w:t>
      </w:r>
    </w:p>
    <w:p>
      <w:pPr>
        <w:pageBreakBefore/>
        <w:spacing w:line="501" w:lineRule="exact" w:before="0" w:after="0"/>
        <w:jc w:val="center"/>
      </w:pPr>
      <w:r>
        <w:rPr>
          <w:rFonts w:ascii="Times New Roman" w:hAnsi="Times New Roman" w:eastAsia="HY신명조"/>
          <w:b/>
          <w:sz w:val="32"/>
        </w:rPr>
        <w:t>Chapter 7. Conclusion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study proposed a behavior-tree-based monitoring scheme that estimates sensor faults as continuous health scores, together with an MRM supervision layer that selectively chooses between evacuation and stop deferral according to the fault's type, severity, and remaining capability, and that imposes a conservative fixed speed cap (3.0 m/s), back-calculated from stopping distance, on evacuation movement; both were validated in an Autoware-CARLA closed loop. Across 1,131 valid cases in the main matrix, the proposed detectors achieved detection rates of 96–100% in 11 of the 12 fault conditions — median detection latencies of about 1.0 s for hard fails (cf/lf, ledger re-measurement) and 2.1–5.0 s for degradation faults, with no false activations in the 45 fault-free cases; monitoring shortened faulted-state exposure from 238–275 m without monitoring to 32–58 m for the camera and navigation families, and the severity-based evacuation/deferral branching and continued driving under low-risk faults emerged as designed. Safety was quantified through pedestrian-encounter experiments whose adjudication reliability was secured at the methodological level: the avoidance/collision boundary was 8–11 m at 4.2 m/s and 7–8 m at 3.0 m/s, consistent with the stopping-distance model; in a same-seed four-arm ablation (n=20 per arm), detection+stop collided in 0/20, evacuation in 10–11/20 (all during the transient), and the stock stack under continued driving in 14/20, while the same evacuation policy under settled cruise showed 0/8 collisions. After the explicit cap of the ablation was found post hoc to be nullified by a delivery defect and fixed, a dose-response experiment on settled encounters where the cap actually held (3 caps x 4 distances x 10 seeds = 120 runs, pre-registered) detected the collision-reduction effect of cap 4.2 vs 3.0 m/s with paired discordance 10:0 at 8 m (exact McNemar p=0.002), and the avoid/collide boundary moved inward monotonically as the cap was lowered (beyond 9 m to about 7 m). Hard fails (signal loss) are detected and adjudicated within a 1.5 s deadline via a fast decision path that distinguishes the nature of the evidence (measured maximum 1.20 s across the full matrix, Chapter 5, Section 8).</w:t>
      </w:r>
    </w:p>
    <w:p>
      <w:pPr>
        <w:spacing w:line="501" w:lineRule="exact" w:before="0" w:after="0"/>
        <w:jc w:val="both"/>
      </w:pPr>
      <w:r>
        <w:rPr>
          <w:rFonts w:ascii="Times New Roman" w:hAnsi="Times New Roman" w:eastAsia="HY신명조"/>
          <w:b w:val="0"/>
          <w:sz w:val="22"/>
        </w:rPr>
        <w:t xml:space="preserve">   The conclusions can be summarized in three sentences. First, shoulder evacuation is not a panacea — stopping and evacuation constitute a temporal trade-off between immediate collision risk and lane clearance / a safe position, and the choice must follow the temporal structure of the fault. Second, the residual risk of evacuation is concentrated in the post-detection transient (from detection until the settled speed is reached), while low speed after settling verifiably moves the avoidance boundary inward (transient 11/20 vs settled 0/8; dose-response 10:0, p=0.002) — the transient statement is restricted to the single launch instant (detection + 3 s) of the ablation (transient 11/20 vs. settled 0/8) — the experiments support that earlier detection and faster deceleration would shrink the overall fault-response risk window (detection latency + deceleration time) (this is not a causal manipulation experiment), and an encounter-level quantitative observation supporting the need to shorten detection and response times (widening the margin within the FTTI) is presented. Third, simulation-based safety claims hold only on top of a validated adjudication framework — the triple adjudication of real-time ledger, physics oracle, and visual cross-check, together with the explicit identification of recording pitfalls, is the methodological contribution that underpins the figures in this study.</w:t>
      </w:r>
    </w:p>
    <w:p>
      <w:pPr>
        <w:spacing w:line="501" w:lineRule="exact" w:before="0" w:after="0"/>
        <w:jc w:val="both"/>
      </w:pPr>
      <w:r>
        <w:rPr>
          <w:rFonts w:ascii="Times New Roman" w:hAnsi="Times New Roman" w:eastAsia="HY신명조"/>
          <w:b w:val="0"/>
          <w:sz w:val="22"/>
        </w:rPr>
        <w:t xml:space="preserve">   Future work includes extension to high-speed ODDs and multiple maps; extending the T_lat-clear survival analysis with covariate regression; formalizing the detection budget (explicit reservation of FRTI and margin, and quantification of deadline compliance based on T_hazard measurement); validating the health-score-proportional variable speed cap (implemented, not yet evaluated); designing early-detection and deceleration profiles that reduce the overall fault-response risk window; automatic extraction of HD-map candidates; searching for detour routes without traffic lights; extending the dose-response experiment to multiple faults and corridors; and real-vehicle validation.</w:t>
      </w:r>
    </w:p>
    <w:p>
      <w:pPr>
        <w:spacing w:line="501" w:lineRule="exact" w:before="0" w:after="0"/>
        <w:jc w:val="both"/>
      </w:pPr>
      <w:r>
        <w:rPr>
          <w:rFonts w:ascii="Times New Roman" w:hAnsi="Times New Roman" w:eastAsia="HY신명조"/>
          <w:b w:val="0"/>
          <w:sz w:val="22"/>
        </w:rPr>
        <w:t xml:space="preserve">   Finally, we note a methodological implication. The adjudication framework of this study (real-time ledger, physics oracle, visual cross-check) and the ablation protocol (same-seed pairing, behavior-independent time triggers, pre-specified primary contrast, position-balanced ordering) are not tied to any particular system. Follow-up studies that compare MRM and fallback policies in simulation can reuse this protocol regardless of policy implementation; in particular, the principle of "never reading the absence of a record as the absence of an event" and the launch design that prevents the policy from determining whether an encounter occurs remain valid in any comparative experiment.</w:t>
      </w:r>
    </w:p>
    <w:p>
      <w:pPr>
        <w:pageBreakBefore/>
        <w:spacing w:line="501" w:lineRule="exact" w:before="0" w:after="0"/>
        <w:jc w:val="center"/>
      </w:pPr>
      <w:r>
        <w:rPr>
          <w:rFonts w:ascii="Times New Roman" w:hAnsi="Times New Roman" w:eastAsia="HY신명조"/>
          <w:b/>
          <w:sz w:val="32"/>
        </w:rPr>
        <w:t>References</w:t>
      </w:r>
    </w:p>
    <w:p>
      <w:pPr>
        <w:spacing w:line="501" w:lineRule="exact" w:before="0" w:after="0"/>
      </w:pPr>
    </w:p>
    <w:p>
      <w:pPr>
        <w:spacing w:line="360" w:lineRule="auto" w:after="80"/>
        <w:ind w:left="510" w:hanging="510"/>
      </w:pPr>
      <w:r>
        <w:rPr>
          <w:rFonts w:ascii="Times New Roman" w:hAnsi="Times New Roman" w:eastAsia="HY신명조"/>
          <w:b w:val="0"/>
          <w:sz w:val="22"/>
        </w:rPr>
        <w:t>[1] ISO 26262:2018, Road vehicles — Functional safety.</w:t>
      </w:r>
    </w:p>
    <w:p>
      <w:pPr>
        <w:spacing w:line="360" w:lineRule="auto" w:after="80"/>
        <w:ind w:left="510" w:hanging="510"/>
      </w:pPr>
      <w:r>
        <w:rPr>
          <w:rFonts w:ascii="Times New Roman" w:hAnsi="Times New Roman" w:eastAsia="HY신명조"/>
          <w:b w:val="0"/>
          <w:sz w:val="22"/>
        </w:rPr>
        <w:t>[2] ISO 21448:2022, Road vehicles — Safety of the intended functionality.</w:t>
      </w:r>
    </w:p>
    <w:p>
      <w:pPr>
        <w:spacing w:line="360" w:lineRule="auto" w:after="80"/>
        <w:ind w:left="510" w:hanging="510"/>
      </w:pPr>
      <w:r>
        <w:rPr>
          <w:rFonts w:ascii="Times New Roman" w:hAnsi="Times New Roman"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Times New Roman" w:hAnsi="Times New Roman"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Times New Roman" w:hAnsi="Times New Roman" w:eastAsia="HY신명조"/>
          <w:b w:val="0"/>
          <w:sz w:val="22"/>
        </w:rPr>
        <w:t>[5] UL 4600, Standard for Safety for the Evaluation of Autonomous Products, 3rd ed., 2023.</w:t>
      </w:r>
    </w:p>
    <w:p>
      <w:pPr>
        <w:spacing w:line="360" w:lineRule="auto" w:after="80"/>
        <w:ind w:left="510" w:hanging="510"/>
      </w:pPr>
      <w:r>
        <w:rPr>
          <w:rFonts w:ascii="Times New Roman" w:hAnsi="Times New Roman"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Times New Roman" w:hAnsi="Times New Roman" w:eastAsia="HY신명조"/>
          <w:b w:val="0"/>
          <w:sz w:val="22"/>
        </w:rPr>
        <w:t>[7] AUTOSAR, Specification of Watchdog Manager, R23-11.</w:t>
      </w:r>
    </w:p>
    <w:p>
      <w:pPr>
        <w:spacing w:line="360" w:lineRule="auto" w:after="80"/>
        <w:ind w:left="510" w:hanging="510"/>
      </w:pPr>
      <w:r>
        <w:rPr>
          <w:rFonts w:ascii="Times New Roman" w:hAnsi="Times New Roman"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Times New Roman" w:hAnsi="Times New Roman" w:eastAsia="HY신명조"/>
          <w:b w:val="0"/>
          <w:sz w:val="22"/>
        </w:rPr>
        <w:t>[9] J. C. Hayward, "Near-miss determination through use of a scale of danger," Highway Research Record, no. 384, 1972.</w:t>
      </w:r>
    </w:p>
    <w:p>
      <w:pPr>
        <w:spacing w:line="360" w:lineRule="auto" w:after="80"/>
        <w:ind w:left="510" w:hanging="510"/>
      </w:pPr>
      <w:r>
        <w:rPr>
          <w:rFonts w:ascii="Times New Roman" w:hAnsi="Times New Roman"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Times New Roman" w:hAnsi="Times New Roman" w:eastAsia="HY신명조"/>
          <w:b w:val="0"/>
          <w:sz w:val="22"/>
        </w:rPr>
        <w:t>[11] S. Shalev-Shwartz, S. Shammah, and A. Shashua, "On a formal model of safe and scalable self-driving cars," arXiv:1708.06374, 2017.</w:t>
      </w:r>
    </w:p>
    <w:p>
      <w:pPr>
        <w:spacing w:line="360" w:lineRule="auto" w:after="80"/>
        <w:ind w:left="510" w:hanging="510"/>
      </w:pPr>
      <w:r>
        <w:rPr>
          <w:rFonts w:ascii="Times New Roman" w:hAnsi="Times New Roman" w:eastAsia="HY신명조"/>
          <w:b w:val="0"/>
          <w:sz w:val="22"/>
        </w:rPr>
        <w:t>[12] A. S. Willsky, "A survey of design methods for failure detection in dynamic systems," Automatica, vol. 12, no. 6, 1976.</w:t>
      </w:r>
    </w:p>
    <w:p>
      <w:pPr>
        <w:spacing w:line="360" w:lineRule="auto" w:after="80"/>
        <w:ind w:left="510" w:hanging="510"/>
      </w:pPr>
      <w:r>
        <w:rPr>
          <w:rFonts w:ascii="Times New Roman" w:hAnsi="Times New Roman"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Times New Roman" w:hAnsi="Times New Roman" w:eastAsia="HY신명조"/>
          <w:b w:val="0"/>
          <w:sz w:val="22"/>
        </w:rPr>
        <w:t>[14] R. Isermann, Fault-Diagnosis Systems: An Introduction from Fault Detection to Fault Tolerance, Springer, 2006.</w:t>
      </w:r>
    </w:p>
    <w:p>
      <w:pPr>
        <w:spacing w:line="360" w:lineRule="auto" w:after="80"/>
        <w:ind w:left="510" w:hanging="510"/>
      </w:pPr>
      <w:r>
        <w:rPr>
          <w:rFonts w:ascii="Times New Roman" w:hAnsi="Times New Roman"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Times New Roman" w:hAnsi="Times New Roman" w:eastAsia="HY신명조"/>
          <w:b w:val="0"/>
          <w:sz w:val="22"/>
        </w:rPr>
        <w:t>[16] E. S. Page, "Continuous inspection schemes," Biometrika, vol. 41, no. 1/2, 1954.</w:t>
      </w:r>
    </w:p>
    <w:p>
      <w:pPr>
        <w:spacing w:line="360" w:lineRule="auto" w:after="80"/>
        <w:ind w:left="510" w:hanging="510"/>
      </w:pPr>
      <w:r>
        <w:rPr>
          <w:rFonts w:ascii="Times New Roman" w:hAnsi="Times New Roman" w:eastAsia="HY신명조"/>
          <w:b w:val="0"/>
          <w:sz w:val="22"/>
        </w:rPr>
        <w:t>[17] M. Basseville and I. V. Nikiforov, Detection of Abrupt Changes: Theory and Application, Prentice Hall, 1993.</w:t>
      </w:r>
    </w:p>
    <w:p>
      <w:pPr>
        <w:spacing w:line="360" w:lineRule="auto" w:after="80"/>
        <w:ind w:left="510" w:hanging="510"/>
      </w:pPr>
      <w:r>
        <w:rPr>
          <w:rFonts w:ascii="Times New Roman" w:hAnsi="Times New Roman" w:eastAsia="HY신명조"/>
          <w:b w:val="0"/>
          <w:sz w:val="22"/>
        </w:rPr>
        <w:t>[18] Autoware Foundation, "autoware.universe documentation: ring_outlier_filter, blockage_diag, mrm_handler, goal_planner," autowarefoundation/autoware.universe (evaluated version 0.39.0). https://autowarefoundation.github.io/autoware.universe/</w:t>
      </w:r>
    </w:p>
    <w:p>
      <w:pPr>
        <w:spacing w:line="360" w:lineRule="auto" w:after="80"/>
        <w:ind w:left="510" w:hanging="510"/>
      </w:pPr>
      <w:r>
        <w:rPr>
          <w:rFonts w:ascii="Times New Roman" w:hAnsi="Times New Roman" w:eastAsia="HY신명조"/>
          <w:b w:val="0"/>
          <w:sz w:val="22"/>
        </w:rPr>
        <w:t>[19] R. B. Rusu and S. Cousins, "3D is here: Point Cloud Library (PCL)," Proc. IEEE ICRA, 2011.</w:t>
      </w:r>
    </w:p>
    <w:p>
      <w:pPr>
        <w:spacing w:line="360" w:lineRule="auto" w:after="80"/>
        <w:ind w:left="510" w:hanging="510"/>
      </w:pPr>
      <w:r>
        <w:rPr>
          <w:rFonts w:ascii="Times New Roman" w:hAnsi="Times New Roman"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Times New Roman" w:hAnsi="Times New Roman"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Times New Roman" w:hAnsi="Times New Roman" w:eastAsia="HY신명조"/>
          <w:b w:val="0"/>
          <w:sz w:val="22"/>
        </w:rPr>
        <w:t>[22] C. Zhang et al., "LiDAR degradation quantification for autonomous driving in rain," Proc. IEEE/RSJ IROS, 2021.</w:t>
      </w:r>
    </w:p>
    <w:p>
      <w:pPr>
        <w:spacing w:line="360" w:lineRule="auto" w:after="80"/>
        <w:ind w:left="510" w:hanging="510"/>
      </w:pPr>
      <w:r>
        <w:rPr>
          <w:rFonts w:ascii="Times New Roman" w:hAnsi="Times New Roman"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Times New Roman" w:hAnsi="Times New Roman"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Times New Roman" w:hAnsi="Times New Roman"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Times New Roman" w:hAnsi="Times New Roman"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Times New Roman" w:hAnsi="Times New Roman"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Times New Roman" w:hAnsi="Times New Roman"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Times New Roman" w:hAnsi="Times New Roman"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Times New Roman" w:hAnsi="Times New Roman" w:eastAsia="HY신명조"/>
          <w:b w:val="0"/>
          <w:sz w:val="22"/>
        </w:rPr>
        <w:t>[30] S. Magdici and M. Althoff, "Fail-safe motion planning of autonomous vehicles," Proc. IEEE ITSC, 2016.</w:t>
      </w:r>
    </w:p>
    <w:p>
      <w:pPr>
        <w:spacing w:line="360" w:lineRule="auto" w:after="80"/>
        <w:ind w:left="510" w:hanging="510"/>
      </w:pPr>
      <w:r>
        <w:rPr>
          <w:rFonts w:ascii="Times New Roman" w:hAnsi="Times New Roman"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Times New Roman" w:hAnsi="Times New Roman"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Times New Roman" w:hAnsi="Times New Roman"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Times New Roman" w:hAnsi="Times New Roman"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Times New Roman" w:hAnsi="Times New Roman"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Times New Roman" w:hAnsi="Times New Roman"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Times New Roman" w:hAnsi="Times New Roman"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Times New Roman" w:hAnsi="Times New Roman"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Times New Roman" w:hAnsi="Times New Roman"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Times New Roman" w:hAnsi="Times New Roman" w:eastAsia="HY신명조"/>
          <w:b w:val="0"/>
          <w:sz w:val="22"/>
        </w:rPr>
        <w:t>[40] M. Colledanchise and P. Ögren, Behavior Trees in Robotics and AI: An Introduction, CRC Press, 2018.</w:t>
      </w:r>
    </w:p>
    <w:p>
      <w:pPr>
        <w:spacing w:line="360" w:lineRule="auto" w:after="80"/>
        <w:ind w:left="510" w:hanging="510"/>
      </w:pPr>
      <w:r>
        <w:rPr>
          <w:rFonts w:ascii="Times New Roman" w:hAnsi="Times New Roman"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Times New Roman" w:hAnsi="Times New Roman" w:eastAsia="HY신명조"/>
          <w:b w:val="0"/>
          <w:sz w:val="22"/>
        </w:rPr>
        <w:t>[42] D. Faconti, BehaviorTree.CPP (v4) / behaviortree_ros2, github.com/BehaviorTree/BehaviorTree.CPP.</w:t>
      </w:r>
    </w:p>
    <w:p>
      <w:pPr>
        <w:spacing w:line="360" w:lineRule="auto" w:after="80"/>
        <w:ind w:left="510" w:hanging="510"/>
      </w:pPr>
      <w:r>
        <w:rPr>
          <w:rFonts w:ascii="Times New Roman" w:hAnsi="Times New Roman"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Times New Roman" w:hAnsi="Times New Roman"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Times New Roman" w:hAnsi="Times New Roman"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Times New Roman" w:hAnsi="Times New Roman" w:eastAsia="HY신명조"/>
          <w:b w:val="0"/>
          <w:sz w:val="22"/>
        </w:rPr>
        <w:t>[46] G. Li et al., "AV-FUZZER: Finding safety violations in autonomous driving systems," Proc. IEEE ISSRE, 2020.</w:t>
      </w:r>
    </w:p>
    <w:p>
      <w:pPr>
        <w:spacing w:line="360" w:lineRule="auto" w:after="80"/>
        <w:ind w:left="510" w:hanging="510"/>
      </w:pPr>
      <w:r>
        <w:rPr>
          <w:rFonts w:ascii="Times New Roman" w:hAnsi="Times New Roman" w:eastAsia="HY신명조"/>
          <w:b w:val="0"/>
          <w:sz w:val="22"/>
        </w:rPr>
        <w:t>[47] D. J. Fremont et al., "Scenic: A language for scenario specification and scene generation," Proc. ACM PLDI, 2019.</w:t>
      </w:r>
    </w:p>
    <w:p>
      <w:pPr>
        <w:spacing w:line="360" w:lineRule="auto" w:after="80"/>
        <w:ind w:left="510" w:hanging="510"/>
      </w:pPr>
      <w:r>
        <w:rPr>
          <w:rFonts w:ascii="Times New Roman" w:hAnsi="Times New Roman"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Times New Roman" w:hAnsi="Times New Roman"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Times New Roman" w:hAnsi="Times New Roman"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Times New Roman" w:hAnsi="Times New Roman" w:eastAsia="HY신명조"/>
          <w:b w:val="0"/>
          <w:sz w:val="22"/>
        </w:rPr>
        <w:t>[51] ISO 23793-1:2024, Intelligent transport systems — Minimal risk manoeuvre (MRM) for automated driving — Part 1: Framework, straight-stop and in-lane stop. (Part 2: Road shoulder stop — under development)</w:t>
      </w:r>
    </w:p>
    <w:p>
      <w:pPr>
        <w:spacing w:line="360" w:lineRule="auto" w:after="80"/>
        <w:ind w:left="510" w:hanging="510"/>
      </w:pPr>
      <w:r>
        <w:rPr>
          <w:rFonts w:ascii="Times New Roman" w:hAnsi="Times New Roman"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Times New Roman" w:hAnsi="Times New Roman"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Times New Roman" w:hAnsi="Times New Roman"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Times New Roman" w:hAnsi="Times New Roman"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Times New Roman" w:hAnsi="Times New Roman"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Times New Roman" w:hAnsi="Times New Roman"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Times New Roman" w:hAnsi="Times New Roman"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Times New Roman" w:hAnsi="Times New Roman" w:eastAsia="HY신명조"/>
          <w:b w:val="0"/>
          <w:sz w:val="22"/>
        </w:rPr>
        <w:t>[59] M. Hahner et al., "LiDAR snowfall simulation for robust 3D object detection," Proc. IEEE/CVF CVPR, 2022.</w:t>
      </w:r>
    </w:p>
    <w:p>
      <w:pPr>
        <w:spacing w:line="360" w:lineRule="auto" w:after="80"/>
        <w:ind w:left="510" w:hanging="510"/>
      </w:pPr>
      <w:r>
        <w:rPr>
          <w:rFonts w:ascii="Times New Roman" w:hAnsi="Times New Roman"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Times New Roman" w:hAnsi="Times New Roman"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Times New Roman" w:hAnsi="Times New Roman"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Times New Roman" w:hAnsi="Times New Roman" w:eastAsia="HY신명조"/>
          <w:b/>
          <w:sz w:val="28"/>
        </w:rPr>
        <w:t>논문요약</w:t>
      </w:r>
    </w:p>
    <w:p>
      <w:pPr>
        <w:spacing w:line="501" w:lineRule="exact" w:before="0" w:after="0"/>
      </w:pPr>
    </w:p>
    <w:p>
      <w:pPr>
        <w:spacing w:line="360" w:lineRule="auto" w:before="0" w:after="0"/>
        <w:jc w:val="center"/>
      </w:pPr>
      <w:r>
        <w:rPr>
          <w:rFonts w:ascii="Times New Roman" w:hAnsi="Times New Roman" w:eastAsia="HY신명조"/>
          <w:b/>
          <w:sz w:val="32"/>
        </w:rPr>
        <w:t>자율주행 차량의 페일세이프 운행을 위한 연속 센서 건강도 감시와</w:t>
      </w:r>
    </w:p>
    <w:p>
      <w:pPr>
        <w:spacing w:line="360" w:lineRule="auto" w:before="0" w:after="0"/>
        <w:jc w:val="center"/>
      </w:pPr>
      <w:r>
        <w:rPr>
          <w:rFonts w:ascii="Times New Roman" w:hAnsi="Times New Roman" w:eastAsia="HY신명조"/>
          <w:b/>
          <w:sz w:val="32"/>
        </w:rPr>
        <w:t>위험·잔여능력 기반 단계적 최소위험기동 감독</w:t>
      </w:r>
    </w:p>
    <w:p>
      <w:pPr>
        <w:spacing w:line="501" w:lineRule="exact" w:before="0" w:after="0"/>
      </w:pPr>
    </w:p>
    <w:p>
      <w:pPr>
        <w:spacing w:line="360" w:lineRule="auto" w:before="0" w:after="0"/>
        <w:jc w:val="right"/>
      </w:pPr>
      <w:r>
        <w:rPr>
          <w:rFonts w:ascii="Times New Roman" w:hAnsi="Times New Roman" w:eastAsia="HY신명조"/>
          <w:b w:val="0"/>
          <w:sz w:val="22"/>
        </w:rPr>
        <w:t>○ ○ ○</w:t>
      </w:r>
    </w:p>
    <w:p>
      <w:pPr>
        <w:spacing w:line="360" w:lineRule="auto" w:before="0" w:after="0"/>
        <w:jc w:val="right"/>
      </w:pPr>
      <w:r>
        <w:rPr>
          <w:rFonts w:ascii="Times New Roman" w:hAnsi="Times New Roman" w:eastAsia="HY신명조"/>
          <w:b w:val="0"/>
          <w:sz w:val="22"/>
        </w:rPr>
        <w:t>성균관대학교 일반대학원</w:t>
      </w:r>
    </w:p>
    <w:p>
      <w:pPr>
        <w:spacing w:line="360" w:lineRule="auto" w:before="0" w:after="0"/>
        <w:jc w:val="right"/>
      </w:pPr>
      <w:r>
        <w:rPr>
          <w:rFonts w:ascii="Times New Roman" w:hAnsi="Times New Roman" w:eastAsia="HY신명조"/>
          <w:b w:val="0"/>
          <w:sz w:val="22"/>
        </w:rPr>
        <w:t>전자전기컴퓨터공학과</w:t>
      </w:r>
    </w:p>
    <w:p>
      <w:pPr>
        <w:spacing w:line="501" w:lineRule="exact" w:before="0" w:after="0"/>
      </w:pPr>
    </w:p>
    <w:p>
      <w:pPr>
        <w:spacing w:line="501" w:lineRule="exact" w:before="0" w:after="0"/>
        <w:jc w:val="both"/>
      </w:pPr>
      <w:r>
        <w:rPr>
          <w:rFonts w:ascii="Times New Roman" w:hAnsi="Times New Roman"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Times New Roman" w:hAnsi="Times New Roman"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238~275 m에서 감시+대피의 32~58 m(카메라·항법 계열)로 단축함을 보였다. 신호가 완전히 끊기는 하드 페일은 증거 성격을 구분하는 고속 판정 경로로 감지·판정을 1.5 s 마감 안에 완료하며(실측 최대 1.20 s), 항법 고장 4종(상관 편향·두절·자이로 바이어스·드리프트)의 보조 캠페인(유효 611케이스)에서 전 조건 100% 검출을 확인하였다.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Times New Roman" w:hAnsi="Times New Roman" w:eastAsia="HY신명조"/>
          <w:b w:val="0"/>
          <w:sz w:val="22"/>
        </w:rPr>
        <w:t xml:space="preserve">   동일 시드 쌍대 절제 실험(4팔×20시드, 감지+3초의 감속 과도구간 발사)에서 순정 지속 주행은 20회 중 14회 충돌하였고, 감지+차로 내 정지는 0회, 속도 상한 없는 대피는 10회, 3.0 m/s 상한 대피는 11회 충돌하였다(exact McNemar, 순정 지속(A1)↔상한 대피(A4) p=0.375; 사후 점검에서 이 절제의 명시적 상한이 계획 계층에 미전달되었음이 확인되어 — 발행 메시지 타입 불일치 — 두 대피 팔은 사실상 동일 정책이다). 전달을 수정한 뒤 상한이 실제 성립한 정착 조우만으로 수행한 용량-반응 실험(속도 상한 3종×스폰 거리 4종×10시드=120런, 속도 정착 상태 트리거·사전등록 1차 종결점)에서, 8 m 조우의 상한 4.2 대 3.0 m/s 쌍대 비교는 불일치 10:0(exact McNemar p=0.002)으로 상한의 충돌 감소 효과가 검출되었고 회피/충돌 경계는 상한을 낮출수록 단조로 안쪽 이동했다(9 m 초과→약 7 m). 같은 저속 대피 정책이라도 감속 완료 전의 과도구간 발사에서는 잔존 위험이 크다.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Times New Roman" w:hAnsi="Times New Roman" w:eastAsia="HY신명조"/>
          <w:b/>
          <w:sz w:val="22"/>
        </w:rPr>
        <w:t>주제어 : 자율주행, 페일세이프, 기능안전, 최소위험기동(MRM), 센서 고장 감지,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