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63</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65</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67</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74</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3팔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59</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58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절제·용량-반응 조우 실험까지 총 1,942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실험(3팔×20시드, 감지+3초의 감속 과도구간 발사)에서 순정 지속 주행은 20회 중 14회, 감지+차로 내 정지는 0회, 대피는 10회 충돌하였다(exact McNemar, 순정 지속(A1)↔대피(A3) p=0.219).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원장과 보행자 물리 오라클로 구성된 이중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이중 체계를 방법론으로 정립한다. 에고 충돌 센서의 실시간 원장(RAW-HIT)과 보행자 물리 오라클(충돌 시 운동학 이상)을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3팔 절제와 과도구간/정착 순항 2체제 분석으로 대피 잔존 위험이 감지 후 과도구간에 집중됨 — 감지·대응 시간 단축(FTTI 내 여유 확보) 필요성을 뒷받침하는 정량적 관찰 — 을 보이며, 고장 유형×심각도×교통밀도×방법의 캠페인과 절제·용량-반응 실험을 합한 총 1,942 유효 케이스의 단일 폐루프 실험 체계로 감시·대피 거동과 노출 단축, 상한의 인과 효과까지를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총 1,942 유효 케이스의 폐루프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8절이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전 팔이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항법 확장 매트릭스으로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4-3. </w:t>
      </w:r>
      <w:r>
        <w:rPr>
          <w:rFonts w:ascii="HY신명조" w:hAnsi="HY신명조" w:eastAsia="HY신명조"/>
          <w:b w:val="0"/>
          <w:sz w:val="18"/>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영상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2층이다.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무개입·정지·대피의 세 팔로 나누어 절제하기 위해 3팔 절제 실험을 설계했다(표 4-4). 명시적 속도 상한의 효과는 절제가 아니라 별도의 용량-반응 실험으로 검증한다(제5장 8절). 설계는 외부 전문가 2회 검토를 반영해 확정했다.</w:t>
      </w:r>
    </w:p>
    <w:p>
      <w:pPr>
        <w:keepNext/>
        <w:spacing w:line="312" w:lineRule="auto" w:before="40" w:after="0"/>
      </w:pPr>
      <w:r>
        <w:rPr>
          <w:rFonts w:ascii="HY신명조" w:hAnsi="HY신명조" w:eastAsia="HY신명조"/>
          <w:b/>
          <w:sz w:val="18"/>
        </w:rPr>
        <w:t xml:space="preserve">표 4-4. </w:t>
      </w:r>
      <w:r>
        <w:rPr>
          <w:rFonts w:ascii="HY신명조" w:hAnsi="HY신명조" w:eastAsia="HY신명조"/>
          <w:b w:val="0"/>
          <w:sz w:val="18"/>
        </w:rPr>
        <w:t>절제 실험 3팔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감지</w:t>
            </w:r>
          </w:p>
        </w:tc>
        <w:tc>
          <w:tcPr>
            <w:tcW w:type="dxa" w:w="2126"/>
          </w:tcPr>
          <w:p>
            <w:pPr>
              <w:keepNext/>
              <w:spacing w:line="288" w:lineRule="auto" w:before="20" w:after="20"/>
              <w:jc w:val="center"/>
            </w:pPr>
            <w:r/>
            <w:r>
              <w:rPr>
                <w:rFonts w:ascii="HY신명조" w:hAnsi="HY신명조" w:eastAsia="HY신명조"/>
                <w:b/>
                <w:sz w:val="18"/>
              </w:rPr>
              <w:t>대응</w:t>
            </w:r>
          </w:p>
        </w:tc>
        <w:tc>
          <w:tcPr>
            <w:tcW w:type="dxa" w:w="2126"/>
          </w:tcPr>
          <w:p>
            <w:pPr>
              <w:keepNext/>
              <w:spacing w:line="288" w:lineRule="auto" w:before="20" w:after="20"/>
              <w:jc w:val="center"/>
            </w:pPr>
            <w:r/>
            <w:r>
              <w:rPr>
                <w:rFonts w:ascii="HY신명조" w:hAnsi="HY신명조" w:eastAsia="HY신명조"/>
                <w:b/>
                <w:sz w:val="18"/>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섀도 감지(로그 전용)</w:t>
            </w:r>
          </w:p>
        </w:tc>
        <w:tc>
          <w:tcPr>
            <w:tcW w:type="dxa" w:w="2126"/>
          </w:tcPr>
          <w:p>
            <w:pPr>
              <w:keepNext/>
              <w:spacing w:line="288" w:lineRule="auto" w:before="20" w:after="20"/>
              <w:jc w:val="left"/>
            </w:pPr>
            <w:r/>
            <w:r>
              <w:rPr>
                <w:rFonts w:ascii="HY신명조" w:hAnsi="HY신명조" w:eastAsia="HY신명조"/>
                <w:b w:val="0"/>
                <w:sz w:val="18"/>
              </w:rPr>
              <w:t>없음 — 순정 지속 주행</w:t>
            </w:r>
          </w:p>
        </w:tc>
        <w:tc>
          <w:tcPr>
            <w:tcW w:type="dxa" w:w="2126"/>
          </w:tcPr>
          <w:p>
            <w:pPr>
              <w:keepNext/>
              <w:spacing w:line="288" w:lineRule="auto" w:before="20" w:after="20"/>
              <w:jc w:val="left"/>
            </w:pPr>
            <w:r/>
            <w:r>
              <w:rPr>
                <w:rFonts w:ascii="HY신명조" w:hAnsi="HY신명조" w:eastAsia="HY신명조"/>
                <w:b w:val="0"/>
                <w:sz w:val="18"/>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차로 내 정지(정지형 MRM)</w:t>
            </w:r>
          </w:p>
        </w:tc>
        <w:tc>
          <w:tcPr>
            <w:tcW w:type="dxa" w:w="2126"/>
          </w:tcPr>
          <w:p>
            <w:pPr>
              <w:keepNext/>
              <w:spacing w:line="288" w:lineRule="auto" w:before="20" w:after="20"/>
              <w:jc w:val="left"/>
            </w:pPr>
            <w:r/>
            <w:r>
              <w:rPr>
                <w:rFonts w:ascii="HY신명조" w:hAnsi="HY신명조" w:eastAsia="HY신명조"/>
                <w:b w:val="0"/>
                <w:sz w:val="18"/>
              </w:rPr>
              <w:t>해당 없음</w:t>
            </w:r>
          </w:p>
        </w:tc>
      </w:tr>
      <w:tr>
        <w:trPr>
          <w:cantSplit/>
        </w:trPr>
        <w:tc>
          <w:tcPr>
            <w:tcW w:type="dxa" w:w="2126"/>
          </w:tcPr>
          <w:p>
            <w:pPr>
              <w:spacing w:line="288" w:lineRule="auto" w:before="20" w:after="20"/>
              <w:jc w:val="left"/>
            </w:pPr>
            <w:r/>
            <w:r>
              <w:rPr>
                <w:rFonts w:ascii="HY신명조" w:hAnsi="HY신명조" w:eastAsia="HY신명조"/>
                <w:b w:val="0"/>
                <w:sz w:val="18"/>
              </w:rPr>
              <w:t>A3 uncapped evacuation</w:t>
            </w:r>
          </w:p>
        </w:tc>
        <w:tc>
          <w:tcPr>
            <w:tcW w:type="dxa" w:w="2126"/>
          </w:tcPr>
          <w:p>
            <w:pPr>
              <w:spacing w:line="288" w:lineRule="auto" w:before="20" w:after="20"/>
              <w:jc w:val="left"/>
            </w:pPr>
            <w:r/>
            <w:r>
              <w:rPr>
                <w:rFonts w:ascii="HY신명조" w:hAnsi="HY신명조" w:eastAsia="HY신명조"/>
                <w:b w:val="0"/>
                <w:sz w:val="18"/>
              </w:rPr>
              <w:t>제안 감지</w:t>
            </w:r>
          </w:p>
        </w:tc>
        <w:tc>
          <w:tcPr>
            <w:tcW w:type="dxa" w:w="2126"/>
          </w:tcPr>
          <w:p>
            <w:pPr>
              <w:spacing w:line="288" w:lineRule="auto" w:before="20" w:after="20"/>
              <w:jc w:val="left"/>
            </w:pPr>
            <w:r/>
            <w:r>
              <w:rPr>
                <w:rFonts w:ascii="HY신명조" w:hAnsi="HY신명조" w:eastAsia="HY신명조"/>
                <w:b w:val="0"/>
                <w:sz w:val="18"/>
              </w:rPr>
              <w:t>갓길 대피</w:t>
            </w:r>
          </w:p>
        </w:tc>
        <w:tc>
          <w:tcPr>
            <w:tcW w:type="dxa" w:w="2126"/>
          </w:tcPr>
          <w:p>
            <w:pPr>
              <w:spacing w:line="288" w:lineRule="auto" w:before="20" w:after="20"/>
              <w:jc w:val="left"/>
            </w:pPr>
            <w:r/>
            <w:r>
              <w:rPr>
                <w:rFonts w:ascii="HY신명조" w:hAnsi="HY신명조" w:eastAsia="HY신명조"/>
                <w:b w:val="0"/>
                <w:sz w:val="18"/>
              </w:rPr>
              <w:t>없음</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세 팔이 공유하며, 각 시드는 고장 시점·보행 속도·횡방향 지터·CARLA·고장 파형·보행자 난수를 고정한다(구체 값은 표 4-5) — 고장 파형까지 동일하므로 팔 간 차이는 대응 정책뿐이다. (ii) 행동 독립 발사: 전 팔이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시드×팔의 실행 순서를 팔별 자리 균형으로 제약 랜덤화해 실행 전 동결했다(1차·확장 회차 동일 규칙). (iv) 시뮬레이터 실패만 동일 시드로 재실행했다(절제 1차 회차에서 S05 2회). 본 실행 전 스모크 케이스로 전 팔의 고장 파형 체크섬 일치(첫 20샘플), 감지 시점 차이 Δt_detect &lt; 0.3 s, 발사 기하 8±0.2 m, A1 무결성(감지기 on/off의 속도 프로파일 차이 &lt; 0.05 m/s RMS)을 검증한 뒤 회차당 각 팔의 본 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primary contrast인 A1↔A3(해당 조우 조건에서 감지+대피 정책의 효과)에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사전 지정했고, 나머지 거리·상한 조합은 경계 특성화(기술통계·Wilson CI)로만 보고한다. 조우 성립의 전조건 검증(조작 점검)으로, 420 s 내 미발사 또는 조우 첫 틱 속도가 밴드 밖(±0.15 m/s 허용)인 런은 결과 확인과 무관하게 기각하고 동일 조건으로 재실행한다.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S02~S11의 대피 정책 20런(시드당 2회 실행)에 대한 탐색적 분석이다 — 확장 회차는 반환 계측을 수집하지 않았다):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보행자 발사 시점</w:t>
            </w:r>
          </w:p>
        </w:tc>
        <w:tc>
          <w:tcPr>
            <w:tcW w:type="dxa" w:w="2835"/>
          </w:tcPr>
          <w:p>
            <w:pPr>
              <w:spacing w:line="288" w:lineRule="auto" w:before="20" w:after="20"/>
              <w:jc w:val="left"/>
            </w:pPr>
            <w:r/>
            <w:r>
              <w:rPr>
                <w:rFonts w:ascii="HY신명조" w:hAnsi="HY신명조" w:eastAsia="HY신명조"/>
                <w:b w:val="0"/>
                <w:sz w:val="18"/>
              </w:rPr>
              <w:t>t_detect + 3.0 s</w:t>
            </w:r>
          </w:p>
        </w:tc>
        <w:tc>
          <w:tcPr>
            <w:tcW w:type="dxa" w:w="2835"/>
          </w:tcPr>
          <w:p>
            <w:pPr>
              <w:spacing w:line="288" w:lineRule="auto" w:before="20" w:after="20"/>
              <w:jc w:val="left"/>
            </w:pPr>
            <w:r/>
            <w:r>
              <w:rPr>
                <w:rFonts w:ascii="HY신명조" w:hAnsi="HY신명조" w:eastAsia="HY신명조"/>
                <w:b w:val="0"/>
                <w:sz w:val="18"/>
              </w:rPr>
              <w:t>절제 실험, 행동 독립 시간 트리거 (제4장 7절)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8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절제 시드</w:t>
            </w:r>
          </w:p>
        </w:tc>
        <w:tc>
          <w:tcPr>
            <w:tcW w:type="dxa" w:w="2835"/>
          </w:tcPr>
          <w:p>
            <w:pPr>
              <w:spacing w:line="288" w:lineRule="auto" w:before="20" w:after="20"/>
              <w:jc w:val="left"/>
            </w:pPr>
            <w:r/>
            <w:r>
              <w:rPr>
                <w:rFonts w:ascii="HY신명조" w:hAnsi="HY신명조" w:eastAsia="HY신명조"/>
                <w:b w:val="0"/>
                <w:sz w:val="18"/>
              </w:rPr>
              <w:t>S02~S21 (20개, 3팔 쌍대 공유;</w:t>
            </w:r>
          </w:p>
          <w:p>
            <w:pPr>
              <w:spacing w:line="288" w:lineRule="auto" w:before="20" w:after="20"/>
              <w:jc w:val="left"/>
            </w:pPr>
            <w:r>
              <w:rPr>
                <w:rFonts w:ascii="HY신명조" w:hAnsi="HY신명조" w:eastAsia="HY신명조"/>
                <w:b w:val="0"/>
                <w:sz w:val="18"/>
              </w:rPr>
              <w:t>S01은 개발용 제외)</w:t>
            </w:r>
          </w:p>
        </w:tc>
        <w:tc>
          <w:tcPr>
            <w:tcW w:type="dxa" w:w="2835"/>
          </w:tcPr>
          <w:p>
            <w:pPr>
              <w:spacing w:line="288" w:lineRule="auto" w:before="20" w:after="20"/>
              <w:jc w:val="left"/>
            </w:pPr>
            <w:r/>
            <w:r>
              <w:rPr>
                <w:rFonts w:ascii="HY신명조" w:hAnsi="HY신명조" w:eastAsia="HY신명조"/>
                <w:b w:val="0"/>
                <w:sz w:val="18"/>
              </w:rPr>
              <w:t>고장 시점 11~44 s·보행 2.5/3.0 m/s 블록·횡 지터·</w:t>
            </w:r>
          </w:p>
          <w:p>
            <w:pPr>
              <w:spacing w:line="288" w:lineRule="auto" w:before="20" w:after="20"/>
              <w:jc w:val="left"/>
            </w:pPr>
            <w:r>
              <w:rPr>
                <w:rFonts w:ascii="HY신명조" w:hAnsi="HY신명조" w:eastAsia="HY신명조"/>
                <w:b w:val="0"/>
                <w:sz w:val="18"/>
              </w:rPr>
              <w:t>CARLA·고장 파형(FAULT_SEED)·보행자 난수 고정 (제4장 7절)</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항법 확장 매트릭스으로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†항법 확장 매트릭스(항법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 라벨·영상 기록 기준이다),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8절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3팔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충돌</w:t>
            </w:r>
          </w:p>
        </w:tc>
        <w:tc>
          <w:tcPr>
            <w:tcW w:type="dxa" w:w="2126"/>
          </w:tcPr>
          <w:p>
            <w:pPr>
              <w:keepNext/>
              <w:spacing w:line="288" w:lineRule="auto" w:before="20" w:after="20"/>
              <w:jc w:val="center"/>
            </w:pPr>
            <w:r/>
            <w:r>
              <w:rPr>
                <w:rFonts w:ascii="HY신명조" w:hAnsi="HY신명조" w:eastAsia="HY신명조"/>
                <w:b/>
                <w:sz w:val="18"/>
              </w:rPr>
              <w:t>충돌률 [Wilson 95% CI]</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14/20</w:t>
            </w:r>
          </w:p>
        </w:tc>
        <w:tc>
          <w:tcPr>
            <w:tcW w:type="dxa" w:w="2126"/>
          </w:tcPr>
          <w:p>
            <w:pPr>
              <w:keepNext/>
              <w:spacing w:line="288" w:lineRule="auto" w:before="20" w:after="20"/>
              <w:jc w:val="left"/>
            </w:pPr>
            <w:r/>
            <w:r>
              <w:rPr>
                <w:rFonts w:ascii="HY신명조" w:hAnsi="HY신명조" w:eastAsia="HY신명조"/>
                <w:b w:val="0"/>
                <w:sz w:val="18"/>
              </w:rPr>
              <w:t>70% [48.1, 85.5]</w:t>
            </w:r>
          </w:p>
        </w:tc>
        <w:tc>
          <w:tcPr>
            <w:tcW w:type="dxa" w:w="2126"/>
          </w:tcPr>
          <w:p>
            <w:pPr>
              <w:keepNext/>
              <w:spacing w:line="288" w:lineRule="auto" w:before="20" w:after="20"/>
              <w:jc w:val="left"/>
            </w:pPr>
            <w:r/>
            <w:r>
              <w:rPr>
                <w:rFonts w:ascii="HY신명조" w:hAnsi="HY신명조" w:eastAsia="HY신명조"/>
                <w:b w:val="0"/>
                <w:sz w:val="18"/>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0/20</w:t>
            </w:r>
          </w:p>
        </w:tc>
        <w:tc>
          <w:tcPr>
            <w:tcW w:type="dxa" w:w="2126"/>
          </w:tcPr>
          <w:p>
            <w:pPr>
              <w:keepNext/>
              <w:spacing w:line="288" w:lineRule="auto" w:before="20" w:after="20"/>
              <w:jc w:val="left"/>
            </w:pPr>
            <w:r/>
            <w:r>
              <w:rPr>
                <w:rFonts w:ascii="HY신명조" w:hAnsi="HY신명조" w:eastAsia="HY신명조"/>
                <w:b w:val="0"/>
                <w:sz w:val="18"/>
              </w:rPr>
              <w:t>0% [0.0, 16.1]</w:t>
            </w:r>
          </w:p>
        </w:tc>
        <w:tc>
          <w:tcPr>
            <w:tcW w:type="dxa" w:w="2126"/>
          </w:tcPr>
          <w:p>
            <w:pPr>
              <w:keepNext/>
              <w:spacing w:line="288" w:lineRule="auto" w:before="20" w:after="20"/>
              <w:jc w:val="left"/>
            </w:pPr>
            <w:r/>
            <w:r>
              <w:rPr>
                <w:rFonts w:ascii="HY신명조" w:hAnsi="HY신명조" w:eastAsia="HY신명조"/>
                <w:b w:val="0"/>
                <w:sz w:val="18"/>
              </w:rPr>
              <w:t>본 표본 최저 충돌률(0/20), 차선 점유 지속</w:t>
            </w:r>
          </w:p>
        </w:tc>
      </w:tr>
      <w:tr>
        <w:trPr>
          <w:cantSplit/>
        </w:trPr>
        <w:tc>
          <w:tcPr>
            <w:tcW w:type="dxa" w:w="2126"/>
          </w:tcPr>
          <w:p>
            <w:pPr>
              <w:spacing w:line="288" w:lineRule="auto" w:before="20" w:after="20"/>
              <w:jc w:val="left"/>
            </w:pPr>
            <w:r/>
            <w:r>
              <w:rPr>
                <w:rFonts w:ascii="HY신명조" w:hAnsi="HY신명조" w:eastAsia="HY신명조"/>
                <w:b w:val="0"/>
                <w:sz w:val="18"/>
              </w:rPr>
              <w:t>A3 evacuation</w:t>
            </w:r>
          </w:p>
        </w:tc>
        <w:tc>
          <w:tcPr>
            <w:tcW w:type="dxa" w:w="2126"/>
          </w:tcPr>
          <w:p>
            <w:pPr>
              <w:spacing w:line="288" w:lineRule="auto" w:before="20" w:after="20"/>
              <w:jc w:val="left"/>
            </w:pPr>
            <w:r/>
            <w:r>
              <w:rPr>
                <w:rFonts w:ascii="HY신명조" w:hAnsi="HY신명조" w:eastAsia="HY신명조"/>
                <w:b w:val="0"/>
                <w:sz w:val="18"/>
              </w:rPr>
              <w:t>10/20</w:t>
            </w:r>
          </w:p>
        </w:tc>
        <w:tc>
          <w:tcPr>
            <w:tcW w:type="dxa" w:w="2126"/>
          </w:tcPr>
          <w:p>
            <w:pPr>
              <w:spacing w:line="288" w:lineRule="auto" w:before="20" w:after="20"/>
              <w:jc w:val="left"/>
            </w:pPr>
            <w:r/>
            <w:r>
              <w:rPr>
                <w:rFonts w:ascii="HY신명조" w:hAnsi="HY신명조" w:eastAsia="HY신명조"/>
                <w:b w:val="0"/>
                <w:sz w:val="18"/>
              </w:rPr>
              <w:t>50% [29.9, 70.1]</w:t>
            </w:r>
          </w:p>
        </w:tc>
        <w:tc>
          <w:tcPr>
            <w:tcW w:type="dxa" w:w="2126"/>
          </w:tcPr>
          <w:p>
            <w:pPr>
              <w:spacing w:line="288" w:lineRule="auto" w:before="20" w:after="20"/>
              <w:jc w:val="left"/>
            </w:pPr>
            <w:r/>
            <w:r>
              <w:rPr>
                <w:rFonts w:ascii="HY신명조" w:hAnsi="HY신명조" w:eastAsia="HY신명조"/>
                <w:b w:val="0"/>
                <w:sz w:val="18"/>
              </w:rPr>
              <w:t>충돌 전부 과도구간</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팔(A3)의 충돌은 1차(3/10)보다 많았다(7/10) — 두 회차의 차이는 Fisher 정확검정에서 유의하지 않아(3/10 대 7/10, p=0.18) 합산 추정(표 5-4)을 보고하되, 소표본 점추정이 표본 확대로 이동할 수 있음을 보여주는 사례로 명시한다. 시드 간 이질성이 뚜렷하다: S06·S09·S11·S16·S17은 세 팔 전부 회피(조우 기하가 관대), S05·S07·S08·S12·S13·S15·S19·S20·S21은 A2(정지)를 제외한 두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절제 실험 시드별 판정, S02~S21 (원장 기준; C 충돌 / A 회피)</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시드</w:t>
            </w:r>
          </w:p>
        </w:tc>
        <w:tc>
          <w:tcPr>
            <w:tcW w:type="dxa" w:w="2126"/>
          </w:tcPr>
          <w:p>
            <w:pPr>
              <w:spacing w:line="288" w:lineRule="auto" w:before="20" w:after="20"/>
              <w:jc w:val="center"/>
            </w:pPr>
            <w:r/>
            <w:r>
              <w:rPr>
                <w:rFonts w:ascii="HY신명조" w:hAnsi="HY신명조" w:eastAsia="HY신명조"/>
                <w:b/>
                <w:sz w:val="18"/>
              </w:rPr>
              <w:t>A1 순정</w:t>
            </w:r>
          </w:p>
        </w:tc>
        <w:tc>
          <w:tcPr>
            <w:tcW w:type="dxa" w:w="2126"/>
          </w:tcPr>
          <w:p>
            <w:pPr>
              <w:spacing w:line="288" w:lineRule="auto" w:before="20" w:after="20"/>
              <w:jc w:val="center"/>
            </w:pPr>
            <w:r/>
            <w:r>
              <w:rPr>
                <w:rFonts w:ascii="HY신명조" w:hAnsi="HY신명조" w:eastAsia="HY신명조"/>
                <w:b/>
                <w:sz w:val="18"/>
              </w:rPr>
              <w:t>A2 정지</w:t>
            </w:r>
          </w:p>
        </w:tc>
        <w:tc>
          <w:tcPr>
            <w:tcW w:type="dxa" w:w="2126"/>
          </w:tcPr>
          <w:p>
            <w:pPr>
              <w:spacing w:line="288" w:lineRule="auto" w:before="20" w:after="20"/>
              <w:jc w:val="center"/>
            </w:pPr>
            <w:r/>
            <w:r>
              <w:rPr>
                <w:rFonts w:ascii="HY신명조" w:hAnsi="HY신명조" w:eastAsia="HY신명조"/>
                <w:b/>
                <w:sz w:val="18"/>
              </w:rPr>
              <w:t>A3 대피</w:t>
            </w:r>
          </w:p>
        </w:tc>
      </w:tr>
      <w:tr>
        <w:trPr>
          <w:cantSplit/>
        </w:trPr>
        <w:tc>
          <w:tcPr>
            <w:tcW w:type="dxa" w:w="2126"/>
          </w:tcPr>
          <w:p>
            <w:pPr>
              <w:spacing w:line="288" w:lineRule="auto" w:before="20" w:after="20"/>
              <w:jc w:val="left"/>
            </w:pPr>
            <w:r/>
            <w:r>
              <w:rPr>
                <w:rFonts w:ascii="HY신명조" w:hAnsi="HY신명조" w:eastAsia="HY신명조"/>
                <w:b w:val="0"/>
                <w:sz w:val="18"/>
              </w:rPr>
              <w:t>S02</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S03</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S04</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S05*</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S06</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S07</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S08</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S09</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S10</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S11</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S12</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S13</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S14</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S15</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S16</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S17</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S18</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A</w:t>
            </w:r>
          </w:p>
        </w:tc>
      </w:tr>
      <w:tr>
        <w:trPr>
          <w:cantSplit/>
        </w:trPr>
        <w:tc>
          <w:tcPr>
            <w:tcW w:type="dxa" w:w="2126"/>
          </w:tcPr>
          <w:p>
            <w:pPr>
              <w:spacing w:line="288" w:lineRule="auto" w:before="20" w:after="20"/>
              <w:jc w:val="left"/>
            </w:pPr>
            <w:r/>
            <w:r>
              <w:rPr>
                <w:rFonts w:ascii="HY신명조" w:hAnsi="HY신명조" w:eastAsia="HY신명조"/>
                <w:b w:val="0"/>
                <w:sz w:val="18"/>
              </w:rPr>
              <w:t>S19</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S20</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S21</w:t>
            </w:r>
          </w:p>
        </w:tc>
        <w:tc>
          <w:tcPr>
            <w:tcW w:type="dxa" w:w="2126"/>
          </w:tcPr>
          <w:p>
            <w:pPr>
              <w:spacing w:line="288" w:lineRule="auto" w:before="20" w:after="20"/>
              <w:jc w:val="left"/>
            </w:pPr>
            <w:r/>
            <w:r>
              <w:rPr>
                <w:rFonts w:ascii="HY신명조" w:hAnsi="HY신명조" w:eastAsia="HY신명조"/>
                <w:b w:val="0"/>
                <w:sz w:val="18"/>
              </w:rPr>
              <w:t>C</w:t>
            </w:r>
          </w:p>
        </w:tc>
        <w:tc>
          <w:tcPr>
            <w:tcW w:type="dxa" w:w="2126"/>
          </w:tcPr>
          <w:p>
            <w:pPr>
              <w:spacing w:line="288" w:lineRule="auto" w:before="20" w:after="20"/>
              <w:jc w:val="left"/>
            </w:pPr>
            <w:r/>
            <w:r>
              <w:rPr>
                <w:rFonts w:ascii="HY신명조" w:hAnsi="HY신명조" w:eastAsia="HY신명조"/>
                <w:b w:val="0"/>
                <w:sz w:val="18"/>
              </w:rPr>
              <w:t>A</w:t>
            </w:r>
          </w:p>
        </w:tc>
        <w:tc>
          <w:tcPr>
            <w:tcW w:type="dxa" w:w="2126"/>
          </w:tcPr>
          <w:p>
            <w:pPr>
              <w:spacing w:line="288" w:lineRule="auto" w:before="20" w:after="20"/>
              <w:jc w:val="left"/>
            </w:pPr>
            <w:r/>
            <w:r>
              <w:rPr>
                <w:rFonts w:ascii="HY신명조" w:hAnsi="HY신명조" w:eastAsia="HY신명조"/>
                <w:b w:val="0"/>
                <w:sz w:val="18"/>
              </w:rPr>
              <w:t>C</w:t>
            </w:r>
          </w:p>
        </w:tc>
      </w:tr>
      <w:tr>
        <w:trPr>
          <w:cantSplit/>
        </w:trPr>
        <w:tc>
          <w:tcPr>
            <w:tcW w:type="dxa" w:w="2126"/>
          </w:tcPr>
          <w:p>
            <w:pPr>
              <w:spacing w:line="288" w:lineRule="auto" w:before="20" w:after="20"/>
              <w:jc w:val="left"/>
            </w:pPr>
            <w:r/>
            <w:r>
              <w:rPr>
                <w:rFonts w:ascii="HY신명조" w:hAnsi="HY신명조" w:eastAsia="HY신명조"/>
                <w:b w:val="0"/>
                <w:sz w:val="18"/>
              </w:rPr>
              <w:t>계(충돌)</w:t>
            </w:r>
          </w:p>
        </w:tc>
        <w:tc>
          <w:tcPr>
            <w:tcW w:type="dxa" w:w="2126"/>
          </w:tcPr>
          <w:p>
            <w:pPr>
              <w:spacing w:line="288" w:lineRule="auto" w:before="20" w:after="20"/>
              <w:jc w:val="left"/>
            </w:pPr>
            <w:r/>
            <w:r>
              <w:rPr>
                <w:rFonts w:ascii="HY신명조" w:hAnsi="HY신명조" w:eastAsia="HY신명조"/>
                <w:b w:val="0"/>
                <w:sz w:val="18"/>
              </w:rPr>
              <w:t>14/20</w:t>
            </w:r>
          </w:p>
        </w:tc>
        <w:tc>
          <w:tcPr>
            <w:tcW w:type="dxa" w:w="2126"/>
          </w:tcPr>
          <w:p>
            <w:pPr>
              <w:spacing w:line="288" w:lineRule="auto" w:before="20" w:after="20"/>
              <w:jc w:val="left"/>
            </w:pPr>
            <w:r/>
            <w:r>
              <w:rPr>
                <w:rFonts w:ascii="HY신명조" w:hAnsi="HY신명조" w:eastAsia="HY신명조"/>
                <w:b w:val="0"/>
                <w:sz w:val="18"/>
              </w:rPr>
              <w:t>0/20</w:t>
            </w:r>
          </w:p>
        </w:tc>
        <w:tc>
          <w:tcPr>
            <w:tcW w:type="dxa" w:w="2126"/>
          </w:tcPr>
          <w:p>
            <w:pPr>
              <w:spacing w:line="288" w:lineRule="auto" w:before="20" w:after="20"/>
              <w:jc w:val="left"/>
            </w:pPr>
            <w:r/>
            <w:r>
              <w:rPr>
                <w:rFonts w:ascii="HY신명조" w:hAnsi="HY신명조" w:eastAsia="HY신명조"/>
                <w:b w:val="0"/>
                <w:sz w:val="18"/>
              </w:rPr>
              <w:t>10/20</w:t>
            </w:r>
          </w:p>
        </w:tc>
      </w:tr>
    </w:tbl>
    <w:p>
      <w:pPr>
        <w:spacing w:line="312" w:lineRule="auto" w:before="0" w:after="0"/>
      </w:pPr>
      <w:r>
        <w:rPr>
          <w:rFonts w:ascii="HY신명조" w:hAnsi="HY신명조" w:eastAsia="HY신명조"/>
          <w:b w:val="0"/>
          <w:sz w:val="18"/>
        </w:rPr>
        <w:t>* S05의 A2는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원장에 접촉 기록이 없었다.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 대피 팔은 이동을 계속하므로 과도구간 충돌이 잔존한다(A3 10/20 — 충돌 전부 감속 미완료 구간에서 발생). primary contrast의 exact McNemar 결과, A1↔A3의 불일치쌍은 5:1(A1만 충돌 5, A3만 충돌 1)로 p=0.219이다. 사후(secondary) 분석으로 A2↔A3를 같은 방식으로 검정하면 불일치쌍은 10:0으로 정확 양측 p=2.0×10⁻³이다 — 이 8 m·과도구간 충돌 종결점에 한정하면 차로 내 정지가 대피보다 명백히 우세하며, RQ2 트레이드오프의 충돌 측 비용을 정량화한다(탐색적 사후 분석으로 표시한다). 명시적 속도 상한의 효과는 이 절제의 축이 아니며, 상한이 실제 성립한 조건의 인과 검증은 별도 용량-반응 실험(8절)이 수행한다. 대피(A3)의 충돌이 A1(14/20)보다 낮은 10/20에 머문 것은 대피 기동 자체의 자연 감속 때문으로 해석된다(제6장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정책 37.2 m, A1 순정 50.0 m였다. 차선 반환 시간 T_lat-clear는 제4장 8절의 정의를 따르며, 표본은 1차 회차의 대피 정책 20런(S02~S11, 시드당 2회 실행; 비절제 케이스와 충돌 후 이탈 기록은 제외)이다. 결과는 충돌(반환 실패) 7건, 무충돌·지평 내 이탈 관측 6건, 무충돌·지평 내 미이탈(우측 중도절단) 7건으로 나뉘며, 검산하면 7+6+7=20이고 충돌 7건은 1차 회차 대피 런의 충돌 수와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 따라서 그림 5-4의 수치는 무충돌 대피에 조건부인 반환 시간으로만 읽어야 하며, 충돌을 경쟁 사건으로 포함하는 정책 수준 비교(누적 발생률 분석)는 수행하지 않았다.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지표</w:t>
            </w:r>
          </w:p>
        </w:tc>
        <w:tc>
          <w:tcPr>
            <w:tcW w:type="dxa" w:w="2126"/>
          </w:tcPr>
          <w:p>
            <w:pPr>
              <w:keepNext/>
              <w:spacing w:line="288" w:lineRule="auto" w:before="20" w:after="20"/>
              <w:jc w:val="center"/>
            </w:pPr>
            <w:r/>
            <w:r>
              <w:rPr>
                <w:rFonts w:ascii="HY신명조" w:hAnsi="HY신명조" w:eastAsia="HY신명조"/>
                <w:b/>
                <w:sz w:val="18"/>
              </w:rPr>
              <w:t>A1 순정</w:t>
            </w:r>
          </w:p>
        </w:tc>
        <w:tc>
          <w:tcPr>
            <w:tcW w:type="dxa" w:w="2126"/>
          </w:tcPr>
          <w:p>
            <w:pPr>
              <w:keepNext/>
              <w:spacing w:line="288" w:lineRule="auto" w:before="20" w:after="20"/>
              <w:jc w:val="center"/>
            </w:pPr>
            <w:r/>
            <w:r>
              <w:rPr>
                <w:rFonts w:ascii="HY신명조" w:hAnsi="HY신명조" w:eastAsia="HY신명조"/>
                <w:b/>
                <w:sz w:val="18"/>
              </w:rPr>
              <w:t>A2 정지</w:t>
            </w:r>
          </w:p>
        </w:tc>
        <w:tc>
          <w:tcPr>
            <w:tcW w:type="dxa" w:w="2126"/>
          </w:tcPr>
          <w:p>
            <w:pPr>
              <w:keepNext/>
              <w:spacing w:line="288" w:lineRule="auto" w:before="20" w:after="20"/>
              <w:jc w:val="center"/>
            </w:pPr>
            <w:r/>
            <w:r>
              <w:rPr>
                <w:rFonts w:ascii="HY신명조" w:hAnsi="HY신명조" w:eastAsia="HY신명조"/>
                <w:b/>
                <w:sz w:val="18"/>
              </w:rPr>
              <w:t>대피 정책(1차 회차 n=20)</w:t>
            </w:r>
          </w:p>
        </w:tc>
      </w:tr>
      <w:tr>
        <w:trPr>
          <w:cantSplit/>
        </w:trPr>
        <w:tc>
          <w:tcPr>
            <w:tcW w:type="dxa" w:w="2126"/>
          </w:tcPr>
          <w:p>
            <w:pPr>
              <w:keepNext/>
              <w:spacing w:line="288" w:lineRule="auto" w:before="20" w:after="20"/>
              <w:jc w:val="left"/>
            </w:pPr>
            <w:r/>
            <w:r>
              <w:rPr>
                <w:rFonts w:ascii="HY신명조" w:hAnsi="HY신명조" w:eastAsia="HY신명조"/>
                <w:b w:val="0"/>
                <w:sz w:val="18"/>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8"/>
              </w:rPr>
              <w:t>50.0 m</w:t>
            </w:r>
          </w:p>
        </w:tc>
        <w:tc>
          <w:tcPr>
            <w:tcW w:type="dxa" w:w="2126"/>
          </w:tcPr>
          <w:p>
            <w:pPr>
              <w:keepNext/>
              <w:spacing w:line="288" w:lineRule="auto" w:before="20" w:after="20"/>
              <w:jc w:val="left"/>
            </w:pPr>
            <w:r/>
            <w:r>
              <w:rPr>
                <w:rFonts w:ascii="HY신명조" w:hAnsi="HY신명조" w:eastAsia="HY신명조"/>
                <w:b w:val="0"/>
                <w:sz w:val="18"/>
              </w:rPr>
              <w:t>0.0 m</w:t>
            </w:r>
          </w:p>
        </w:tc>
        <w:tc>
          <w:tcPr>
            <w:tcW w:type="dxa" w:w="2126"/>
          </w:tcPr>
          <w:p>
            <w:pPr>
              <w:keepNext/>
              <w:spacing w:line="288" w:lineRule="auto" w:before="20" w:after="20"/>
              <w:jc w:val="left"/>
            </w:pPr>
            <w:r/>
            <w:r>
              <w:rPr>
                <w:rFonts w:ascii="HY신명조" w:hAnsi="HY신명조" w:eastAsia="HY신명조"/>
                <w:b w:val="0"/>
                <w:sz w:val="18"/>
              </w:rPr>
              <w:t>37.2 m</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① 충돌 — 반환 실패</w:t>
            </w:r>
          </w:p>
          <w:p>
            <w:pPr>
              <w:keepNext/>
              <w:spacing w:line="288" w:lineRule="auto" w:before="20" w:after="20"/>
              <w:jc w:val="left"/>
            </w:pPr>
            <w:r>
              <w:rPr>
                <w:rFonts w:ascii="HY신명조" w:hAnsi="HY신명조" w:eastAsia="HY신명조"/>
                <w:b w:val="0"/>
                <w:sz w:val="18"/>
              </w:rPr>
              <w:t>(경쟁 사건, 시간분포 제외)</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7건</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② 무충돌·지평 내</w:t>
            </w:r>
          </w:p>
          <w:p>
            <w:pPr>
              <w:keepNext/>
              <w:spacing w:line="288" w:lineRule="auto" w:before="20" w:after="20"/>
              <w:jc w:val="left"/>
            </w:pPr>
            <w:r>
              <w:rPr>
                <w:rFonts w:ascii="HY신명조" w:hAnsi="HY신명조" w:eastAsia="HY신명조"/>
                <w:b w:val="0"/>
                <w:sz w:val="18"/>
              </w:rPr>
              <w:t>이탈 관측</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6건</w:t>
            </w:r>
          </w:p>
          <w:p>
            <w:pPr>
              <w:keepNext/>
              <w:spacing w:line="288" w:lineRule="auto" w:before="20" w:after="20"/>
              <w:jc w:val="left"/>
            </w:pPr>
            <w:r>
              <w:rPr>
                <w:rFonts w:ascii="HY신명조" w:hAnsi="HY신명조" w:eastAsia="HY신명조"/>
                <w:b w:val="0"/>
                <w:sz w:val="18"/>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8"/>
              </w:rPr>
              <w:t>T_lat-clear ③ 무충돌·지평 내 미이탈</w:t>
            </w:r>
          </w:p>
          <w:p>
            <w:pPr>
              <w:spacing w:line="288" w:lineRule="auto" w:before="20" w:after="20"/>
              <w:jc w:val="left"/>
            </w:pPr>
            <w:r>
              <w:rPr>
                <w:rFonts w:ascii="HY신명조" w:hAnsi="HY신명조" w:eastAsia="HY신명조"/>
                <w:b w:val="0"/>
                <w:sz w:val="18"/>
              </w:rPr>
              <w:t>(우측 중도절단)</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7건</w:t>
            </w:r>
          </w:p>
        </w:tc>
      </w:tr>
    </w:tbl>
    <w:p>
      <w:pPr>
        <w:spacing w:line="312" w:lineRule="auto" w:before="0" w:after="0"/>
      </w:pPr>
      <w:r>
        <w:rPr>
          <w:rFonts w:ascii="HY신명조" w:hAnsi="HY신명조" w:eastAsia="HY신명조"/>
          <w:b w:val="0"/>
          <w:sz w:val="18"/>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대피 정책 런의 탐색적 분석).</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10/20이 충돌한 반면, 감속이 완료된 저속 정착 순항(재출발 순항, 8 m 조우; 실측 조우 속도 약 3.0 m/s) 발사에서는 0/8 무충돌이었다.</w:t>
      </w:r>
    </w:p>
    <w:p>
      <w:pPr>
        <w:keepNext/>
        <w:spacing w:line="240" w:lineRule="auto"/>
        <w:jc w:val="center"/>
      </w:pPr>
      <w:r>
        <w:drawing>
          <wp:inline xmlns:a="http://schemas.openxmlformats.org/drawingml/2006/main" xmlns:pic="http://schemas.openxmlformats.org/drawingml/2006/picture">
            <wp:extent cx="5220000" cy="2091045"/>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91045"/>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5-5. </w:t>
      </w:r>
      <w:r>
        <w:rPr>
          <w:rFonts w:ascii="HY신명조" w:hAnsi="HY신명조" w:eastAsia="HY신명조"/>
          <w:b w:val="0"/>
          <w:sz w:val="18"/>
        </w:rPr>
        <w:t>절제 실험 결과(원장 판정, 합산 n=20). (a) 3팔의 충돌/회피 분해 — 감지+3 s 과도구간 발사. (b) 동일 저속 대피 정책의 2체제 대비 — 과도구간 10/20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10/20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것으로(8절),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5-7.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정지·대피 정책의 대비이며 속도 상한 축을 포함하지 않고, 3절·7절의 두 사다리는 발사 프로토콜이 달랐다. 이에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5-8.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5-6.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10/20)은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5-9.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10/20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상한의 효과는 절제(제5장 5절)의 축이 아니라 별도 실험의 몫이다.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10/20).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오라클과의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캠페인 매트릭스(표 4-3)의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위험 연동 동적 감지 예산(τ_detect)은 고정 신선도 마감 대비의 증분을 직접 절제하지 않았다 — 본 연구가 실증한 것은 연속 건강도·단계적 선택·정착 저속의 효과이며, 동적 예산 자체의 효과 검증은 향후 과제다.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1,942 유효 케이스의 실험에서 제안 감지기는 설계상 감내 구간인 라이다 희박화 중강도 하나를 제외한 모든 고장 조건에서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3팔 절제(팔당 n=20)에서 감지+정지는 0/20, 대피는 10/20(전부 과도구간), 순정 지속 주행은 14/20 충돌이었으며, 같은 저속 대피 정책이 정착 순항에서는 0/8 무충돌이었다.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10/20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절제 프로토콜(동일 시드 쌍대, 행동 독립 시간 트리거, primary contrast 제한,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1,942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evacuation-policy runs of the first round (seeds S02-S11, two runs per seed;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three-arm ablation (20 seeds over two identically-protocoled rounds, pedestrian dart-out at 8 m launched at detection+3 s, i.e., during the deceleration transient), native continuation collided in 14/20 seeds, detection with in-lane stop in 0/20, and evacuation in 10/20 (exact McNemar, A1 vs A3: p=0.219).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(10/20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