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2</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4</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5</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5</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5</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9</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12</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12</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15</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17</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20</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21</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25</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28</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32</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32</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36</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36</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42</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46</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51</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52</w:t>
      </w:r>
    </w:p>
    <w:p>
      <w:pPr>
        <w:tabs>
          <w:tab w:pos="7937" w:val="right" w:leader="dot"/>
        </w:tabs>
        <w:spacing w:line="501" w:lineRule="exact"/>
        <w:ind w:left="567"/>
      </w:pPr>
      <w:r>
        <w:rPr>
          <w:rFonts w:ascii="HY신명조" w:hAnsi="HY신명조" w:eastAsia="HY신명조"/>
          <w:b w:val="0"/>
          <w:sz w:val="22"/>
        </w:rPr>
        <w:t>8. 판정 경로 개선과 하드 페일 1.5 s 마감 재검증</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57</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60</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69</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9</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33</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50</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5-7. 하드 페일 재수집: 판정 지연(시뮬레이션 시간, 원장 기준)과 마감 준수</w:t>
      </w:r>
      <w:r>
        <w:rPr>
          <w:rFonts w:ascii="HY신명조" w:hAnsi="HY신명조" w:eastAsia="HY신명조"/>
          <w:b w:val="0"/>
          <w:sz w:val="22"/>
        </w:rPr>
        <w:tab/>
        <w:t>52</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12</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17</w:t>
      </w:r>
    </w:p>
    <w:p>
      <w:pPr>
        <w:tabs>
          <w:tab w:pos="8504" w:val="right" w:leader="dot"/>
        </w:tabs>
        <w:spacing w:line="501" w:lineRule="exact"/>
        <w:ind w:left="0"/>
      </w:pPr>
      <w:r>
        <w:rPr>
          <w:rFonts w:ascii="HY신명조" w:hAnsi="HY신명조" w:eastAsia="HY신명조"/>
          <w:b w:val="0"/>
          <w:sz w:val="22"/>
        </w:rPr>
        <w:t>그림 3-3. 감독자 상태기계</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16개소(원), 주차장 후보(사각·다각형), 신호 교차로(삼각) 및 기준 경로(파선)</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4-1. 실험 환경: CARLA(호스트)-브리지·리더보드·Autoware(컨테이너)의 폐루프 구성과 갓길·주차장 후보가 주석된 자체 제작 Town07 벡터맵.</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그림 4-2. 대표 실행 화면(실제 실행 캡처): (a) Town07 주행, (b) RViz 인식, (c) 후보 주석 벡터맵, (d) 갓길 대피 MRC 도달, (e) 주차장 대피 상공 뷰, (f) 보행자 돌발 조우(제4장 4절).</w:t>
      </w:r>
      <w:r>
        <w:rPr>
          <w:rFonts w:ascii="HY신명조" w:hAnsi="HY신명조" w:eastAsia="HY신명조"/>
          <w:b w:val="0"/>
          <w:sz w:val="22"/>
        </w:rPr>
        <w:tab/>
        <w:t>24</w:t>
      </w:r>
    </w:p>
    <w:p>
      <w:pPr>
        <w:tabs>
          <w:tab w:pos="8504" w:val="right" w:leader="dot"/>
        </w:tabs>
        <w:spacing w:line="501" w:lineRule="exact"/>
        <w:ind w:left="0"/>
      </w:pPr>
      <w:r>
        <w:rPr>
          <w:rFonts w:ascii="HY신명조" w:hAnsi="HY신명조" w:eastAsia="HY신명조"/>
          <w:b w:val="0"/>
          <w:sz w:val="22"/>
        </w:rPr>
        <w:t>그림 4-3. 고장 주입의 센서 수준 효과 — 실측 Town07 라이다 스캔·카메라 프레임 1건에 주입기와 동일한 물리식·파라미터를 적용한 전/후</w:t>
      </w:r>
      <w:r>
        <w:rPr>
          <w:rFonts w:ascii="HY신명조" w:hAnsi="HY신명조" w:eastAsia="HY신명조"/>
          <w:b w:val="0"/>
          <w:sz w:val="22"/>
        </w:rPr>
        <w:tab/>
        <w:t>28</w:t>
      </w:r>
    </w:p>
    <w:p>
      <w:pPr>
        <w:tabs>
          <w:tab w:pos="8504" w:val="right" w:leader="dot"/>
        </w:tabs>
        <w:spacing w:line="501" w:lineRule="exact"/>
        <w:ind w:left="0"/>
      </w:pPr>
      <w:r>
        <w:rPr>
          <w:rFonts w:ascii="HY신명조" w:hAnsi="HY신명조" w:eastAsia="HY신명조"/>
          <w:b w:val="0"/>
          <w:sz w:val="22"/>
        </w:rPr>
        <w:t>그림 4-4. 보행자 돌발 조우 주입 구조</w:t>
      </w:r>
      <w:r>
        <w:rPr>
          <w:rFonts w:ascii="HY신명조" w:hAnsi="HY신명조" w:eastAsia="HY신명조"/>
          <w:b w:val="0"/>
          <w:sz w:val="22"/>
        </w:rPr>
        <w:tab/>
        <w:t>30</w:t>
      </w:r>
    </w:p>
    <w:p>
      <w:pPr>
        <w:tabs>
          <w:tab w:pos="8504" w:val="right" w:leader="dot"/>
        </w:tabs>
        <w:spacing w:line="501" w:lineRule="exact"/>
        <w:ind w:left="0"/>
      </w:pPr>
      <w:r>
        <w:rPr>
          <w:rFonts w:ascii="HY신명조" w:hAnsi="HY신명조" w:eastAsia="HY신명조"/>
          <w:b w:val="0"/>
          <w:sz w:val="22"/>
        </w:rPr>
        <w:t>그림 5-1. 연속 건강도 궤적 — 상태 전이 입력 채널의 점수 대역 분리(이중 임계 0.7/0.3 병기)</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그림 5-2. 본 캠페인 MRM 결과: 대피 vs 차선 내 정지 (고장-심각도 × 방법)</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5-3. 고장 유형별 고장 상태 주행 노출(평균)</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그림 5-4. (a) 무고장 순정의 거리 사다리와 정지거리 경계(음영 8~11 m)</w:t>
      </w:r>
      <w:r>
        <w:rPr>
          <w:rFonts w:ascii="HY신명조" w:hAnsi="HY신명조" w:eastAsia="HY신명조"/>
          <w:b w:val="0"/>
          <w:sz w:val="22"/>
        </w:rPr>
        <w:tab/>
        <w:t>45</w:t>
      </w:r>
    </w:p>
    <w:p>
      <w:pPr>
        <w:tabs>
          <w:tab w:pos="8504" w:val="right" w:leader="dot"/>
        </w:tabs>
        <w:spacing w:line="501" w:lineRule="exact"/>
        <w:ind w:left="0"/>
      </w:pPr>
      <w:r>
        <w:rPr>
          <w:rFonts w:ascii="HY신명조" w:hAnsi="HY신명조" w:eastAsia="HY신명조"/>
          <w:b w:val="0"/>
          <w:sz w:val="22"/>
        </w:rPr>
        <w:t>그림 5-5. 절제 실험 결과</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그림 5-6. 무충돌 대피 케이스의 차선 반환 Kaplan–Meier 곡선 (절제 1차 표본, 조건부 n=13)</w:t>
      </w:r>
      <w:r>
        <w:rPr>
          <w:rFonts w:ascii="HY신명조" w:hAnsi="HY신명조" w:eastAsia="HY신명조"/>
          <w:b w:val="0"/>
          <w:sz w:val="22"/>
        </w:rPr>
        <w:tab/>
        <w:t>51</w:t>
      </w:r>
    </w:p>
    <w:p>
      <w:pPr>
        <w:tabs>
          <w:tab w:pos="8504" w:val="right" w:leader="dot"/>
        </w:tabs>
        <w:spacing w:line="501" w:lineRule="exact"/>
        <w:ind w:left="0"/>
      </w:pPr>
      <w:r>
        <w:rPr>
          <w:rFonts w:ascii="HY신명조" w:hAnsi="HY신명조" w:eastAsia="HY신명조"/>
          <w:b w:val="0"/>
          <w:sz w:val="22"/>
        </w:rPr>
        <w:t>그림 5-7. 하드 페일 판정 지연의 감사와 개선</w:t>
      </w:r>
      <w:r>
        <w:rPr>
          <w:rFonts w:ascii="HY신명조" w:hAnsi="HY신명조" w:eastAsia="HY신명조"/>
          <w:b w:val="0"/>
          <w:sz w:val="22"/>
        </w:rPr>
        <w:tab/>
        <w:t>54</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아울러 판정 지연의 끝단 감사를 통해, 신호가 완전히 끊기는 하드 페일에는 증거 성격을 구분하는 고속 판정 경로를 도입하여 감지·판정이 1.5 s 마감 안에 완료됨을 재수집 실험으로 확인하였고,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실험(4팔×10시드, 감지+3초의 감속 과도구간 발사)에서 순정 지속 주행은 10회 중 7회 충돌하였고, 감지+차로 내 정지는 0회, 속도 상한 없는 대피는 3회, 3.0 m/s 상한 대피는 4회 충돌하였다(exact McNemar, A1↔A4 p=0.25).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780000" cy="1932556"/>
            <wp:docPr id="1" name="Picture 1"/>
            <wp:cNvGraphicFramePr>
              <a:graphicFrameLocks noChangeAspect="1"/>
            </wp:cNvGraphicFramePr>
            <a:graphic>
              <a:graphicData uri="http://schemas.openxmlformats.org/drawingml/2006/picture">
                <pic:pic>
                  <pic:nvPicPr>
                    <pic:cNvPr id="0" name="fig_system_arch.png"/>
                    <pic:cNvPicPr/>
                  </pic:nvPicPr>
                  <pic:blipFill>
                    <a:blip r:embed="rId15"/>
                    <a:stretch>
                      <a:fillRect/>
                    </a:stretch>
                  </pic:blipFill>
                  <pic:spPr>
                    <a:xfrm>
                      <a:off x="0" y="0"/>
                      <a:ext cx="3780000" cy="193255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감시 모듈(cdr_monitor)이 센서별 신선도·품질·물리 채널을 점수화해 발행하면, 감독자(mrm_supervisor)가 상태기계와 비용함수로 대응을 선택해 속도 상한과 함께 Autoware 실행 계층에 전달한다.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3960000" cy="2113748"/>
            <wp:docPr id="2" name="Picture 2"/>
            <wp:cNvGraphicFramePr>
              <a:graphicFrameLocks noChangeAspect="1"/>
            </wp:cNvGraphicFramePr>
            <a:graphic>
              <a:graphicData uri="http://schemas.openxmlformats.org/drawingml/2006/picture">
                <pic:pic>
                  <pic:nvPicPr>
                    <pic:cNvPr id="0" name="fig_bt_structure.png"/>
                    <pic:cNvPicPr/>
                  </pic:nvPicPr>
                  <pic:blipFill>
                    <a:blip r:embed="rId16"/>
                    <a:stretch>
                      <a:fillRect/>
                    </a:stretch>
                  </pic:blipFill>
                  <pic:spPr>
                    <a:xfrm>
                      <a:off x="0" y="0"/>
                      <a:ext cx="3960000" cy="2113748"/>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감독자의 상태기계(그림 3-3)는 건강도 점수의 이중 임계(상단 0.7, 하단 0.3)로 전이한다: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3600000" cy="1692715"/>
            <wp:docPr id="3" name="Picture 3"/>
            <wp:cNvGraphicFramePr>
              <a:graphicFrameLocks noChangeAspect="1"/>
            </wp:cNvGraphicFramePr>
            <a:graphic>
              <a:graphicData uri="http://schemas.openxmlformats.org/drawingml/2006/picture">
                <pic:pic>
                  <pic:nvPicPr>
                    <pic:cNvPr id="0" name="fig_state_machine.png"/>
                    <pic:cNvPicPr/>
                  </pic:nvPicPr>
                  <pic:blipFill>
                    <a:blip r:embed="rId17"/>
                    <a:stretch>
                      <a:fillRect/>
                    </a:stretch>
                  </pic:blipFill>
                  <pic:spPr>
                    <a:xfrm>
                      <a:off x="0" y="0"/>
                      <a:ext cx="3600000" cy="1692715"/>
                    </a:xfrm>
                    <a:prstGeom prst="rect"/>
                  </pic:spPr>
                </pic:pic>
              </a:graphicData>
            </a:graphic>
          </wp:inline>
        </w:drawing>
      </w:r>
    </w:p>
    <w:p>
      <w:pPr>
        <w:keepLines/>
        <w:spacing w:line="360" w:lineRule="auto" w:before="0" w:after="0"/>
      </w:pPr>
      <w:r>
        <w:rPr>
          <w:rFonts w:ascii="HY신명조" w:hAnsi="HY신명조" w:eastAsia="HY신명조"/>
          <w:b w:val="0"/>
          <w:sz w:val="22"/>
        </w:rPr>
        <w:t>그림 3-3. 감독자 상태기계. 건강도 점수 밴드(0.3 &lt; health ≤ 0.7)에서 갓길·주차장 대피(MRM_MOVE→MRM_PARKED)를, 바닥 이하(health ≤ 0.3) 또는 위치 신뢰 붕괴에서 순정 정차 위임(MRM_DEFER)을 선택한다.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420000" cy="2966952"/>
            <wp:docPr id="4" name="Picture 4"/>
            <wp:cNvGraphicFramePr>
              <a:graphicFrameLocks noChangeAspect="1"/>
            </wp:cNvGraphicFramePr>
            <a:graphic>
              <a:graphicData uri="http://schemas.openxmlformats.org/drawingml/2006/picture">
                <pic:pic>
                  <pic:nvPicPr>
                    <pic:cNvPr id="0" name="fig_candidates_map.png"/>
                    <pic:cNvPicPr/>
                  </pic:nvPicPr>
                  <pic:blipFill>
                    <a:blip r:embed="rId18"/>
                    <a:stretch>
                      <a:fillRect/>
                    </a:stretch>
                  </pic:blipFill>
                  <pic:spPr>
                    <a:xfrm>
                      <a:off x="0" y="0"/>
                      <a:ext cx="3420000" cy="2966952"/>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16개소(원), 주차장 후보(사각·다각형), 신호 교차로(삼각) 및 기준 경로(파선). 신호 교차로는 관측성 게이트의 대상이며, 후보의 경로 비용은 자체 도로망 그래프에서 산출한다.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3600000" cy="1993916"/>
            <wp:docPr id="5" name="Picture 5"/>
            <wp:cNvGraphicFramePr>
              <a:graphicFrameLocks noChangeAspect="1"/>
            </wp:cNvGraphicFramePr>
            <a:graphic>
              <a:graphicData uri="http://schemas.openxmlformats.org/drawingml/2006/picture">
                <pic:pic>
                  <pic:nvPicPr>
                    <pic:cNvPr id="0" name="fig_experiment_setup.png"/>
                    <pic:cNvPicPr/>
                  </pic:nvPicPr>
                  <pic:blipFill>
                    <a:blip r:embed="rId19"/>
                    <a:stretch>
                      <a:fillRect/>
                    </a:stretch>
                  </pic:blipFill>
                  <pic:spPr>
                    <a:xfrm>
                      <a:off x="0" y="0"/>
                      <a:ext cx="3600000" cy="1993916"/>
                    </a:xfrm>
                    <a:prstGeom prst="rect"/>
                  </pic:spPr>
                </pic:pic>
              </a:graphicData>
            </a:graphic>
          </wp:inline>
        </w:drawing>
      </w:r>
    </w:p>
    <w:p>
      <w:pPr>
        <w:keepLines/>
        <w:spacing w:line="360" w:lineRule="auto" w:before="0" w:after="0"/>
      </w:pPr>
      <w:r>
        <w:rPr>
          <w:rFonts w:ascii="HY신명조" w:hAnsi="HY신명조" w:eastAsia="HY신명조"/>
          <w:b w:val="0"/>
          <w:sz w:val="22"/>
        </w:rPr>
        <w:t>그림 4-1. 실험 환경: CARLA(호스트)-브리지·리더보드·Autoware(컨테이너)의 폐루프 구성과 갓길·주차장 후보가 주석된 자체 제작 Town07 벡터맵.</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2048461"/>
            <wp:docPr id="6" name="Picture 6"/>
            <wp:cNvGraphicFramePr>
              <a:graphicFrameLocks noChangeAspect="1"/>
            </wp:cNvGraphicFramePr>
            <a:graphic>
              <a:graphicData uri="http://schemas.openxmlformats.org/drawingml/2006/picture">
                <pic:pic>
                  <pic:nvPicPr>
                    <pic:cNvPr id="0" name="fig_scene_panels.png"/>
                    <pic:cNvPicPr/>
                  </pic:nvPicPr>
                  <pic:blipFill>
                    <a:blip r:embed="rId20"/>
                    <a:stretch>
                      <a:fillRect/>
                    </a:stretch>
                  </pic:blipFill>
                  <pic:spPr>
                    <a:xfrm>
                      <a:off x="0" y="0"/>
                      <a:ext cx="4320000" cy="2048461"/>
                    </a:xfrm>
                    <a:prstGeom prst="rect"/>
                  </pic:spPr>
                </pic:pic>
              </a:graphicData>
            </a:graphic>
          </wp:inline>
        </w:drawing>
      </w:r>
    </w:p>
    <w:p>
      <w:pPr>
        <w:keepLines/>
        <w:spacing w:line="360" w:lineRule="auto" w:before="0" w:after="0"/>
      </w:pPr>
      <w:r>
        <w:rPr>
          <w:rFonts w:ascii="HY신명조" w:hAnsi="HY신명조" w:eastAsia="HY신명조"/>
          <w:b w:val="0"/>
          <w:sz w:val="22"/>
        </w:rPr>
        <w:t>그림 4-2. 대표 실행 화면(실제 실행 캡처): (a) Town07 주행, (b) RViz 인식, (c) 후보 주석 벡터맵, (d) 갓길 대피 MRC 도달, (e) 주차장 대피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61596"/>
            <wp:docPr id="7" name="Picture 7"/>
            <wp:cNvGraphicFramePr>
              <a:graphicFrameLocks noChangeAspect="1"/>
            </wp:cNvGraphicFramePr>
            <a:graphic>
              <a:graphicData uri="http://schemas.openxmlformats.org/drawingml/2006/picture">
                <pic:pic>
                  <pic:nvPicPr>
                    <pic:cNvPr id="0" name="fig_sensor_fault_effects.png"/>
                    <pic:cNvPicPr/>
                  </pic:nvPicPr>
                  <pic:blipFill>
                    <a:blip r:embed="rId21"/>
                    <a:stretch>
                      <a:fillRect/>
                    </a:stretch>
                  </pic:blipFill>
                  <pic:spPr>
                    <a:xfrm>
                      <a:off x="0" y="0"/>
                      <a:ext cx="4140000" cy="5561596"/>
                    </a:xfrm>
                    <a:prstGeom prst="rect"/>
                  </pic:spPr>
                </pic:pic>
              </a:graphicData>
            </a:graphic>
          </wp:inline>
        </w:drawing>
      </w:r>
    </w:p>
    <w:p>
      <w:pPr>
        <w:keepLines/>
        <w:spacing w:line="360" w:lineRule="auto" w:before="0" w:after="0"/>
      </w:pPr>
      <w:r>
        <w:rPr>
          <w:rFonts w:ascii="HY신명조" w:hAnsi="HY신명조" w:eastAsia="HY신명조"/>
          <w:b w:val="0"/>
          <w:sz w:val="22"/>
        </w:rPr>
        <w:t>그림 4-3.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4-4).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3780000" cy="1723523"/>
            <wp:docPr id="8" name="Picture 8"/>
            <wp:cNvGraphicFramePr>
              <a:graphicFrameLocks noChangeAspect="1"/>
            </wp:cNvGraphicFramePr>
            <a:graphic>
              <a:graphicData uri="http://schemas.openxmlformats.org/drawingml/2006/picture">
                <pic:pic>
                  <pic:nvPicPr>
                    <pic:cNvPr id="0" name="fig_encounter_design.png"/>
                    <pic:cNvPicPr/>
                  </pic:nvPicPr>
                  <pic:blipFill>
                    <a:blip r:embed="rId22"/>
                    <a:stretch>
                      <a:fillRect/>
                    </a:stretch>
                  </pic:blipFill>
                  <pic:spPr>
                    <a:xfrm>
                      <a:off x="0" y="0"/>
                      <a:ext cx="3780000" cy="1723523"/>
                    </a:xfrm>
                    <a:prstGeom prst="rect"/>
                  </pic:spPr>
                </pic:pic>
              </a:graphicData>
            </a:graphic>
          </wp:inline>
        </w:drawing>
      </w:r>
    </w:p>
    <w:p>
      <w:pPr>
        <w:keepLines/>
        <w:spacing w:line="360" w:lineRule="auto" w:before="0" w:after="0"/>
      </w:pPr>
      <w:r>
        <w:rPr>
          <w:rFonts w:ascii="HY신명조" w:hAnsi="HY신명조" w:eastAsia="HY신명조"/>
          <w:b w:val="0"/>
          <w:sz w:val="22"/>
        </w:rPr>
        <w:t>그림 4-4. 보행자 돌발 조우 주입 구조. 고장 주입 t(시드 고정) → 감지 t_detect(섀도 공통) → 발사 t_detect+3 s, 전방 8 m 상대 기하 표준화, 보행자는 12 m 횡단 후 정지.</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시계도 명시한다. 하드웨어 사망 주입에서 시뮬레이터의 액터 파괴는 서버 측에서 약 1.6 s(벽시계)의 처리 정지를 유발하며, 이 동안 시뮬레이션 시간(/clock)이 사실상 멈춘다는 것을 실측으로 확인했다. 세계(보행자·교통 포함)가 함께 정지하므로 안전 관련 지연의 올바른 시계는 시뮬레이션 시간이다: 벽시계 측정은 이 정지를 포함해 사망 고장의 감지 지연을 계통적으로 과대측정한다(실측 약 +1.2 s). 따라서 판정 지연은 시뮬레이션 시간으로 보고하고, 주입 시각(주입기)과 상태 전이 시각(감독자)을 각각 케이스 종료·조기 종료와 무관한 append 전용 원장에 시뮬레이션 시각으로 기록해 판정기 손실과 독립적으로 산출한다. 아울러 파괴 전 스트림 정지(stop-before-destroy)를 적용해, 파괴 명령 후에도 프레임이 잔류 발행되는 시뮬레이터 아티팩트가 침묵 시작 시각을 왜곡하지 않게 했다.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10시드×4팔의 실행 순서를 팔별 자리 균형으로 제약 랜덤화해 실행 전 동결했다.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4.2 → 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3.9 → 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*cf·lf의 화살표 우측은 판정 경로 개선 후 재수집의 중앙 지연(시뮬레이션 시간·원장 기준, 8절 표 5-7)이며, 좌측은 본 캠페인 당시(구 판정 경로·벽시계) 값이다.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이면의 연속 신호를 그림 5-1이 보인다. 그림의 실선은 감독자 상태 전이(0.7/0.3)에 실제 입력되는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이 그림에서 직접 읽힌다), 고강도는 고장 주입 직후 임계 하방의 저점 대역으로 이탈해 개입을 발동한다. 이 대역 분리가 low/mid/high 등급화와 3구간 상태 전이(정상/대피/위임)의 기반이다. 점선의 obstacle 채널은 상태 전이 발동 채널이 아닌 MRM 이동 게이트 전용이며, 0.7 하방 요동(개활지·선회 시 섹터 커버리지 변화)은 발동 대상이 아니므로 오발동 0건과 모순되지 않는다. 단, GNSS 계열(gn)의 건강도는 /monitor/scores 토픽이 아니라 감독자 내부의 잔차 감지기(loc_meas/loc_jump)에서 산출되는 구조이므로, 본 그림은 /monitor/scores로 관측되는 라이다 열화 채널로 예시한다.</w:t>
      </w:r>
    </w:p>
    <w:p>
      <w:pPr>
        <w:keepNext/>
        <w:spacing w:line="240" w:lineRule="auto"/>
        <w:jc w:val="center"/>
      </w:pPr>
      <w:r>
        <w:drawing>
          <wp:inline xmlns:a="http://schemas.openxmlformats.org/drawingml/2006/main" xmlns:pic="http://schemas.openxmlformats.org/drawingml/2006/picture">
            <wp:extent cx="5220000" cy="2898833"/>
            <wp:docPr id="9" name="Picture 9"/>
            <wp:cNvGraphicFramePr>
              <a:graphicFrameLocks noChangeAspect="1"/>
            </wp:cNvGraphicFramePr>
            <a:graphic>
              <a:graphicData uri="http://schemas.openxmlformats.org/drawingml/2006/picture">
                <pic:pic>
                  <pic:nvPicPr>
                    <pic:cNvPr id="0" name="fig_health_traces.png"/>
                    <pic:cNvPicPr/>
                  </pic:nvPicPr>
                  <pic:blipFill>
                    <a:blip r:embed="rId23"/>
                    <a:stretch>
                      <a:fillRect/>
                    </a:stretch>
                  </pic:blipFill>
                  <pic:spPr>
                    <a:xfrm>
                      <a:off x="0" y="0"/>
                      <a:ext cx="5220000" cy="2898833"/>
                    </a:xfrm>
                    <a:prstGeom prst="rect"/>
                  </pic:spPr>
                </pic:pic>
              </a:graphicData>
            </a:graphic>
          </wp:inline>
        </w:drawing>
      </w:r>
    </w:p>
    <w:p>
      <w:pPr>
        <w:keepLines/>
        <w:spacing w:line="360" w:lineRule="auto" w:before="0" w:after="0"/>
      </w:pPr>
      <w:r>
        <w:rPr>
          <w:rFonts w:ascii="HY신명조" w:hAnsi="HY신명조" w:eastAsia="HY신명조"/>
          <w:b w:val="0"/>
          <w:sz w:val="22"/>
        </w:rPr>
        <w:t>그림 5-1. 연속 건강도 궤적 — 상태 전이 입력 채널의 점수 대역 분리(이중 임계 0.7/0.3 병기). 곡선은 조건당 대표 단일 런이며, 실선은 상태 전이 입력 perception 채널, 점선은 MRM 이동 게이트용 obstacle 채널이다(동일 기록·동일 파싱, 워밍업·종료 stale 아티팩트 절단).</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거동을 표 5-2에 요약하고, 전 조합(고장-심각도 × 방법)의 조망은 그림 5-2의 히트맵을 참조한다.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240" w:lineRule="auto"/>
        <w:jc w:val="center"/>
      </w:pPr>
      <w:r>
        <w:drawing>
          <wp:inline xmlns:a="http://schemas.openxmlformats.org/drawingml/2006/main" xmlns:pic="http://schemas.openxmlformats.org/drawingml/2006/picture">
            <wp:extent cx="3131999" cy="2754110"/>
            <wp:docPr id="10" name="Picture 10"/>
            <wp:cNvGraphicFramePr>
              <a:graphicFrameLocks noChangeAspect="1"/>
            </wp:cNvGraphicFramePr>
            <a:graphic>
              <a:graphicData uri="http://schemas.openxmlformats.org/drawingml/2006/picture">
                <pic:pic>
                  <pic:nvPicPr>
                    <pic:cNvPr id="0" name="fig_campaign_heatmap.png"/>
                    <pic:cNvPicPr/>
                  </pic:nvPicPr>
                  <pic:blipFill>
                    <a:blip r:embed="rId24"/>
                    <a:stretch>
                      <a:fillRect/>
                    </a:stretch>
                  </pic:blipFill>
                  <pic:spPr>
                    <a:xfrm>
                      <a:off x="0" y="0"/>
                      <a:ext cx="3131999" cy="2754110"/>
                    </a:xfrm>
                    <a:prstGeom prst="rect"/>
                  </pic:spPr>
                </pic:pic>
              </a:graphicData>
            </a:graphic>
          </wp:inline>
        </w:drawing>
      </w:r>
    </w:p>
    <w:p>
      <w:pPr>
        <w:keepLines/>
        <w:spacing w:line="360" w:lineRule="auto" w:before="0" w:after="0"/>
      </w:pPr>
      <w:r>
        <w:rPr>
          <w:rFonts w:ascii="HY신명조" w:hAnsi="HY신명조" w:eastAsia="HY신명조"/>
          <w:b w:val="0"/>
          <w:sz w:val="22"/>
        </w:rPr>
        <w:t>그림 5-2. 본 캠페인 MRM 결과: 대피 vs 차선 내 정지 (고장-심각도 × 방법). ours 열의 셀 주석은 분자/분모(대피 완료/유효 케이스)이며, baseline은 설계상 차선 내 정지 정책이므로 대피 완료가 정의상 성립하지 않아(N/A) 회색으로 처리하되 대조의 완결성을 위해 열을 유지한다.</w:t>
      </w:r>
    </w:p>
    <w:p>
      <w:pPr>
        <w:spacing w:line="501" w:lineRule="exact" w:before="0" w:after="0"/>
      </w:pP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m였다(그림 5-3).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keepNext/>
        <w:spacing w:line="240" w:lineRule="auto"/>
        <w:jc w:val="center"/>
      </w:pPr>
      <w:r>
        <w:drawing>
          <wp:inline xmlns:a="http://schemas.openxmlformats.org/drawingml/2006/main" xmlns:pic="http://schemas.openxmlformats.org/drawingml/2006/picture">
            <wp:extent cx="5220000" cy="3020444"/>
            <wp:docPr id="11" name="Picture 11"/>
            <wp:cNvGraphicFramePr>
              <a:graphicFrameLocks noChangeAspect="1"/>
            </wp:cNvGraphicFramePr>
            <a:graphic>
              <a:graphicData uri="http://schemas.openxmlformats.org/drawingml/2006/picture">
                <pic:pic>
                  <pic:nvPicPr>
                    <pic:cNvPr id="0" name="fig_exposure.png"/>
                    <pic:cNvPicPr/>
                  </pic:nvPicPr>
                  <pic:blipFill>
                    <a:blip r:embed="rId25"/>
                    <a:stretch>
                      <a:fillRect/>
                    </a:stretch>
                  </pic:blipFill>
                  <pic:spPr>
                    <a:xfrm>
                      <a:off x="0" y="0"/>
                      <a:ext cx="5220000" cy="3020444"/>
                    </a:xfrm>
                    <a:prstGeom prst="rect"/>
                  </pic:spPr>
                </pic:pic>
              </a:graphicData>
            </a:graphic>
          </wp:inline>
        </w:drawing>
      </w:r>
    </w:p>
    <w:p>
      <w:pPr>
        <w:keepLines/>
        <w:spacing w:line="360" w:lineRule="auto" w:before="0" w:after="0"/>
      </w:pPr>
      <w:r>
        <w:rPr>
          <w:rFonts w:ascii="HY신명조" w:hAnsi="HY신명조" w:eastAsia="HY신명조"/>
          <w:b w:val="0"/>
          <w:sz w:val="22"/>
        </w:rPr>
        <w:t>그림 5-3. 고장 유형별 고장 상태 주행 노출(평균). 라이다 희박화의 제안 값(255 m)은 lso-mid의 의도적 무개입(감내)에 의한 계속 주행이며, 같은 이유로(동일 감지 공유 — 설계상 미검출) 해당 유형의 차로 내 정지 막대는 표시하지 않는다.</w:t>
      </w:r>
    </w:p>
    <w:p>
      <w:pPr>
        <w:spacing w:line="501" w:lineRule="exact" w:before="0" w:after="0"/>
      </w:pP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5-4(a)).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keepNext/>
        <w:spacing w:line="240" w:lineRule="auto"/>
        <w:jc w:val="center"/>
      </w:pPr>
      <w:r>
        <w:drawing>
          <wp:inline xmlns:a="http://schemas.openxmlformats.org/drawingml/2006/main" xmlns:pic="http://schemas.openxmlformats.org/drawingml/2006/picture">
            <wp:extent cx="5220000" cy="1926132"/>
            <wp:docPr id="12" name="Picture 12"/>
            <wp:cNvGraphicFramePr>
              <a:graphicFrameLocks noChangeAspect="1"/>
            </wp:cNvGraphicFramePr>
            <a:graphic>
              <a:graphicData uri="http://schemas.openxmlformats.org/drawingml/2006/picture">
                <pic:pic>
                  <pic:nvPicPr>
                    <pic:cNvPr id="0" name="fig_final_campaign.png"/>
                    <pic:cNvPicPr/>
                  </pic:nvPicPr>
                  <pic:blipFill>
                    <a:blip r:embed="rId26"/>
                    <a:stretch>
                      <a:fillRect/>
                    </a:stretch>
                  </pic:blipFill>
                  <pic:spPr>
                    <a:xfrm>
                      <a:off x="0" y="0"/>
                      <a:ext cx="5220000" cy="1926132"/>
                    </a:xfrm>
                    <a:prstGeom prst="rect"/>
                  </pic:spPr>
                </pic:pic>
              </a:graphicData>
            </a:graphic>
          </wp:inline>
        </w:drawing>
      </w:r>
    </w:p>
    <w:p>
      <w:pPr>
        <w:keepLines/>
        <w:spacing w:line="360" w:lineRule="auto" w:before="0" w:after="0"/>
      </w:pPr>
      <w:r>
        <w:rPr>
          <w:rFonts w:ascii="HY신명조" w:hAnsi="HY신명조" w:eastAsia="HY신명조"/>
          <w:b w:val="0"/>
          <w:sz w:val="22"/>
        </w:rPr>
        <w:t>그림 5-4. (a) 무고장 순정의 거리 사다리와 정지거리 경계(음영 8~11 m). (b) gn-mid 고장 하 동일 8 m 돌발의 3조건 비교(저속 MRM 순항 8/8 회피·감속 과도구간 0/2·순정 0/10).</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결과이다(그림 5-4(b)).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5220000" cy="2030000"/>
            <wp:docPr id="13" name="Picture 13"/>
            <wp:cNvGraphicFramePr>
              <a:graphicFrameLocks noChangeAspect="1"/>
            </wp:cNvGraphicFramePr>
            <a:graphic>
              <a:graphicData uri="http://schemas.openxmlformats.org/drawingml/2006/picture">
                <pic:pic>
                  <pic:nvPicPr>
                    <pic:cNvPr id="0" name="fig_ablation_final.png"/>
                    <pic:cNvPicPr/>
                  </pic:nvPicPr>
                  <pic:blipFill>
                    <a:blip r:embed="rId27"/>
                    <a:stretch>
                      <a:fillRect/>
                    </a:stretch>
                  </pic:blipFill>
                  <pic:spPr>
                    <a:xfrm>
                      <a:off x="0" y="0"/>
                      <a:ext cx="5220000" cy="2030000"/>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 (a) 4팔의 충돌/회피 분해(과도구간 발사). (b) 동일 상한 대피 정책의 2체제 비교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240000" cy="2349153"/>
            <wp:docPr id="14" name="Picture 14"/>
            <wp:cNvGraphicFramePr>
              <a:graphicFrameLocks noChangeAspect="1"/>
            </wp:cNvGraphicFramePr>
            <a:graphic>
              <a:graphicData uri="http://schemas.openxmlformats.org/drawingml/2006/picture">
                <pic:pic>
                  <pic:nvPicPr>
                    <pic:cNvPr id="0" name="fig_lane_clear_km.png"/>
                    <pic:cNvPicPr/>
                  </pic:nvPicPr>
                  <pic:blipFill>
                    <a:blip r:embed="rId28"/>
                    <a:stretch>
                      <a:fillRect/>
                    </a:stretch>
                  </pic:blipFill>
                  <pic:spPr>
                    <a:xfrm>
                      <a:off x="0" y="0"/>
                      <a:ext cx="3240000" cy="2349153"/>
                    </a:xfrm>
                    <a:prstGeom prst="rect"/>
                  </pic:spPr>
                </pic:pic>
              </a:graphicData>
            </a:graphic>
          </wp:inline>
        </w:drawing>
      </w:r>
    </w:p>
    <w:p>
      <w:pPr>
        <w:keepLines/>
        <w:spacing w:line="360" w:lineRule="auto" w:before="0" w:after="0"/>
      </w:pPr>
      <w:r>
        <w:rPr>
          <w:rFonts w:ascii="HY신명조" w:hAnsi="HY신명조" w:eastAsia="HY신명조"/>
          <w:b w:val="0"/>
          <w:sz w:val="22"/>
        </w:rPr>
        <w:t>그림 5-6.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5-5(b)): 감지+3 s의 과도구간(감속 미완) 발사에서는 11/20이 충돌한 반면, 감속이 완료된 정착 순항(3.0 m/s 재출발 순항, 8 m 조우 재실험) 발사에서는 0/8 무충돌이었다.</w:t>
      </w: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4/10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판정 경로 개선과 하드 페일 1.5 s 마감 재검증</w:t>
      </w:r>
    </w:p>
    <w:p>
      <w:pPr>
        <w:spacing w:line="501" w:lineRule="exact" w:before="0" w:after="0"/>
      </w:pPr>
    </w:p>
    <w:p>
      <w:pPr>
        <w:spacing w:line="501" w:lineRule="exact" w:before="0" w:after="0"/>
        <w:jc w:val="both"/>
      </w:pPr>
      <w:r>
        <w:rPr>
          <w:rFonts w:ascii="HY신명조" w:hAnsi="HY신명조" w:eastAsia="HY신명조"/>
          <w:b w:val="0"/>
          <w:sz w:val="22"/>
        </w:rPr>
        <w:t xml:space="preserve">   표 5-1의 사망 고장(cf·lf) 감지 지연(벽시계 4.2·3.9 s)에 대한 끝단 감사에서, 지연의 대부분이 감지가 아니라 판정 관성과 측정 왜곡임이 드러났다. 분해하면(그림 5-7(a)): 신선도 마감(0.85 s)과 점수 전파는 1 s 남짓에 끝나 있으나, 노이즈용 밴드 확인(1.0 s)의 일괄 적용, 결정 시점의 후보 경로 계산(1.3~2.0 s), 회복이 불가능한 조건에서의 시야 회복 유예(5.0 s)와 후보 재시도(3.0 s)가 경로별로 더해졌다. 여기에 측정 왜곡이 겹쳤다: 액터 파괴의 서버 처리 정지(약 1.6 s)가 벽시계 측정에 포함되어 있었다(제4장 5절).</w:t>
      </w:r>
    </w:p>
    <w:p>
      <w:pPr>
        <w:spacing w:line="501" w:lineRule="exact" w:before="0" w:after="0"/>
        <w:jc w:val="both"/>
      </w:pPr>
      <w:r>
        <w:rPr>
          <w:rFonts w:ascii="HY신명조" w:hAnsi="HY신명조" w:eastAsia="HY신명조"/>
          <w:b w:val="0"/>
          <w:sz w:val="22"/>
        </w:rPr>
        <w:t xml:space="preserve">   제3장 5절의 하드 페일 고속 경로 — 사망 확인 시 밴드 확인 생략, 회복 불가 조건의 유예·재시도 생략, 후보 경로 사전 계산 — 를 적용하고, 판정 지연을 원장 기반 시뮬레이션 시간으로 측정하여 cf·lf 전 매트릭스(각 90케이스, 본 캠페인과 동일 구조)를 재수집했다. 결과를 표 5-7에 보인다: 전 아종에서 중앙 약 1.0 s, 최대 1.20 s로 1.5 s 마감을 위반 없이 준수했고(위반 0건/159), MRM 도달도 유지되었다. 개선은 하드 페일에 한정된다 — 열화형 고장의 판정은 통계적 증거 축적이 본질이므로 심각도 비례 원칙(제3장 4절)을 유지한다.</w:t>
      </w:r>
    </w:p>
    <w:p>
      <w:pPr>
        <w:keepNext/>
        <w:spacing w:line="360" w:lineRule="auto" w:before="0" w:after="0"/>
      </w:pPr>
      <w:r>
        <w:rPr>
          <w:rFonts w:ascii="HY신명조" w:hAnsi="HY신명조" w:eastAsia="HY신명조"/>
          <w:b w:val="0"/>
          <w:sz w:val="22"/>
        </w:rPr>
        <w:t>표 5-7. 하드 페일 재수집: 판정 지연(시뮬레이션 시간, 원장 기준)과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표 5-1의 cf·lf(벽시계·구 판정 경로)와 시계·경로가 다르므로 직접 비교에는 그림 5-7(b)의 병기를 참조.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500000" cy="1844828"/>
            <wp:docPr id="15" name="Picture 15"/>
            <wp:cNvGraphicFramePr>
              <a:graphicFrameLocks noChangeAspect="1"/>
            </wp:cNvGraphicFramePr>
            <a:graphic>
              <a:graphicData uri="http://schemas.openxmlformats.org/drawingml/2006/picture">
                <pic:pic>
                  <pic:nvPicPr>
                    <pic:cNvPr id="0" name="fig_hardfail_latency.png"/>
                    <pic:cNvPicPr/>
                  </pic:nvPicPr>
                  <pic:blipFill>
                    <a:blip r:embed="rId29"/>
                    <a:stretch>
                      <a:fillRect/>
                    </a:stretch>
                  </pic:blipFill>
                  <pic:spPr>
                    <a:xfrm>
                      <a:off x="0" y="0"/>
                      <a:ext cx="4500000" cy="1844828"/>
                    </a:xfrm>
                    <a:prstGeom prst="rect"/>
                  </pic:spPr>
                </pic:pic>
              </a:graphicData>
            </a:graphic>
          </wp:inline>
        </w:drawing>
      </w:r>
    </w:p>
    <w:p>
      <w:pPr>
        <w:keepLines/>
        <w:spacing w:line="360" w:lineRule="auto" w:before="0" w:after="0"/>
      </w:pPr>
      <w:r>
        <w:rPr>
          <w:rFonts w:ascii="HY신명조" w:hAnsi="HY신명조" w:eastAsia="HY신명조"/>
          <w:b w:val="0"/>
          <w:sz w:val="22"/>
        </w:rPr>
        <w:t>그림 5-7. 하드 페일 판정 지연의 감사와 개선. (a) 경로별 지연 예산 분해(시뮬레이션 시간): 구 경로 3종은 판정 관성으로 3.5~6.0 s를 소모하나, 하드 페일 고속 경로는 감지·판정 1.0 s로 1.5 s 마감(파선) 안에 든다. (b) 재수집 실측 분포: 전 아종이 마감 이하이며, 마름모는 구 경로·벽시계(파괴 정지 포함) 중앙값이다.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판정 지연의 끝단 감사와 하드 페일 고속 경로 도입으로, 사망 고장의 감지·판정이 1.5 s 마감 안에 완료됨을 전 매트릭스 재수집으로 확인하였다(제5장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4/10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A latency audit further showed that most of the reported hard-failure detection delay was decision inertia and measurement distortion rather than sensing: an evidence-aware fast path (skipping noise-oriented debounce and futile recovery holds for confirmed sensor death, with precomputed candidate routes) brought detection-to-decision within a 1.5-s deadline across a full re-collection, measured in simulation time to exclude actor-destruction stalls.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