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5. 절제 실험: 감지·정지·대피·속도 상한의 분해</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2. 과도구간 위험 창과 FTTI</w:t>
      </w:r>
      <w:r>
        <w:rPr>
          <w:rFonts w:ascii="HY신명조" w:hAnsi="HY신명조" w:eastAsia="HY신명조"/>
          <w:b w:val="0"/>
          <w:sz w:val="22"/>
        </w:rPr>
        <w:tab/>
        <w:t>51</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65</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32</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49</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감독자 상태기계</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5-1. 연속 건강도 궤적 — 고장 강도에 따른 점수 대역 분리</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45</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감지부터 감속 완료까지의 과도구간에 집중된다. 이는 감지 시점을 독립 조작한 인과 실험은 아니지만, 더 이른 감지와 더 빠른 감속이 이 잔존 위험 창을 축소할 것임을 실험적으로 뒷받침하는 관찰로서, 고장 감내 시간 간격(FTTI) 단축이 갖는 가치의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감지·정지·대피·속도 상한의 기여를 분해하며, 동일 정책의 과도구간/정착 순항 2체제 분석으로 대피 잔존 위험이 감지~감속 완료의 과도구간에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감속이 완료되기 전의 과도구간이 대피형 MRM의 잔존 위험 창임을 조우 수준에서 실측하여(제5장 5~6절), FTTI 단축 — 더 이른 감지, 더 이른 감속 — 이 갖는 가치를 정량적으로 뒷받침한다.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000"/>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000"/>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식 (3-6)의 감쇠 강화로 이 마감을 근사·보수화한 것이며,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3-2에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210824"/>
            <wp:docPr id="2" name="Picture 2"/>
            <wp:cNvGraphicFramePr>
              <a:graphicFrameLocks noChangeAspect="1"/>
            </wp:cNvGraphicFramePr>
            <a:graphic>
              <a:graphicData uri="http://schemas.openxmlformats.org/drawingml/2006/picture">
                <pic:pic>
                  <pic:nvPicPr>
                    <pic:cNvPr id="0" name="fig_state_machine.png"/>
                    <pic:cNvPicPr/>
                  </pic:nvPicPr>
                  <pic:blipFill>
                    <a:blip r:embed="rId16"/>
                    <a:stretch>
                      <a:fillRect/>
                    </a:stretch>
                  </pic:blipFill>
                  <pic:spPr>
                    <a:xfrm>
                      <a:off x="0" y="0"/>
                      <a:ext cx="5220000" cy="2210824"/>
                    </a:xfrm>
                    <a:prstGeom prst="rect"/>
                  </pic:spPr>
                </pic:pic>
              </a:graphicData>
            </a:graphic>
          </wp:inline>
        </w:drawing>
      </w:r>
    </w:p>
    <w:p>
      <w:pPr>
        <w:spacing w:line="360" w:lineRule="auto" w:before="0" w:after="0"/>
      </w:pPr>
      <w:r>
        <w:rPr>
          <w:rFonts w:ascii="HY신명조" w:hAnsi="HY신명조" w:eastAsia="HY신명조"/>
          <w:b w:val="0"/>
          <w:sz w:val="22"/>
        </w:rPr>
        <w:t>그림 3-2.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3" name="Picture 3"/>
            <wp:cNvGraphicFramePr>
              <a:graphicFrameLocks noChangeAspect="1"/>
            </wp:cNvGraphicFramePr>
            <a:graphic>
              <a:graphicData uri="http://schemas.openxmlformats.org/drawingml/2006/picture">
                <pic:pic>
                  <pic:nvPicPr>
                    <pic:cNvPr id="0" name="fig_experiment_setup.png"/>
                    <pic:cNvPicPr/>
                  </pic:nvPicPr>
                  <pic:blipFill>
                    <a:blip r:embed="rId17"/>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감지·정지·대피·속도 상한의 네 요소로 분해하기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관찰 지평 내 미이탈은 우측 중도절단으로 처리하며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3-9);</w:t>
            </w:r>
          </w:p>
          <w:p>
            <w:pPr>
              <w:spacing w:line="288" w:lineRule="auto" w:before="20" w:after="20"/>
              <w:jc w:val="left"/>
            </w:pPr>
            <w:r>
              <w:rPr>
                <w:rFonts w:ascii="HY신명조" w:hAnsi="HY신명조" w:eastAsia="HY신명조"/>
                <w:b w:val="0"/>
                <w:sz w:val="19"/>
              </w:rPr>
              <w:t>τ는 실효 위험 대응 지연 (제3장 6절)</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감내 구간에 해당한다 — 이 수준의 포인트 탈락 후에도 유효 검출거리 약 55 m가 잔존하여 건강도가 개입 임계에 미달하며, 감독자는 의도된 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(감내 구간)</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56471"/>
            <wp:docPr id="4" name="Picture 4"/>
            <wp:cNvGraphicFramePr>
              <a:graphicFrameLocks noChangeAspect="1"/>
            </wp:cNvGraphicFramePr>
            <a:graphic>
              <a:graphicData uri="http://schemas.openxmlformats.org/drawingml/2006/picture">
                <pic:pic>
                  <pic:nvPicPr>
                    <pic:cNvPr id="0" name="fig_health_traces.png"/>
                    <pic:cNvPicPr/>
                  </pic:nvPicPr>
                  <pic:blipFill>
                    <a:blip r:embed="rId18"/>
                    <a:stretch>
                      <a:fillRect/>
                    </a:stretch>
                  </pic:blipFill>
                  <pic:spPr>
                    <a:xfrm>
                      <a:off x="0" y="0"/>
                      <a:ext cx="5220000" cy="2456471"/>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고장 강도에 따른 점수 대역 분리. 무고장(nf)은 상단 임계(0.7) 위의 정상 대역을 유지하고, 라이다 희박화 중강도(lso-mid)는 임계 부근의 감내 대역에 머무르며, 고강도(lso-high)는 하단 임계(0.3) 아래로 이탈해 0.0에 도달한다(capability·obstacle 점수, 이중 임계 0.7/0.3 병기).</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연속 건강도 점수가 고장 강도에 따라 서로 다른 대역으로 분리되며 — 무고장은 상단 임계 위 유지, 중강도는 감내 대역, 고강도는 하한 이탈 — 이 대역 분리가 low/mid/high 등급화와 3구간 상태 전이(정상/대피/위임)의 기반이다.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6643636"/>
            <wp:docPr id="5" name="Picture 5"/>
            <wp:cNvGraphicFramePr>
              <a:graphicFrameLocks noChangeAspect="1"/>
            </wp:cNvGraphicFramePr>
            <a:graphic>
              <a:graphicData uri="http://schemas.openxmlformats.org/drawingml/2006/picture">
                <pic:pic>
                  <pic:nvPicPr>
                    <pic:cNvPr id="0" name="fig_campaign_heatmap.png"/>
                    <pic:cNvPicPr/>
                  </pic:nvPicPr>
                  <pic:blipFill>
                    <a:blip r:embed="rId19"/>
                    <a:stretch>
                      <a:fillRect/>
                    </a:stretch>
                  </pic:blipFill>
                  <pic:spPr>
                    <a:xfrm>
                      <a:off x="0" y="0"/>
                      <a:ext cx="5220000" cy="6643636"/>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셀 주석은 분자/분모(대피 성공 건수/유효 케이스 수)이다. baseline은 설계상 차선 내 정지 정책이므로 대피 성공 0은 정의상 결과(N/A에 해당)이며,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6" name="Picture 6"/>
            <wp:cNvGraphicFramePr>
              <a:graphicFrameLocks noChangeAspect="1"/>
            </wp:cNvGraphicFramePr>
            <a:graphic>
              <a:graphicData uri="http://schemas.openxmlformats.org/drawingml/2006/picture">
                <pic:pic>
                  <pic:nvPicPr>
                    <pic:cNvPr id="0" name="fig_exposure.png"/>
                    <pic:cNvPicPr/>
                  </pic:nvPicPr>
                  <pic:blipFill>
                    <a:blip r:embed="rId20"/>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유한한 시간 안에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7" name="Picture 7"/>
            <wp:cNvGraphicFramePr>
              <a:graphicFrameLocks noChangeAspect="1"/>
            </wp:cNvGraphicFramePr>
            <a:graphic>
              <a:graphicData uri="http://schemas.openxmlformats.org/drawingml/2006/picture">
                <pic:pic>
                  <pic:nvPicPr>
                    <pic:cNvPr id="0" name="fig_final_campaign.png"/>
                    <pic:cNvPicPr/>
                  </pic:nvPicPr>
                  <pic:blipFill>
                    <a:blip r:embed="rId21"/>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감속 완료까지의 시간창이 잔존 위험 창이다.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감지·정지·대피·속도 상한의 분해</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8" name="Picture 8"/>
            <wp:cNvGraphicFramePr>
              <a:graphicFrameLocks noChangeAspect="1"/>
            </wp:cNvGraphicFramePr>
            <a:graphic>
              <a:graphicData uri="http://schemas.openxmlformats.org/drawingml/2006/picture">
                <pic:pic>
                  <pic:nvPicPr>
                    <pic:cNvPr id="0" name="fig_ablation_final.png"/>
                    <pic:cNvPicPr/>
                  </pic:nvPicPr>
                  <pic:blipFill>
                    <a:blip r:embed="rId22"/>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감지의 효과(A1→A2): 순정 지속 주행의 충돌 7/10이 감지+즉시 정지에서 1/10로 낮아진다 — 과도구간 발사라는 최악 시간창에서도 감지·제동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감속을 보장으로 격상하는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조우부터 주행차선 횡이탈(&gt;1.8 m)까지의 시간 T_lat-clear는 대피 정책 케이스에서, 차선 반환이 관측된 18/28 케이스의 단순 중앙값이 14.5 s(IQR 11.0~18.5)이며, 관찰 지평 내 미반환 10건을 우측 중도절단으로 반영한 Kaplan–Meier 추정 중앙값은 19.4 s(관찰 지평 종점의 생존율 0.357)이다 — 단순 중앙값은 반환된 케이스만의 요약이므로 낙관 편향이 있으며, 중도절단을 반영한 KM 값이 보수적 추정이다.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지불하고 유한한 시간 안에 주행차선을 반환한다(관측 단순 중앙값 14.5 s, 중도절단 반영 KM 중앙값 19.4 s).</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조우→주행차선 횡이탈(&gt;1.8 m)</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단순 중앙값 14.5 s</w:t>
            </w:r>
          </w:p>
          <w:p>
            <w:pPr>
              <w:spacing w:line="288" w:lineRule="auto" w:before="20" w:after="20"/>
              <w:jc w:val="left"/>
            </w:pPr>
            <w:r>
              <w:rPr>
                <w:rFonts w:ascii="HY신명조" w:hAnsi="HY신명조" w:eastAsia="HY신명조"/>
                <w:b w:val="0"/>
                <w:sz w:val="19"/>
              </w:rPr>
              <w:t>(IQR 11.0~18.5, n=18/28)</w:t>
            </w:r>
          </w:p>
          <w:p>
            <w:pPr>
              <w:spacing w:line="288" w:lineRule="auto" w:before="20" w:after="20"/>
              <w:jc w:val="left"/>
            </w:pPr>
            <w:r>
              <w:rPr>
                <w:rFonts w:ascii="HY신명조" w:hAnsi="HY신명조" w:eastAsia="HY신명조"/>
                <w:b w:val="0"/>
                <w:sz w:val="19"/>
              </w:rPr>
              <w:t>KM 중앙값 19.4 s</w:t>
            </w:r>
          </w:p>
          <w:p>
            <w:pPr>
              <w:spacing w:line="288" w:lineRule="auto" w:before="20" w:after="20"/>
              <w:jc w:val="left"/>
            </w:pPr>
            <w:r>
              <w:rPr>
                <w:rFonts w:ascii="HY신명조" w:hAnsi="HY신명조" w:eastAsia="HY신명조"/>
                <w:b w:val="0"/>
                <w:sz w:val="19"/>
              </w:rPr>
              <w:t>(중도절단 10건 반영,</w:t>
            </w:r>
          </w:p>
          <w:p>
            <w:pPr>
              <w:spacing w:line="288" w:lineRule="auto" w:before="20" w:after="20"/>
              <w:jc w:val="left"/>
            </w:pPr>
            <w:r>
              <w:rPr>
                <w:rFonts w:ascii="HY신명조" w:hAnsi="HY신명조" w:eastAsia="HY신명조"/>
                <w:b w:val="0"/>
                <w:sz w:val="19"/>
              </w:rPr>
              <w:t>최종 생존율 0.357)</w:t>
            </w:r>
          </w:p>
        </w:tc>
      </w:tr>
    </w:tbl>
    <w:p>
      <w:pPr>
        <w:spacing w:line="312" w:lineRule="auto" w:before="0" w:after="0"/>
      </w:pPr>
      <w:r>
        <w:rPr>
          <w:rFonts w:ascii="HY신명조" w:hAnsi="HY신명조" w:eastAsia="HY신명조"/>
          <w:b w:val="0"/>
          <w:sz w:val="19"/>
        </w:rPr>
        <w:t>T_lat-clear의 "지평 내 미반환"은 관찰 지평 내 이탈이 관측되지 않았음(우측 중도절단)을 뜻하며 평균화의 대상이 아니다. 대피 팔의 단순 중앙값은 이탈이 확인된 부분집합(n=18/28)의 요약이고, Kaplan–Meier 중앙값은 우측 중도절단 10건을 반영한 추정이다.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감지~감속 완료의 과도구간에 집중된다. 과도구간의 길이는 감지 지연과 감속 프로파일이 결정하므로, 고장 감지 후 감속 완료까지의 과도구간이 잔존 위험 창이며(과도 4/10 대 정착 0/8), 더 이른 감지와 더 빠른 감속이 이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과도구간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이 위험 창의 길이는 (감지 지연) + (감속 소요)이므로, 위험 창을 줄이는 경로는 두 가지뿐이다: 더 이른 감지(FTTI 중 감지 시간 몫의 단축)와 더 급한 감속(승차감·후방 위험과의 상충). 본 결과는 "고장 감지는 빠를수록 좋다"는 일반론을 "고장 감지 후 감속 완료까지의 과도구간이 잔존 위험 창이며(과도구간 발사 4/10 대 정착 순항 0/8), 더 이른 감지와 더 빠른 감속은 이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 거동이 아니라 보장(guarantee)에 있다 — 대피 경로가 길거나 재가속 구간을 포함할 때 열화 상태의 속도가 다시 오르는 것을 막는 상계이며,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과도구간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 기준의 조작적 정의이며, 대피 팔 집계의 단순 중앙값은 이탈이 확인된 부분집합(n=18/28)의 요약이다 — 나머지는 관찰 중단에 의한 우측 중도절단으로 남으며, 이를 반영한 Kaplan–Meier 중앙값(19.4 s)을 병기했으나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감지~감속 완료의 과도구간에 집중된다(과도 4/10 대 정착 0/8) — 더 이른 감지와 더 빠른 감속이 이 창을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과도구간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and cleared the driving lane with a naive median of 14.5 s among observed clearances (18/28; Kaplan-Meier median 19.4 s accounting for right-censoring).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