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Times New Roman" w:hAnsi="Times New Roman" w:eastAsia="HY신명조"/>
          <w:b/>
          <w:sz w:val="32"/>
        </w:rPr>
        <w:t>Master's Thesis</w:t>
      </w:r>
    </w:p>
    <w:p>
      <w:pPr>
        <w:spacing w:line="360" w:lineRule="auto" w:before="0" w:after="0"/>
        <w:jc w:val="right"/>
      </w:pPr>
      <w:r>
        <w:rPr>
          <w:rFonts w:ascii="Times New Roman" w:hAnsi="Times New Roman" w:eastAsia="HY신명조"/>
          <w:b w:val="0"/>
          <w:sz w:val="28"/>
        </w:rPr>
        <w:t>Advisor: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40"/>
        </w:rPr>
        <w:t>Continuous Sensor Health Monitoring and</w:t>
      </w:r>
    </w:p>
    <w:p>
      <w:pPr>
        <w:spacing w:line="360" w:lineRule="auto" w:before="0" w:after="0"/>
        <w:jc w:val="center"/>
      </w:pPr>
      <w:r>
        <w:rPr>
          <w:rFonts w:ascii="Times New Roman" w:hAnsi="Times New Roman" w:eastAsia="HY신명조"/>
          <w:b/>
          <w:sz w:val="40"/>
        </w:rPr>
        <w:t>Risk/Capability-aware Graded MRM Supervision</w:t>
      </w:r>
    </w:p>
    <w:p>
      <w:pPr>
        <w:spacing w:line="360" w:lineRule="auto" w:before="0" w:after="0"/>
        <w:jc w:val="center"/>
      </w:pPr>
      <w:r>
        <w:rPr>
          <w:rFonts w:ascii="Times New Roman" w:hAnsi="Times New Roman" w:eastAsia="HY신명조"/>
          <w:b/>
          <w:sz w:val="40"/>
        </w:rPr>
        <w:t>for Fail-Safe Operation of Autonomous Vehicles</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30"/>
        </w:rPr>
        <w:t>The Graduate School</w:t>
      </w:r>
    </w:p>
    <w:p>
      <w:pPr>
        <w:spacing w:line="360" w:lineRule="auto" w:before="0" w:after="0"/>
        <w:jc w:val="center"/>
      </w:pPr>
      <w:r>
        <w:rPr>
          <w:rFonts w:ascii="Times New Roman" w:hAnsi="Times New Roman" w:eastAsia="HY신명조"/>
          <w:b/>
          <w:sz w:val="30"/>
        </w:rPr>
        <w:t>Sungkyunkwan University</w:t>
      </w:r>
    </w:p>
    <w:p>
      <w:pPr>
        <w:spacing w:line="360" w:lineRule="auto" w:before="0" w:after="0"/>
        <w:jc w:val="center"/>
      </w:pPr>
      <w:r>
        <w:rPr>
          <w:rFonts w:ascii="Times New Roman" w:hAnsi="Times New Roman" w:eastAsia="HY신명조"/>
          <w:b w:val="0"/>
          <w:sz w:val="26"/>
        </w:rPr>
        <w:t>Department of Electrical and Computer Engineering</w:t>
      </w:r>
    </w:p>
    <w:p>
      <w:pPr>
        <w:spacing w:line="360" w:lineRule="auto" w:before="0" w:after="0"/>
        <w:jc w:val="center"/>
      </w:pPr>
      <w:r>
        <w:rPr>
          <w:rFonts w:ascii="Times New Roman" w:hAnsi="Times New Roman" w:eastAsia="HY신명조"/>
          <w:b/>
          <w:sz w:val="30"/>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Times New Roman" w:hAnsi="Times New Roman" w:eastAsia="HY신명조"/>
          <w:b/>
          <w:sz w:val="32"/>
        </w:rPr>
        <w:t>Master's Thesis</w:t>
      </w:r>
    </w:p>
    <w:p>
      <w:pPr>
        <w:spacing w:line="360" w:lineRule="auto" w:before="0" w:after="0"/>
        <w:jc w:val="right"/>
      </w:pPr>
      <w:r>
        <w:rPr>
          <w:rFonts w:ascii="Times New Roman" w:hAnsi="Times New Roman" w:eastAsia="HY신명조"/>
          <w:b w:val="0"/>
          <w:sz w:val="28"/>
        </w:rPr>
        <w:t>Advisor: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40"/>
        </w:rPr>
        <w:t>Continuous Sensor Health Monitoring and</w:t>
      </w:r>
    </w:p>
    <w:p>
      <w:pPr>
        <w:spacing w:line="360" w:lineRule="auto" w:before="0" w:after="0"/>
        <w:jc w:val="center"/>
      </w:pPr>
      <w:r>
        <w:rPr>
          <w:rFonts w:ascii="Times New Roman" w:hAnsi="Times New Roman" w:eastAsia="HY신명조"/>
          <w:b/>
          <w:sz w:val="40"/>
        </w:rPr>
        <w:t>Risk/Capability-aware Graded MRM Supervision</w:t>
      </w:r>
    </w:p>
    <w:p>
      <w:pPr>
        <w:spacing w:line="360" w:lineRule="auto" w:before="0" w:after="0"/>
        <w:jc w:val="center"/>
      </w:pPr>
      <w:r>
        <w:rPr>
          <w:rFonts w:ascii="Times New Roman" w:hAnsi="Times New Roman" w:eastAsia="HY신명조"/>
          <w:b/>
          <w:sz w:val="40"/>
        </w:rPr>
        <w:t>for Fail-Safe Operation of Autonomous Vehicles</w:t>
      </w:r>
    </w:p>
    <w:p>
      <w:pPr>
        <w:spacing w:line="360" w:lineRule="auto" w:before="0" w:after="0"/>
      </w:pPr>
    </w:p>
    <w:p>
      <w:pPr>
        <w:spacing w:line="360" w:lineRule="auto" w:before="0" w:after="0"/>
        <w:jc w:val="center"/>
      </w:pPr>
      <w:r>
        <w:rPr>
          <w:rFonts w:ascii="Times New Roman" w:hAnsi="Times New Roman" w:eastAsia="HY신명조"/>
          <w:b w:val="0"/>
          <w:sz w:val="28"/>
        </w:rPr>
        <w:t>자율주행 차량의 페일세이프 운행을 위한 연속 센서 건강도 감시와</w:t>
      </w:r>
    </w:p>
    <w:p>
      <w:pPr>
        <w:spacing w:line="360" w:lineRule="auto" w:before="0" w:after="0"/>
        <w:jc w:val="center"/>
      </w:pPr>
      <w:r>
        <w:rPr>
          <w:rFonts w:ascii="Times New Roman" w:hAnsi="Times New Roman" w:eastAsia="HY신명조"/>
          <w:b w:val="0"/>
          <w:sz w:val="28"/>
        </w:rPr>
        <w:t>위험·잔여능력 기반 단계적 최소위험기동 감독</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30"/>
        </w:rPr>
        <w:t>The Graduate School</w:t>
      </w:r>
    </w:p>
    <w:p>
      <w:pPr>
        <w:spacing w:line="360" w:lineRule="auto" w:before="0" w:after="0"/>
        <w:jc w:val="center"/>
      </w:pPr>
      <w:r>
        <w:rPr>
          <w:rFonts w:ascii="Times New Roman" w:hAnsi="Times New Roman" w:eastAsia="HY신명조"/>
          <w:b/>
          <w:sz w:val="30"/>
        </w:rPr>
        <w:t>Sungkyunkwan University</w:t>
      </w:r>
    </w:p>
    <w:p>
      <w:pPr>
        <w:spacing w:line="360" w:lineRule="auto" w:before="0" w:after="0"/>
        <w:jc w:val="center"/>
      </w:pPr>
      <w:r>
        <w:rPr>
          <w:rFonts w:ascii="Times New Roman" w:hAnsi="Times New Roman" w:eastAsia="HY신명조"/>
          <w:b w:val="0"/>
          <w:sz w:val="26"/>
        </w:rPr>
        <w:t>Department of Electrical and Computer Engineering</w:t>
      </w:r>
    </w:p>
    <w:p>
      <w:pPr>
        <w:spacing w:line="360" w:lineRule="auto" w:before="0" w:after="0"/>
        <w:jc w:val="center"/>
      </w:pPr>
      <w:r>
        <w:rPr>
          <w:rFonts w:ascii="Times New Roman" w:hAnsi="Times New Roman" w:eastAsia="HY신명조"/>
          <w:b/>
          <w:sz w:val="30"/>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Times New Roman" w:hAnsi="Times New Roman" w:eastAsia="HY신명조"/>
          <w:b/>
          <w:sz w:val="32"/>
        </w:rPr>
        <w:t>Master's Thesis</w:t>
      </w:r>
    </w:p>
    <w:p>
      <w:pPr>
        <w:spacing w:line="360" w:lineRule="auto" w:before="0" w:after="0"/>
        <w:jc w:val="right"/>
      </w:pPr>
      <w:r>
        <w:rPr>
          <w:rFonts w:ascii="Times New Roman" w:hAnsi="Times New Roman" w:eastAsia="HY신명조"/>
          <w:b w:val="0"/>
          <w:sz w:val="28"/>
        </w:rPr>
        <w:t>Advisor: ○ ○ ○</w:t>
      </w: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40"/>
        </w:rPr>
        <w:t>Continuous Sensor Health Monitoring and</w:t>
      </w:r>
    </w:p>
    <w:p>
      <w:pPr>
        <w:spacing w:line="360" w:lineRule="auto" w:before="0" w:after="0"/>
        <w:jc w:val="center"/>
      </w:pPr>
      <w:r>
        <w:rPr>
          <w:rFonts w:ascii="Times New Roman" w:hAnsi="Times New Roman" w:eastAsia="HY신명조"/>
          <w:b/>
          <w:sz w:val="40"/>
        </w:rPr>
        <w:t>Risk/Capability-aware Graded MRM Supervision</w:t>
      </w:r>
    </w:p>
    <w:p>
      <w:pPr>
        <w:spacing w:line="360" w:lineRule="auto" w:before="0" w:after="0"/>
        <w:jc w:val="center"/>
      </w:pPr>
      <w:r>
        <w:rPr>
          <w:rFonts w:ascii="Times New Roman" w:hAnsi="Times New Roman" w:eastAsia="HY신명조"/>
          <w:b/>
          <w:sz w:val="40"/>
        </w:rPr>
        <w:t>for Fail-Safe Operation of Autonomous Vehicles</w:t>
      </w:r>
    </w:p>
    <w:p>
      <w:pPr>
        <w:spacing w:line="360" w:lineRule="auto" w:before="0" w:after="0"/>
      </w:pPr>
    </w:p>
    <w:p>
      <w:pPr>
        <w:spacing w:line="360" w:lineRule="auto" w:before="0" w:after="0"/>
        <w:jc w:val="center"/>
      </w:pPr>
      <w:r>
        <w:rPr>
          <w:rFonts w:ascii="Times New Roman" w:hAnsi="Times New Roman" w:eastAsia="HY신명조"/>
          <w:b w:val="0"/>
          <w:sz w:val="28"/>
        </w:rPr>
        <w:t>자율주행 차량의 페일세이프 운행을 위한 연속 센서 건강도 감시와</w:t>
      </w:r>
    </w:p>
    <w:p>
      <w:pPr>
        <w:spacing w:line="360" w:lineRule="auto" w:before="0" w:after="0"/>
        <w:jc w:val="center"/>
      </w:pPr>
      <w:r>
        <w:rPr>
          <w:rFonts w:ascii="Times New Roman" w:hAnsi="Times New Roman" w:eastAsia="HY신명조"/>
          <w:b w:val="0"/>
          <w:sz w:val="28"/>
        </w:rPr>
        <w:t>위험·잔여능력 기반 단계적 최소위험기동 감독</w:t>
      </w:r>
    </w:p>
    <w:p>
      <w:pPr>
        <w:spacing w:line="360" w:lineRule="auto" w:before="0" w:after="0"/>
      </w:pPr>
    </w:p>
    <w:p>
      <w:pPr>
        <w:spacing w:line="360" w:lineRule="auto" w:before="0" w:after="0"/>
        <w:jc w:val="center"/>
      </w:pPr>
      <w:r>
        <w:rPr>
          <w:rFonts w:ascii="Times New Roman" w:hAnsi="Times New Roman" w:eastAsia="HY신명조"/>
          <w:b w:val="0"/>
          <w:sz w:val="26"/>
        </w:rPr>
        <w:t>A thesis submitted to the Graduate School of Sungkyunkwan University</w:t>
      </w:r>
    </w:p>
    <w:p>
      <w:pPr>
        <w:spacing w:line="360" w:lineRule="auto" w:before="0" w:after="0"/>
        <w:jc w:val="center"/>
      </w:pPr>
      <w:r>
        <w:rPr>
          <w:rFonts w:ascii="Times New Roman" w:hAnsi="Times New Roman" w:eastAsia="HY신명조"/>
          <w:b w:val="0"/>
          <w:sz w:val="26"/>
        </w:rPr>
        <w:t>in partial fulfillment of the requirements for the degree of</w:t>
      </w:r>
    </w:p>
    <w:p>
      <w:pPr>
        <w:spacing w:line="360" w:lineRule="auto" w:before="0" w:after="0"/>
        <w:jc w:val="center"/>
      </w:pPr>
      <w:r>
        <w:rPr>
          <w:rFonts w:ascii="Times New Roman" w:hAnsi="Times New Roman" w:eastAsia="HY신명조"/>
          <w:b w:val="0"/>
          <w:sz w:val="26"/>
        </w:rPr>
        <w:t>Master of Science in Engineering</w:t>
      </w:r>
    </w:p>
    <w:p>
      <w:pPr>
        <w:spacing w:line="360" w:lineRule="auto" w:before="0" w:after="0"/>
      </w:pPr>
    </w:p>
    <w:p>
      <w:pPr>
        <w:spacing w:line="360" w:lineRule="auto" w:before="0" w:after="0"/>
        <w:jc w:val="center"/>
      </w:pPr>
      <w:r>
        <w:rPr>
          <w:rFonts w:ascii="Times New Roman" w:hAnsi="Times New Roman" w:eastAsia="HY신명조"/>
          <w:b w:val="0"/>
          <w:sz w:val="28"/>
        </w:rPr>
        <w:t>April 2026</w:t>
      </w:r>
    </w:p>
    <w:p>
      <w:pPr>
        <w:spacing w:line="360" w:lineRule="auto" w:before="0" w:after="0"/>
      </w:pPr>
    </w:p>
    <w:p>
      <w:pPr>
        <w:spacing w:line="360" w:lineRule="auto" w:before="0" w:after="0"/>
        <w:jc w:val="center"/>
      </w:pPr>
      <w:r>
        <w:rPr>
          <w:rFonts w:ascii="Times New Roman" w:hAnsi="Times New Roman" w:eastAsia="HY신명조"/>
          <w:b/>
          <w:sz w:val="30"/>
        </w:rPr>
        <w:t>The Graduate School</w:t>
      </w:r>
    </w:p>
    <w:p>
      <w:pPr>
        <w:spacing w:line="360" w:lineRule="auto" w:before="0" w:after="0"/>
        <w:jc w:val="center"/>
      </w:pPr>
      <w:r>
        <w:rPr>
          <w:rFonts w:ascii="Times New Roman" w:hAnsi="Times New Roman" w:eastAsia="HY신명조"/>
          <w:b/>
          <w:sz w:val="30"/>
        </w:rPr>
        <w:t>Sungkyunkwan University</w:t>
      </w:r>
    </w:p>
    <w:p>
      <w:pPr>
        <w:spacing w:line="360" w:lineRule="auto" w:before="0" w:after="0"/>
        <w:jc w:val="center"/>
      </w:pPr>
      <w:r>
        <w:rPr>
          <w:rFonts w:ascii="Times New Roman" w:hAnsi="Times New Roman" w:eastAsia="HY신명조"/>
          <w:b w:val="0"/>
          <w:sz w:val="26"/>
        </w:rPr>
        <w:t>Department of Electrical and Computer Engineering</w:t>
      </w:r>
    </w:p>
    <w:p>
      <w:pPr>
        <w:spacing w:line="360" w:lineRule="auto" w:before="0" w:after="0"/>
        <w:jc w:val="center"/>
      </w:pPr>
      <w:r>
        <w:rPr>
          <w:rFonts w:ascii="Times New Roman" w:hAnsi="Times New Roman" w:eastAsia="HY신명조"/>
          <w:b/>
          <w:sz w:val="30"/>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Times New Roman" w:hAnsi="Times New Roman" w:eastAsia="HY신명조"/>
          <w:b/>
          <w:sz w:val="32"/>
        </w:rPr>
        <w:t>This certifies that the master's thesis</w:t>
      </w:r>
    </w:p>
    <w:p>
      <w:pPr>
        <w:spacing w:line="501" w:lineRule="exact" w:before="0" w:after="0"/>
        <w:jc w:val="center"/>
      </w:pPr>
      <w:r>
        <w:rPr>
          <w:rFonts w:ascii="Times New Roman" w:hAnsi="Times New Roman" w:eastAsia="HY신명조"/>
          <w:b/>
          <w:sz w:val="32"/>
        </w:rPr>
        <w:t>of ○ ○ ○ is approved.</w:t>
      </w:r>
    </w:p>
    <w:p>
      <w:pPr>
        <w:spacing w:line="360" w:lineRule="auto" w:before="0" w:after="0"/>
      </w:pPr>
    </w:p>
    <w:p>
      <w:pPr>
        <w:spacing w:line="360" w:lineRule="auto" w:before="0" w:after="0"/>
      </w:pPr>
    </w:p>
    <w:p>
      <w:pPr>
        <w:spacing w:line="501" w:lineRule="exact" w:before="0" w:after="0"/>
        <w:jc w:val="center"/>
      </w:pPr>
      <w:r>
        <w:rPr>
          <w:rFonts w:ascii="Times New Roman" w:hAnsi="Times New Roman" w:eastAsia="HY신명조"/>
          <w:b w:val="0"/>
          <w:sz w:val="32"/>
        </w:rPr>
        <w:t>June 2026</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Times New Roman" w:hAnsi="Times New Roman" w:eastAsia="HY신명조"/>
          <w:b w:val="0"/>
          <w:sz w:val="28"/>
        </w:rPr>
        <w:t>Committee Chair                              (Seal)</w:t>
      </w:r>
    </w:p>
    <w:p>
      <w:pPr>
        <w:spacing w:line="360" w:lineRule="auto" w:before="0" w:after="0"/>
      </w:pPr>
    </w:p>
    <w:p>
      <w:pPr>
        <w:spacing w:line="501" w:lineRule="exact"/>
        <w:jc w:val="right"/>
      </w:pPr>
      <w:r>
        <w:rPr>
          <w:rFonts w:ascii="Times New Roman" w:hAnsi="Times New Roman" w:eastAsia="HY신명조"/>
          <w:b w:val="0"/>
          <w:sz w:val="28"/>
        </w:rPr>
        <w:t>Committee Member                              (Seal)</w:t>
      </w:r>
    </w:p>
    <w:p>
      <w:pPr>
        <w:spacing w:line="360" w:lineRule="auto" w:before="0" w:after="0"/>
      </w:pPr>
    </w:p>
    <w:p>
      <w:pPr>
        <w:spacing w:line="501" w:lineRule="exact"/>
        <w:jc w:val="right"/>
      </w:pPr>
      <w:r>
        <w:rPr>
          <w:rFonts w:ascii="Times New Roman" w:hAnsi="Times New Roman" w:eastAsia="HY신명조"/>
          <w:b w:val="0"/>
          <w:sz w:val="28"/>
        </w:rPr>
        <w:t>Committee Member                              (Seal)</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Times New Roman" w:hAnsi="Times New Roman" w:eastAsia="HY신명조"/>
          <w:b/>
          <w:sz w:val="32"/>
        </w:rPr>
        <w:t>Table of Contents</w:t>
      </w:r>
    </w:p>
    <w:p>
      <w:pPr>
        <w:spacing w:line="501" w:lineRule="exact" w:before="0" w:after="0"/>
      </w:pPr>
    </w:p>
    <w:p>
      <w:pPr>
        <w:tabs>
          <w:tab w:pos="8504" w:val="right" w:leader="dot"/>
        </w:tabs>
        <w:spacing w:line="501" w:lineRule="exact"/>
        <w:ind w:left="0"/>
      </w:pPr>
      <w:r>
        <w:rPr>
          <w:rFonts w:ascii="Times New Roman" w:hAnsi="Times New Roman" w:eastAsia="HY신명조"/>
          <w:b w:val="0"/>
          <w:sz w:val="22"/>
        </w:rPr>
        <w:t>Chapter 1. Introduction</w:t>
      </w:r>
      <w:r>
        <w:rPr>
          <w:rFonts w:ascii="Times New Roman" w:hAnsi="Times New Roman" w:eastAsia="HY신명조"/>
          <w:b w:val="0"/>
          <w:sz w:val="22"/>
        </w:rPr>
        <w:tab/>
        <w:t>1</w:t>
      </w:r>
    </w:p>
    <w:p>
      <w:pPr>
        <w:tabs>
          <w:tab w:pos="7937" w:val="right" w:leader="dot"/>
        </w:tabs>
        <w:spacing w:line="501" w:lineRule="exact"/>
        <w:ind w:left="567"/>
      </w:pPr>
      <w:r>
        <w:rPr>
          <w:rFonts w:ascii="Times New Roman" w:hAnsi="Times New Roman" w:eastAsia="HY신명조"/>
          <w:b w:val="0"/>
          <w:sz w:val="22"/>
        </w:rPr>
        <w:t>1. Research Background</w:t>
      </w:r>
      <w:r>
        <w:rPr>
          <w:rFonts w:ascii="Times New Roman" w:hAnsi="Times New Roman" w:eastAsia="HY신명조"/>
          <w:b w:val="0"/>
          <w:sz w:val="22"/>
        </w:rPr>
        <w:tab/>
        <w:t>1</w:t>
      </w:r>
    </w:p>
    <w:p>
      <w:pPr>
        <w:tabs>
          <w:tab w:pos="7937" w:val="right" w:leader="dot"/>
        </w:tabs>
        <w:spacing w:line="501" w:lineRule="exact"/>
        <w:ind w:left="567"/>
      </w:pPr>
      <w:r>
        <w:rPr>
          <w:rFonts w:ascii="Times New Roman" w:hAnsi="Times New Roman" w:eastAsia="HY신명조"/>
          <w:b w:val="0"/>
          <w:sz w:val="22"/>
        </w:rPr>
        <w:t>2. Research Questions</w:t>
      </w:r>
      <w:r>
        <w:rPr>
          <w:rFonts w:ascii="Times New Roman" w:hAnsi="Times New Roman" w:eastAsia="HY신명조"/>
          <w:b w:val="0"/>
          <w:sz w:val="22"/>
        </w:rPr>
        <w:tab/>
        <w:t>4</w:t>
      </w:r>
    </w:p>
    <w:p>
      <w:pPr>
        <w:tabs>
          <w:tab w:pos="7937" w:val="right" w:leader="dot"/>
        </w:tabs>
        <w:spacing w:line="501" w:lineRule="exact"/>
        <w:ind w:left="567"/>
      </w:pPr>
      <w:r>
        <w:rPr>
          <w:rFonts w:ascii="Times New Roman" w:hAnsi="Times New Roman" w:eastAsia="HY신명조"/>
          <w:b w:val="0"/>
          <w:sz w:val="22"/>
        </w:rPr>
        <w:t>3. Contributions</w:t>
      </w:r>
      <w:r>
        <w:rPr>
          <w:rFonts w:ascii="Times New Roman" w:hAnsi="Times New Roman" w:eastAsia="HY신명조"/>
          <w:b w:val="0"/>
          <w:sz w:val="22"/>
        </w:rPr>
        <w:tab/>
        <w:t>4</w:t>
      </w:r>
    </w:p>
    <w:p>
      <w:pPr>
        <w:tabs>
          <w:tab w:pos="7937" w:val="right" w:leader="dot"/>
        </w:tabs>
        <w:spacing w:line="501" w:lineRule="exact"/>
        <w:ind w:left="567"/>
      </w:pPr>
      <w:r>
        <w:rPr>
          <w:rFonts w:ascii="Times New Roman" w:hAnsi="Times New Roman" w:eastAsia="HY신명조"/>
          <w:b w:val="0"/>
          <w:sz w:val="22"/>
        </w:rPr>
        <w:t>4. Thesis Organization</w:t>
      </w:r>
      <w:r>
        <w:rPr>
          <w:rFonts w:ascii="Times New Roman" w:hAnsi="Times New Roman" w:eastAsia="HY신명조"/>
          <w:b w:val="0"/>
          <w:sz w:val="22"/>
        </w:rPr>
        <w:tab/>
        <w:t>6</w:t>
      </w:r>
    </w:p>
    <w:p>
      <w:pPr>
        <w:tabs>
          <w:tab w:pos="8504" w:val="right" w:leader="dot"/>
        </w:tabs>
        <w:spacing w:line="501" w:lineRule="exact"/>
        <w:ind w:left="0"/>
      </w:pPr>
      <w:r>
        <w:rPr>
          <w:rFonts w:ascii="Times New Roman" w:hAnsi="Times New Roman" w:eastAsia="HY신명조"/>
          <w:b w:val="0"/>
          <w:sz w:val="22"/>
        </w:rPr>
        <w:t>Chapter 2. Background and Related Work</w:t>
      </w:r>
      <w:r>
        <w:rPr>
          <w:rFonts w:ascii="Times New Roman" w:hAnsi="Times New Roman" w:eastAsia="HY신명조"/>
          <w:b w:val="0"/>
          <w:sz w:val="22"/>
        </w:rPr>
        <w:tab/>
        <w:t>7</w:t>
      </w:r>
    </w:p>
    <w:p>
      <w:pPr>
        <w:tabs>
          <w:tab w:pos="7937" w:val="right" w:leader="dot"/>
        </w:tabs>
        <w:spacing w:line="501" w:lineRule="exact"/>
        <w:ind w:left="567"/>
      </w:pPr>
      <w:r>
        <w:rPr>
          <w:rFonts w:ascii="Times New Roman" w:hAnsi="Times New Roman" w:eastAsia="HY신명조"/>
          <w:b w:val="0"/>
          <w:sz w:val="22"/>
        </w:rPr>
        <w:t>1. Standards and Regulatory Frameworks</w:t>
      </w:r>
      <w:r>
        <w:rPr>
          <w:rFonts w:ascii="Times New Roman" w:hAnsi="Times New Roman" w:eastAsia="HY신명조"/>
          <w:b w:val="0"/>
          <w:sz w:val="22"/>
        </w:rPr>
        <w:tab/>
        <w:t>7</w:t>
      </w:r>
    </w:p>
    <w:p>
      <w:pPr>
        <w:tabs>
          <w:tab w:pos="7937" w:val="right" w:leader="dot"/>
        </w:tabs>
        <w:spacing w:line="501" w:lineRule="exact"/>
        <w:ind w:left="567"/>
      </w:pPr>
      <w:r>
        <w:rPr>
          <w:rFonts w:ascii="Times New Roman" w:hAnsi="Times New Roman" w:eastAsia="HY신명조"/>
          <w:b w:val="0"/>
          <w:sz w:val="22"/>
        </w:rPr>
        <w:t>2. FTTI and the Derivation of Time Budgets</w:t>
      </w:r>
      <w:r>
        <w:rPr>
          <w:rFonts w:ascii="Times New Roman" w:hAnsi="Times New Roman" w:eastAsia="HY신명조"/>
          <w:b w:val="0"/>
          <w:sz w:val="22"/>
        </w:rPr>
        <w:tab/>
        <w:t>8</w:t>
      </w:r>
    </w:p>
    <w:p>
      <w:pPr>
        <w:tabs>
          <w:tab w:pos="7937" w:val="right" w:leader="dot"/>
        </w:tabs>
        <w:spacing w:line="501" w:lineRule="exact"/>
        <w:ind w:left="567"/>
      </w:pPr>
      <w:r>
        <w:rPr>
          <w:rFonts w:ascii="Times New Roman" w:hAnsi="Times New Roman" w:eastAsia="HY신명조"/>
          <w:b w:val="0"/>
          <w:sz w:val="22"/>
        </w:rPr>
        <w:t>3. Fault Detection Theory and Sensor Degradation Models</w:t>
      </w:r>
      <w:r>
        <w:rPr>
          <w:rFonts w:ascii="Times New Roman" w:hAnsi="Times New Roman" w:eastAsia="HY신명조"/>
          <w:b w:val="0"/>
          <w:sz w:val="22"/>
        </w:rPr>
        <w:tab/>
        <w:t>8</w:t>
      </w:r>
    </w:p>
    <w:p>
      <w:pPr>
        <w:tabs>
          <w:tab w:pos="7937" w:val="right" w:leader="dot"/>
        </w:tabs>
        <w:spacing w:line="501" w:lineRule="exact"/>
        <w:ind w:left="567"/>
      </w:pPr>
      <w:r>
        <w:rPr>
          <w:rFonts w:ascii="Times New Roman" w:hAnsi="Times New Roman" w:eastAsia="HY신명조"/>
          <w:b w:val="0"/>
          <w:sz w:val="22"/>
        </w:rPr>
        <w:t>4. Fallback and MRM Planning</w:t>
      </w:r>
      <w:r>
        <w:rPr>
          <w:rFonts w:ascii="Times New Roman" w:hAnsi="Times New Roman" w:eastAsia="HY신명조"/>
          <w:b w:val="0"/>
          <w:sz w:val="22"/>
        </w:rPr>
        <w:tab/>
        <w:t>9</w:t>
      </w:r>
    </w:p>
    <w:p>
      <w:pPr>
        <w:tabs>
          <w:tab w:pos="7937" w:val="right" w:leader="dot"/>
        </w:tabs>
        <w:spacing w:line="501" w:lineRule="exact"/>
        <w:ind w:left="567"/>
      </w:pPr>
      <w:r>
        <w:rPr>
          <w:rFonts w:ascii="Times New Roman" w:hAnsi="Times New Roman" w:eastAsia="HY신명조"/>
          <w:b w:val="0"/>
          <w:sz w:val="22"/>
        </w:rPr>
        <w:t>5. Capability-Based Self-Monitoring and Runtime Monitoring</w:t>
      </w:r>
      <w:r>
        <w:rPr>
          <w:rFonts w:ascii="Times New Roman" w:hAnsi="Times New Roman" w:eastAsia="HY신명조"/>
          <w:b w:val="0"/>
          <w:sz w:val="22"/>
        </w:rPr>
        <w:tab/>
        <w:t>11</w:t>
      </w:r>
    </w:p>
    <w:p>
      <w:pPr>
        <w:tabs>
          <w:tab w:pos="7937" w:val="right" w:leader="dot"/>
        </w:tabs>
        <w:spacing w:line="501" w:lineRule="exact"/>
        <w:ind w:left="567"/>
      </w:pPr>
      <w:r>
        <w:rPr>
          <w:rFonts w:ascii="Times New Roman" w:hAnsi="Times New Roman" w:eastAsia="HY신명조"/>
          <w:b w:val="0"/>
          <w:sz w:val="22"/>
        </w:rPr>
        <w:t>6. Simulation-Based Evaluation and Fault Injection</w:t>
      </w:r>
      <w:r>
        <w:rPr>
          <w:rFonts w:ascii="Times New Roman" w:hAnsi="Times New Roman" w:eastAsia="HY신명조"/>
          <w:b w:val="0"/>
          <w:sz w:val="22"/>
        </w:rPr>
        <w:tab/>
        <w:t>11</w:t>
      </w:r>
    </w:p>
    <w:p>
      <w:pPr>
        <w:tabs>
          <w:tab w:pos="7937" w:val="right" w:leader="dot"/>
        </w:tabs>
        <w:spacing w:line="501" w:lineRule="exact"/>
        <w:ind w:left="567"/>
      </w:pPr>
      <w:r>
        <w:rPr>
          <w:rFonts w:ascii="Times New Roman" w:hAnsi="Times New Roman" w:eastAsia="HY신명조"/>
          <w:b w:val="0"/>
          <w:sz w:val="22"/>
        </w:rPr>
        <w:t>7. Comparison with Prior Work</w:t>
      </w:r>
      <w:r>
        <w:rPr>
          <w:rFonts w:ascii="Times New Roman" w:hAnsi="Times New Roman" w:eastAsia="HY신명조"/>
          <w:b w:val="0"/>
          <w:sz w:val="22"/>
        </w:rPr>
        <w:tab/>
        <w:t>12</w:t>
      </w:r>
    </w:p>
    <w:p>
      <w:pPr>
        <w:tabs>
          <w:tab w:pos="8504" w:val="right" w:leader="dot"/>
        </w:tabs>
        <w:spacing w:line="501" w:lineRule="exact"/>
        <w:ind w:left="0"/>
      </w:pPr>
      <w:r>
        <w:rPr>
          <w:rFonts w:ascii="Times New Roman" w:hAnsi="Times New Roman" w:eastAsia="HY신명조"/>
          <w:b w:val="0"/>
          <w:sz w:val="22"/>
        </w:rPr>
        <w:t>Chapter 3. Proposed System</w:t>
      </w:r>
      <w:r>
        <w:rPr>
          <w:rFonts w:ascii="Times New Roman" w:hAnsi="Times New Roman" w:eastAsia="HY신명조"/>
          <w:b w:val="0"/>
          <w:sz w:val="22"/>
        </w:rPr>
        <w:tab/>
        <w:t>15</w:t>
      </w:r>
    </w:p>
    <w:p>
      <w:pPr>
        <w:tabs>
          <w:tab w:pos="7937" w:val="right" w:leader="dot"/>
        </w:tabs>
        <w:spacing w:line="501" w:lineRule="exact"/>
        <w:ind w:left="567"/>
      </w:pPr>
      <w:r>
        <w:rPr>
          <w:rFonts w:ascii="Times New Roman" w:hAnsi="Times New Roman" w:eastAsia="HY신명조"/>
          <w:b w:val="0"/>
          <w:sz w:val="22"/>
        </w:rPr>
        <w:t>1. System Architecture</w:t>
      </w:r>
      <w:r>
        <w:rPr>
          <w:rFonts w:ascii="Times New Roman" w:hAnsi="Times New Roman" w:eastAsia="HY신명조"/>
          <w:b w:val="0"/>
          <w:sz w:val="22"/>
        </w:rPr>
        <w:tab/>
        <w:t>15</w:t>
      </w:r>
    </w:p>
    <w:p>
      <w:pPr>
        <w:tabs>
          <w:tab w:pos="7937" w:val="right" w:leader="dot"/>
        </w:tabs>
        <w:spacing w:line="501" w:lineRule="exact"/>
        <w:ind w:left="567"/>
      </w:pPr>
      <w:r>
        <w:rPr>
          <w:rFonts w:ascii="Times New Roman" w:hAnsi="Times New Roman" w:eastAsia="HY신명조"/>
          <w:b w:val="0"/>
          <w:sz w:val="22"/>
        </w:rPr>
        <w:t>2. Sensor Scoring</w:t>
      </w:r>
      <w:r>
        <w:rPr>
          <w:rFonts w:ascii="Times New Roman" w:hAnsi="Times New Roman" w:eastAsia="HY신명조"/>
          <w:b w:val="0"/>
          <w:sz w:val="22"/>
        </w:rPr>
        <w:tab/>
        <w:t>16</w:t>
      </w:r>
    </w:p>
    <w:p>
      <w:pPr>
        <w:tabs>
          <w:tab w:pos="7937" w:val="right" w:leader="dot"/>
        </w:tabs>
        <w:spacing w:line="501" w:lineRule="exact"/>
        <w:ind w:left="567"/>
      </w:pPr>
      <w:r>
        <w:rPr>
          <w:rFonts w:ascii="Times New Roman" w:hAnsi="Times New Roman" w:eastAsia="HY신명조"/>
          <w:b w:val="0"/>
          <w:sz w:val="22"/>
        </w:rPr>
        <w:t>3. Spatial Sectors and Capability Synthesis</w:t>
      </w:r>
      <w:r>
        <w:rPr>
          <w:rFonts w:ascii="Times New Roman" w:hAnsi="Times New Roman" w:eastAsia="HY신명조"/>
          <w:b w:val="0"/>
          <w:sz w:val="22"/>
        </w:rPr>
        <w:tab/>
        <w:t>18</w:t>
      </w:r>
    </w:p>
    <w:p>
      <w:pPr>
        <w:tabs>
          <w:tab w:pos="7937" w:val="right" w:leader="dot"/>
        </w:tabs>
        <w:spacing w:line="501" w:lineRule="exact"/>
        <w:ind w:left="567"/>
      </w:pPr>
      <w:r>
        <w:rPr>
          <w:rFonts w:ascii="Times New Roman" w:hAnsi="Times New Roman" w:eastAsia="HY신명조"/>
          <w:b w:val="0"/>
          <w:sz w:val="22"/>
        </w:rPr>
        <w:t>4. Risk-Coupled Dynamic Detection Budget</w:t>
      </w:r>
      <w:r>
        <w:rPr>
          <w:rFonts w:ascii="Times New Roman" w:hAnsi="Times New Roman" w:eastAsia="HY신명조"/>
          <w:b w:val="0"/>
          <w:sz w:val="22"/>
        </w:rPr>
        <w:tab/>
        <w:t>19</w:t>
      </w:r>
    </w:p>
    <w:p>
      <w:pPr>
        <w:tabs>
          <w:tab w:pos="7937" w:val="right" w:leader="dot"/>
        </w:tabs>
        <w:spacing w:line="501" w:lineRule="exact"/>
        <w:ind w:left="567"/>
      </w:pPr>
      <w:r>
        <w:rPr>
          <w:rFonts w:ascii="Times New Roman" w:hAnsi="Times New Roman" w:eastAsia="HY신명조"/>
          <w:b w:val="0"/>
          <w:sz w:val="22"/>
        </w:rPr>
        <w:t>5. MRM Supervisor</w:t>
      </w:r>
      <w:r>
        <w:rPr>
          <w:rFonts w:ascii="Times New Roman" w:hAnsi="Times New Roman" w:eastAsia="HY신명조"/>
          <w:b w:val="0"/>
          <w:sz w:val="22"/>
        </w:rPr>
        <w:tab/>
        <w:t>21</w:t>
      </w:r>
    </w:p>
    <w:p>
      <w:pPr>
        <w:tabs>
          <w:tab w:pos="7937" w:val="right" w:leader="dot"/>
        </w:tabs>
        <w:spacing w:line="501" w:lineRule="exact"/>
        <w:ind w:left="567"/>
      </w:pPr>
      <w:r>
        <w:rPr>
          <w:rFonts w:ascii="Times New Roman" w:hAnsi="Times New Roman" w:eastAsia="HY신명조"/>
          <w:b w:val="0"/>
          <w:sz w:val="22"/>
        </w:rPr>
        <w:t>6. Remaining-Capability-Based Conservative Low-Speed MRM Movement (Speed Cap)</w:t>
      </w:r>
      <w:r>
        <w:rPr>
          <w:rFonts w:ascii="Times New Roman" w:hAnsi="Times New Roman" w:eastAsia="HY신명조"/>
          <w:b w:val="0"/>
          <w:sz w:val="22"/>
        </w:rPr>
        <w:tab/>
        <w:t>25</w:t>
      </w:r>
    </w:p>
    <w:p>
      <w:pPr>
        <w:tabs>
          <w:tab w:pos="7937" w:val="right" w:leader="dot"/>
        </w:tabs>
        <w:spacing w:line="501" w:lineRule="exact"/>
        <w:ind w:left="567"/>
      </w:pPr>
      <w:r>
        <w:rPr>
          <w:rFonts w:ascii="Times New Roman" w:hAnsi="Times New Roman" w:eastAsia="HY신명조"/>
          <w:b w:val="0"/>
          <w:sz w:val="22"/>
        </w:rPr>
        <w:t>7. MRM Candidate Map Annotation</w:t>
      </w:r>
      <w:r>
        <w:rPr>
          <w:rFonts w:ascii="Times New Roman" w:hAnsi="Times New Roman" w:eastAsia="HY신명조"/>
          <w:b w:val="0"/>
          <w:sz w:val="22"/>
        </w:rPr>
        <w:tab/>
        <w:t>27</w:t>
      </w:r>
    </w:p>
    <w:p>
      <w:pPr>
        <w:tabs>
          <w:tab w:pos="7937" w:val="right" w:leader="dot"/>
        </w:tabs>
        <w:spacing w:line="501" w:lineRule="exact"/>
        <w:ind w:left="567"/>
      </w:pPr>
      <w:r>
        <w:rPr>
          <w:rFonts w:ascii="Times New Roman" w:hAnsi="Times New Roman" w:eastAsia="HY신명조"/>
          <w:b w:val="0"/>
          <w:sz w:val="22"/>
        </w:rPr>
        <w:t>8. Boundary and Interface with the Execution Layer</w:t>
      </w:r>
      <w:r>
        <w:rPr>
          <w:rFonts w:ascii="Times New Roman" w:hAnsi="Times New Roman" w:eastAsia="HY신명조"/>
          <w:b w:val="0"/>
          <w:sz w:val="22"/>
        </w:rPr>
        <w:tab/>
        <w:t>27</w:t>
      </w:r>
    </w:p>
    <w:p>
      <w:pPr>
        <w:tabs>
          <w:tab w:pos="8504" w:val="right" w:leader="dot"/>
        </w:tabs>
        <w:spacing w:line="501" w:lineRule="exact"/>
        <w:ind w:left="0"/>
      </w:pPr>
      <w:r>
        <w:rPr>
          <w:rFonts w:ascii="Times New Roman" w:hAnsi="Times New Roman" w:eastAsia="HY신명조"/>
          <w:b w:val="0"/>
          <w:sz w:val="22"/>
        </w:rPr>
        <w:t>Chapter 4. Experimental Environment and Design</w:t>
      </w:r>
      <w:r>
        <w:rPr>
          <w:rFonts w:ascii="Times New Roman" w:hAnsi="Times New Roman" w:eastAsia="HY신명조"/>
          <w:b w:val="0"/>
          <w:sz w:val="22"/>
        </w:rPr>
        <w:tab/>
        <w:t>29</w:t>
      </w:r>
    </w:p>
    <w:p>
      <w:pPr>
        <w:tabs>
          <w:tab w:pos="7937" w:val="right" w:leader="dot"/>
        </w:tabs>
        <w:spacing w:line="501" w:lineRule="exact"/>
        <w:ind w:left="567"/>
      </w:pPr>
      <w:r>
        <w:rPr>
          <w:rFonts w:ascii="Times New Roman" w:hAnsi="Times New Roman" w:eastAsia="HY신명조"/>
          <w:b w:val="0"/>
          <w:sz w:val="22"/>
        </w:rPr>
        <w:t>1. Experimental Environment</w:t>
      </w:r>
      <w:r>
        <w:rPr>
          <w:rFonts w:ascii="Times New Roman" w:hAnsi="Times New Roman" w:eastAsia="HY신명조"/>
          <w:b w:val="0"/>
          <w:sz w:val="22"/>
        </w:rPr>
        <w:tab/>
        <w:t>29</w:t>
      </w:r>
    </w:p>
    <w:p>
      <w:pPr>
        <w:tabs>
          <w:tab w:pos="7937" w:val="right" w:leader="dot"/>
        </w:tabs>
        <w:spacing w:line="501" w:lineRule="exact"/>
        <w:ind w:left="567"/>
      </w:pPr>
      <w:r>
        <w:rPr>
          <w:rFonts w:ascii="Times New Roman" w:hAnsi="Times New Roman" w:eastAsia="HY신명조"/>
          <w:b w:val="0"/>
          <w:sz w:val="22"/>
        </w:rPr>
        <w:t>2. Fault Model</w:t>
      </w:r>
      <w:r>
        <w:rPr>
          <w:rFonts w:ascii="Times New Roman" w:hAnsi="Times New Roman" w:eastAsia="HY신명조"/>
          <w:b w:val="0"/>
          <w:sz w:val="22"/>
        </w:rPr>
        <w:tab/>
        <w:t>31</w:t>
      </w:r>
    </w:p>
    <w:p>
      <w:pPr>
        <w:tabs>
          <w:tab w:pos="7937" w:val="right" w:leader="dot"/>
        </w:tabs>
        <w:spacing w:line="501" w:lineRule="exact"/>
        <w:ind w:left="567"/>
      </w:pPr>
      <w:r>
        <w:rPr>
          <w:rFonts w:ascii="Times New Roman" w:hAnsi="Times New Roman" w:eastAsia="HY신명조"/>
          <w:b w:val="0"/>
          <w:sz w:val="22"/>
        </w:rPr>
        <w:t>3. Main Campaign Matrix</w:t>
      </w:r>
      <w:r>
        <w:rPr>
          <w:rFonts w:ascii="Times New Roman" w:hAnsi="Times New Roman" w:eastAsia="HY신명조"/>
          <w:b w:val="0"/>
          <w:sz w:val="22"/>
        </w:rPr>
        <w:tab/>
        <w:t>33</w:t>
      </w:r>
    </w:p>
    <w:p>
      <w:pPr>
        <w:tabs>
          <w:tab w:pos="7937" w:val="right" w:leader="dot"/>
        </w:tabs>
        <w:spacing w:line="501" w:lineRule="exact"/>
        <w:ind w:left="567"/>
      </w:pPr>
      <w:r>
        <w:rPr>
          <w:rFonts w:ascii="Times New Roman" w:hAnsi="Times New Roman" w:eastAsia="HY신명조"/>
          <w:b w:val="0"/>
          <w:sz w:val="22"/>
        </w:rPr>
        <w:t>4. Pedestrian Dart-out Encounter Injector</w:t>
      </w:r>
      <w:r>
        <w:rPr>
          <w:rFonts w:ascii="Times New Roman" w:hAnsi="Times New Roman" w:eastAsia="HY신명조"/>
          <w:b w:val="0"/>
          <w:sz w:val="22"/>
        </w:rPr>
        <w:tab/>
        <w:t>35</w:t>
      </w:r>
    </w:p>
    <w:p>
      <w:pPr>
        <w:tabs>
          <w:tab w:pos="7937" w:val="right" w:leader="dot"/>
        </w:tabs>
        <w:spacing w:line="501" w:lineRule="exact"/>
        <w:ind w:left="567"/>
      </w:pPr>
      <w:r>
        <w:rPr>
          <w:rFonts w:ascii="Times New Roman" w:hAnsi="Times New Roman" w:eastAsia="HY신명조"/>
          <w:b w:val="0"/>
          <w:sz w:val="22"/>
        </w:rPr>
        <w:t>5. Collision Adjudication Methodology</w:t>
      </w:r>
      <w:r>
        <w:rPr>
          <w:rFonts w:ascii="Times New Roman" w:hAnsi="Times New Roman" w:eastAsia="HY신명조"/>
          <w:b w:val="0"/>
          <w:sz w:val="22"/>
        </w:rPr>
        <w:tab/>
        <w:t>36</w:t>
      </w:r>
    </w:p>
    <w:p>
      <w:pPr>
        <w:tabs>
          <w:tab w:pos="7937" w:val="right" w:leader="dot"/>
        </w:tabs>
        <w:spacing w:line="501" w:lineRule="exact"/>
        <w:ind w:left="567"/>
      </w:pPr>
      <w:r>
        <w:rPr>
          <w:rFonts w:ascii="Times New Roman" w:hAnsi="Times New Roman" w:eastAsia="HY신명조"/>
          <w:b w:val="0"/>
          <w:sz w:val="22"/>
        </w:rPr>
        <w:t>6. Distance Ladder and 8 m Encounter Experiment Design</w:t>
      </w:r>
      <w:r>
        <w:rPr>
          <w:rFonts w:ascii="Times New Roman" w:hAnsi="Times New Roman" w:eastAsia="HY신명조"/>
          <w:b w:val="0"/>
          <w:sz w:val="22"/>
        </w:rPr>
        <w:tab/>
        <w:t>38</w:t>
      </w:r>
    </w:p>
    <w:p>
      <w:pPr>
        <w:tabs>
          <w:tab w:pos="7937" w:val="right" w:leader="dot"/>
        </w:tabs>
        <w:spacing w:line="501" w:lineRule="exact"/>
        <w:ind w:left="567"/>
      </w:pPr>
      <w:r>
        <w:rPr>
          <w:rFonts w:ascii="Times New Roman" w:hAnsi="Times New Roman" w:eastAsia="HY신명조"/>
          <w:b w:val="0"/>
          <w:sz w:val="22"/>
        </w:rPr>
        <w:t>7. Metrics and Statistics</w:t>
      </w:r>
      <w:r>
        <w:rPr>
          <w:rFonts w:ascii="Times New Roman" w:hAnsi="Times New Roman" w:eastAsia="HY신명조"/>
          <w:b w:val="0"/>
          <w:sz w:val="22"/>
        </w:rPr>
        <w:tab/>
        <w:t>39</w:t>
      </w:r>
    </w:p>
    <w:p>
      <w:pPr>
        <w:tabs>
          <w:tab w:pos="7937" w:val="right" w:leader="dot"/>
        </w:tabs>
        <w:spacing w:line="501" w:lineRule="exact"/>
        <w:ind w:left="567"/>
      </w:pPr>
      <w:r>
        <w:rPr>
          <w:rFonts w:ascii="Times New Roman" w:hAnsi="Times New Roman" w:eastAsia="HY신명조"/>
          <w:b w:val="0"/>
          <w:sz w:val="22"/>
        </w:rPr>
        <w:t>8. Reproducibility: Key Experimental Parameters</w:t>
      </w:r>
      <w:r>
        <w:rPr>
          <w:rFonts w:ascii="Times New Roman" w:hAnsi="Times New Roman" w:eastAsia="HY신명조"/>
          <w:b w:val="0"/>
          <w:sz w:val="22"/>
        </w:rPr>
        <w:tab/>
        <w:t>40</w:t>
      </w:r>
    </w:p>
    <w:p>
      <w:pPr>
        <w:tabs>
          <w:tab w:pos="8504" w:val="right" w:leader="dot"/>
        </w:tabs>
        <w:spacing w:line="501" w:lineRule="exact"/>
        <w:ind w:left="0"/>
      </w:pPr>
      <w:r>
        <w:rPr>
          <w:rFonts w:ascii="Times New Roman" w:hAnsi="Times New Roman" w:eastAsia="HY신명조"/>
          <w:b w:val="0"/>
          <w:sz w:val="22"/>
        </w:rPr>
        <w:t>Chapter 5. Experimental Results</w:t>
      </w:r>
      <w:r>
        <w:rPr>
          <w:rFonts w:ascii="Times New Roman" w:hAnsi="Times New Roman" w:eastAsia="HY신명조"/>
          <w:b w:val="0"/>
          <w:sz w:val="22"/>
        </w:rPr>
        <w:tab/>
        <w:t>43</w:t>
      </w:r>
    </w:p>
    <w:p>
      <w:pPr>
        <w:tabs>
          <w:tab w:pos="7937" w:val="right" w:leader="dot"/>
        </w:tabs>
        <w:spacing w:line="501" w:lineRule="exact"/>
        <w:ind w:left="567"/>
      </w:pPr>
      <w:r>
        <w:rPr>
          <w:rFonts w:ascii="Times New Roman" w:hAnsi="Times New Roman" w:eastAsia="HY신명조"/>
          <w:b w:val="0"/>
          <w:sz w:val="22"/>
        </w:rPr>
        <w:t>1. Main Campaign: Detection Performance and Per-Fault Monitoring and Evacuation Behavior</w:t>
      </w:r>
      <w:r>
        <w:rPr>
          <w:rFonts w:ascii="Times New Roman" w:hAnsi="Times New Roman" w:eastAsia="HY신명조"/>
          <w:b w:val="0"/>
          <w:sz w:val="22"/>
        </w:rPr>
        <w:tab/>
        <w:t>43</w:t>
      </w:r>
    </w:p>
    <w:p>
      <w:pPr>
        <w:tabs>
          <w:tab w:pos="7937" w:val="right" w:leader="dot"/>
        </w:tabs>
        <w:spacing w:line="501" w:lineRule="exact"/>
        <w:ind w:left="567"/>
      </w:pPr>
      <w:r>
        <w:rPr>
          <w:rFonts w:ascii="Times New Roman" w:hAnsi="Times New Roman" w:eastAsia="HY신명조"/>
          <w:b w:val="0"/>
          <w:sz w:val="22"/>
        </w:rPr>
        <w:t>2. Exposure Metric: Degraded-State Driving Distance</w:t>
      </w:r>
      <w:r>
        <w:rPr>
          <w:rFonts w:ascii="Times New Roman" w:hAnsi="Times New Roman" w:eastAsia="HY신명조"/>
          <w:b w:val="0"/>
          <w:sz w:val="22"/>
        </w:rPr>
        <w:tab/>
        <w:t>50</w:t>
      </w:r>
    </w:p>
    <w:p>
      <w:pPr>
        <w:tabs>
          <w:tab w:pos="7937" w:val="right" w:leader="dot"/>
        </w:tabs>
        <w:spacing w:line="501" w:lineRule="exact"/>
        <w:ind w:left="567"/>
      </w:pPr>
      <w:r>
        <w:rPr>
          <w:rFonts w:ascii="Times New Roman" w:hAnsi="Times New Roman" w:eastAsia="HY신명조"/>
          <w:b w:val="0"/>
          <w:sz w:val="22"/>
        </w:rPr>
        <w:t>3. Distance Ladder: Measuring the Avoidance/Collision Boundary</w:t>
      </w:r>
      <w:r>
        <w:rPr>
          <w:rFonts w:ascii="Times New Roman" w:hAnsi="Times New Roman" w:eastAsia="HY신명조"/>
          <w:b w:val="0"/>
          <w:sz w:val="22"/>
        </w:rPr>
        <w:tab/>
        <w:t>51</w:t>
      </w:r>
    </w:p>
    <w:p>
      <w:pPr>
        <w:tabs>
          <w:tab w:pos="7937" w:val="right" w:leader="dot"/>
        </w:tabs>
        <w:spacing w:line="501" w:lineRule="exact"/>
        <w:ind w:left="567"/>
      </w:pPr>
      <w:r>
        <w:rPr>
          <w:rFonts w:ascii="Times New Roman" w:hAnsi="Times New Roman" w:eastAsia="HY신명조"/>
          <w:b w:val="0"/>
          <w:sz w:val="22"/>
        </w:rPr>
        <w:t>4. The 8 m Encounter: Low-Speed MRM versus Stock</w:t>
      </w:r>
      <w:r>
        <w:rPr>
          <w:rFonts w:ascii="Times New Roman" w:hAnsi="Times New Roman" w:eastAsia="HY신명조"/>
          <w:b w:val="0"/>
          <w:sz w:val="22"/>
        </w:rPr>
        <w:tab/>
        <w:t>53</w:t>
      </w:r>
    </w:p>
    <w:p>
      <w:pPr>
        <w:tabs>
          <w:tab w:pos="7937" w:val="right" w:leader="dot"/>
        </w:tabs>
        <w:spacing w:line="501" w:lineRule="exact"/>
        <w:ind w:left="567"/>
      </w:pPr>
      <w:r>
        <w:rPr>
          <w:rFonts w:ascii="Times New Roman" w:hAnsi="Times New Roman" w:eastAsia="HY신명조"/>
          <w:b w:val="0"/>
          <w:sz w:val="22"/>
        </w:rPr>
        <w:t>5. Low-Speed Ladder: Shift of the Boundary</w:t>
      </w:r>
      <w:r>
        <w:rPr>
          <w:rFonts w:ascii="Times New Roman" w:hAnsi="Times New Roman" w:eastAsia="HY신명조"/>
          <w:b w:val="0"/>
          <w:sz w:val="22"/>
        </w:rPr>
        <w:tab/>
        <w:t>54</w:t>
      </w:r>
    </w:p>
    <w:p>
      <w:pPr>
        <w:tabs>
          <w:tab w:pos="7937" w:val="right" w:leader="dot"/>
        </w:tabs>
        <w:spacing w:line="501" w:lineRule="exact"/>
        <w:ind w:left="567"/>
      </w:pPr>
      <w:r>
        <w:rPr>
          <w:rFonts w:ascii="Times New Roman" w:hAnsi="Times New Roman" w:eastAsia="HY신명조"/>
          <w:b w:val="0"/>
          <w:sz w:val="22"/>
        </w:rPr>
        <w:t>6. Causal Verification of the Speed Cap: A Dose-Response Experiment on Settled Encounters</w:t>
      </w:r>
      <w:r>
        <w:rPr>
          <w:rFonts w:ascii="Times New Roman" w:hAnsi="Times New Roman" w:eastAsia="HY신명조"/>
          <w:b w:val="0"/>
          <w:sz w:val="22"/>
        </w:rPr>
        <w:tab/>
        <w:t>55</w:t>
      </w:r>
    </w:p>
    <w:p>
      <w:pPr>
        <w:tabs>
          <w:tab w:pos="7937" w:val="right" w:leader="dot"/>
        </w:tabs>
        <w:spacing w:line="501" w:lineRule="exact"/>
        <w:ind w:left="567"/>
      </w:pPr>
      <w:r>
        <w:rPr>
          <w:rFonts w:ascii="Times New Roman" w:hAnsi="Times New Roman" w:eastAsia="HY신명조"/>
          <w:b w:val="0"/>
          <w:sz w:val="22"/>
        </w:rPr>
        <w:t>7. Hard-Fail Decision Latency: Verifying the 1.5 s Deadline</w:t>
      </w:r>
      <w:r>
        <w:rPr>
          <w:rFonts w:ascii="Times New Roman" w:hAnsi="Times New Roman" w:eastAsia="HY신명조"/>
          <w:b w:val="0"/>
          <w:sz w:val="22"/>
        </w:rPr>
        <w:tab/>
        <w:t>57</w:t>
      </w:r>
    </w:p>
    <w:p>
      <w:pPr>
        <w:tabs>
          <w:tab w:pos="8504" w:val="right" w:leader="dot"/>
        </w:tabs>
        <w:spacing w:line="501" w:lineRule="exact"/>
        <w:ind w:left="0"/>
      </w:pPr>
      <w:r>
        <w:rPr>
          <w:rFonts w:ascii="Times New Roman" w:hAnsi="Times New Roman" w:eastAsia="HY신명조"/>
          <w:b w:val="0"/>
          <w:sz w:val="22"/>
        </w:rPr>
        <w:t>Chapter 6. Limitations and Discussion</w:t>
      </w:r>
      <w:r>
        <w:rPr>
          <w:rFonts w:ascii="Times New Roman" w:hAnsi="Times New Roman" w:eastAsia="HY신명조"/>
          <w:b w:val="0"/>
          <w:sz w:val="22"/>
        </w:rPr>
        <w:tab/>
        <w:t>59</w:t>
      </w:r>
    </w:p>
    <w:p>
      <w:pPr>
        <w:tabs>
          <w:tab w:pos="7937" w:val="right" w:leader="dot"/>
        </w:tabs>
        <w:spacing w:line="501" w:lineRule="exact"/>
        <w:ind w:left="567"/>
      </w:pPr>
      <w:r>
        <w:rPr>
          <w:rFonts w:ascii="Times New Roman" w:hAnsi="Times New Roman" w:eastAsia="HY신명조"/>
          <w:b w:val="0"/>
          <w:sz w:val="22"/>
        </w:rPr>
        <w:t>1. The Temporal Trade-off Between Stopping and Evacuation</w:t>
      </w:r>
      <w:r>
        <w:rPr>
          <w:rFonts w:ascii="Times New Roman" w:hAnsi="Times New Roman" w:eastAsia="HY신명조"/>
          <w:b w:val="0"/>
          <w:sz w:val="22"/>
        </w:rPr>
        <w:tab/>
        <w:t>59</w:t>
      </w:r>
    </w:p>
    <w:p>
      <w:pPr>
        <w:tabs>
          <w:tab w:pos="7937" w:val="right" w:leader="dot"/>
        </w:tabs>
        <w:spacing w:line="501" w:lineRule="exact"/>
        <w:ind w:left="567"/>
      </w:pPr>
      <w:r>
        <w:rPr>
          <w:rFonts w:ascii="Times New Roman" w:hAnsi="Times New Roman" w:eastAsia="HY신명조"/>
          <w:b w:val="0"/>
          <w:sz w:val="22"/>
        </w:rPr>
        <w:t>2. The Post-Detection Transient, the Overall Fault-Response Risk Window, and FTTI</w:t>
      </w:r>
      <w:r>
        <w:rPr>
          <w:rFonts w:ascii="Times New Roman" w:hAnsi="Times New Roman" w:eastAsia="HY신명조"/>
          <w:b w:val="0"/>
          <w:sz w:val="22"/>
        </w:rPr>
        <w:tab/>
        <w:t>59</w:t>
      </w:r>
    </w:p>
    <w:p>
      <w:pPr>
        <w:tabs>
          <w:tab w:pos="7937" w:val="right" w:leader="dot"/>
        </w:tabs>
        <w:spacing w:line="501" w:lineRule="exact"/>
        <w:ind w:left="567"/>
      </w:pPr>
      <w:r>
        <w:rPr>
          <w:rFonts w:ascii="Times New Roman" w:hAnsi="Times New Roman" w:eastAsia="HY신명조"/>
          <w:b w:val="0"/>
          <w:sz w:val="22"/>
        </w:rPr>
        <w:t>3. The Role of the Speed Cap: Causal Effect and Limits</w:t>
      </w:r>
      <w:r>
        <w:rPr>
          <w:rFonts w:ascii="Times New Roman" w:hAnsi="Times New Roman" w:eastAsia="HY신명조"/>
          <w:b w:val="0"/>
          <w:sz w:val="22"/>
        </w:rPr>
        <w:tab/>
        <w:t>60</w:t>
      </w:r>
    </w:p>
    <w:p>
      <w:pPr>
        <w:tabs>
          <w:tab w:pos="7937" w:val="right" w:leader="dot"/>
        </w:tabs>
        <w:spacing w:line="501" w:lineRule="exact"/>
        <w:ind w:left="567"/>
      </w:pPr>
      <w:r>
        <w:rPr>
          <w:rFonts w:ascii="Times New Roman" w:hAnsi="Times New Roman" w:eastAsia="HY신명조"/>
          <w:b w:val="0"/>
          <w:sz w:val="22"/>
        </w:rPr>
        <w:t>4. Lessons for Adjudication Methodology</w:t>
      </w:r>
      <w:r>
        <w:rPr>
          <w:rFonts w:ascii="Times New Roman" w:hAnsi="Times New Roman" w:eastAsia="HY신명조"/>
          <w:b w:val="0"/>
          <w:sz w:val="22"/>
        </w:rPr>
        <w:tab/>
        <w:t>61</w:t>
      </w:r>
    </w:p>
    <w:p>
      <w:pPr>
        <w:tabs>
          <w:tab w:pos="7937" w:val="right" w:leader="dot"/>
        </w:tabs>
        <w:spacing w:line="501" w:lineRule="exact"/>
        <w:ind w:left="567"/>
      </w:pPr>
      <w:r>
        <w:rPr>
          <w:rFonts w:ascii="Times New Roman" w:hAnsi="Times New Roman" w:eastAsia="HY신명조"/>
          <w:b w:val="0"/>
          <w:sz w:val="22"/>
        </w:rPr>
        <w:t>5. The Cost of Design Conservatism and the Execution and Map Layers</w:t>
      </w:r>
      <w:r>
        <w:rPr>
          <w:rFonts w:ascii="Times New Roman" w:hAnsi="Times New Roman" w:eastAsia="HY신명조"/>
          <w:b w:val="0"/>
          <w:sz w:val="22"/>
        </w:rPr>
        <w:tab/>
        <w:t>62</w:t>
      </w:r>
    </w:p>
    <w:p>
      <w:pPr>
        <w:tabs>
          <w:tab w:pos="7937" w:val="right" w:leader="dot"/>
        </w:tabs>
        <w:spacing w:line="501" w:lineRule="exact"/>
        <w:ind w:left="567"/>
      </w:pPr>
      <w:r>
        <w:rPr>
          <w:rFonts w:ascii="Times New Roman" w:hAnsi="Times New Roman" w:eastAsia="HY신명조"/>
          <w:b w:val="0"/>
          <w:sz w:val="22"/>
        </w:rPr>
        <w:t>6. Limitations</w:t>
      </w:r>
      <w:r>
        <w:rPr>
          <w:rFonts w:ascii="Times New Roman" w:hAnsi="Times New Roman" w:eastAsia="HY신명조"/>
          <w:b w:val="0"/>
          <w:sz w:val="22"/>
        </w:rPr>
        <w:tab/>
        <w:t>59</w:t>
      </w:r>
    </w:p>
    <w:p>
      <w:pPr>
        <w:tabs>
          <w:tab w:pos="8504" w:val="right" w:leader="dot"/>
        </w:tabs>
        <w:spacing w:line="501" w:lineRule="exact"/>
        <w:ind w:left="0"/>
      </w:pPr>
      <w:r>
        <w:rPr>
          <w:rFonts w:ascii="Times New Roman" w:hAnsi="Times New Roman" w:eastAsia="HY신명조"/>
          <w:b w:val="0"/>
          <w:sz w:val="22"/>
        </w:rPr>
        <w:t>Chapter 7. Conclusion</w:t>
      </w:r>
      <w:r>
        <w:rPr>
          <w:rFonts w:ascii="Times New Roman" w:hAnsi="Times New Roman" w:eastAsia="HY신명조"/>
          <w:b w:val="0"/>
          <w:sz w:val="22"/>
        </w:rPr>
        <w:tab/>
        <w:t>65</w:t>
      </w:r>
    </w:p>
    <w:p>
      <w:pPr>
        <w:tabs>
          <w:tab w:pos="8504" w:val="right" w:leader="dot"/>
        </w:tabs>
        <w:spacing w:line="501" w:lineRule="exact"/>
        <w:ind w:left="0"/>
      </w:pPr>
      <w:r>
        <w:rPr>
          <w:rFonts w:ascii="Times New Roman" w:hAnsi="Times New Roman" w:eastAsia="HY신명조"/>
          <w:b w:val="0"/>
          <w:sz w:val="22"/>
        </w:rPr>
        <w:t>References</w:t>
      </w:r>
      <w:r>
        <w:rPr>
          <w:rFonts w:ascii="Times New Roman" w:hAnsi="Times New Roman" w:eastAsia="HY신명조"/>
          <w:b w:val="0"/>
          <w:sz w:val="22"/>
        </w:rPr>
        <w:tab/>
        <w:t>68</w:t>
      </w:r>
    </w:p>
    <w:p>
      <w:pPr>
        <w:tabs>
          <w:tab w:pos="8504" w:val="right" w:leader="dot"/>
        </w:tabs>
        <w:spacing w:line="501" w:lineRule="exact"/>
        <w:ind w:left="0"/>
      </w:pPr>
      <w:r>
        <w:rPr>
          <w:rFonts w:ascii="Times New Roman" w:hAnsi="Times New Roman" w:eastAsia="HY신명조"/>
          <w:b w:val="0"/>
          <w:sz w:val="22"/>
        </w:rPr>
        <w:t>논문요약</w:t>
      </w:r>
      <w:r>
        <w:rPr>
          <w:rFonts w:ascii="Times New Roman" w:hAnsi="Times New Roman" w:eastAsia="HY신명조"/>
          <w:b w:val="0"/>
          <w:sz w:val="22"/>
        </w:rPr>
        <w:tab/>
        <w:t>74</w:t>
      </w:r>
    </w:p>
    <w:p>
      <w:pPr>
        <w:pageBreakBefore/>
        <w:spacing w:line="501" w:lineRule="exact" w:before="0" w:after="0"/>
        <w:jc w:val="center"/>
      </w:pPr>
      <w:r>
        <w:rPr>
          <w:rFonts w:ascii="Times New Roman" w:hAnsi="Times New Roman" w:eastAsia="HY신명조"/>
          <w:b/>
          <w:sz w:val="28"/>
        </w:rPr>
        <w:t>List of Tables</w:t>
      </w:r>
    </w:p>
    <w:p>
      <w:pPr>
        <w:spacing w:line="501" w:lineRule="exact" w:before="0" w:after="0"/>
      </w:pPr>
    </w:p>
    <w:p>
      <w:pPr>
        <w:tabs>
          <w:tab w:pos="8504" w:val="right" w:leader="dot"/>
        </w:tabs>
        <w:spacing w:line="501" w:lineRule="exact"/>
        <w:ind w:left="0"/>
      </w:pPr>
      <w:r>
        <w:rPr>
          <w:rFonts w:ascii="Times New Roman" w:hAnsi="Times New Roman" w:eastAsia="HY신명조"/>
          <w:b w:val="0"/>
          <w:sz w:val="22"/>
        </w:rPr>
        <w:t>Table 2-1. Comparison of prior research lines with this study (○ explicitly provided / △ partial or conceptual / × not addressed)</w:t>
      </w:r>
      <w:r>
        <w:rPr>
          <w:rFonts w:ascii="Times New Roman" w:hAnsi="Times New Roman" w:eastAsia="HY신명조"/>
          <w:b w:val="0"/>
          <w:sz w:val="22"/>
        </w:rPr>
        <w:tab/>
        <w:t>12</w:t>
      </w:r>
    </w:p>
    <w:p>
      <w:pPr>
        <w:tabs>
          <w:tab w:pos="8504" w:val="right" w:leader="dot"/>
        </w:tabs>
        <w:spacing w:line="501" w:lineRule="exact"/>
        <w:ind w:left="0"/>
      </w:pPr>
      <w:r>
        <w:rPr>
          <w:rFonts w:ascii="Times New Roman" w:hAnsi="Times New Roman" w:eastAsia="HY신명조"/>
          <w:b w:val="0"/>
          <w:sz w:val="22"/>
        </w:rPr>
        <w:t>Table 4-1. Termination labels of the runner's automatic adjudicator</w:t>
      </w:r>
      <w:r>
        <w:rPr>
          <w:rFonts w:ascii="Times New Roman" w:hAnsi="Times New Roman" w:eastAsia="HY신명조"/>
          <w:b w:val="0"/>
          <w:sz w:val="22"/>
        </w:rPr>
        <w:tab/>
        <w:t>31</w:t>
      </w:r>
    </w:p>
    <w:p>
      <w:pPr>
        <w:tabs>
          <w:tab w:pos="8504" w:val="right" w:leader="dot"/>
        </w:tabs>
        <w:spacing w:line="501" w:lineRule="exact"/>
        <w:ind w:left="0"/>
      </w:pPr>
      <w:r>
        <w:rPr>
          <w:rFonts w:ascii="Times New Roman" w:hAnsi="Times New Roman" w:eastAsia="HY신명조"/>
          <w:b w:val="0"/>
          <w:sz w:val="22"/>
        </w:rPr>
        <w:t>Table 4-2. Fault model (v4.6)</w:t>
      </w:r>
      <w:r>
        <w:rPr>
          <w:rFonts w:ascii="Times New Roman" w:hAnsi="Times New Roman" w:eastAsia="HY신명조"/>
          <w:b w:val="0"/>
          <w:sz w:val="22"/>
        </w:rPr>
        <w:tab/>
        <w:t>32</w:t>
      </w:r>
    </w:p>
    <w:p>
      <w:pPr>
        <w:tabs>
          <w:tab w:pos="8504" w:val="right" w:leader="dot"/>
        </w:tabs>
        <w:spacing w:line="501" w:lineRule="exact"/>
        <w:ind w:left="0"/>
      </w:pPr>
      <w:r>
        <w:rPr>
          <w:rFonts w:ascii="Times New Roman" w:hAnsi="Times New Roman" w:eastAsia="HY신명조"/>
          <w:b w:val="0"/>
          <w:sz w:val="22"/>
        </w:rPr>
        <w:t>Table 4-3. Main-campaign case accounting — planned versus final valid</w:t>
      </w:r>
      <w:r>
        <w:rPr>
          <w:rFonts w:ascii="Times New Roman" w:hAnsi="Times New Roman" w:eastAsia="HY신명조"/>
          <w:b w:val="0"/>
          <w:sz w:val="22"/>
        </w:rPr>
        <w:tab/>
        <w:t>34</w:t>
      </w:r>
    </w:p>
    <w:p>
      <w:pPr>
        <w:tabs>
          <w:tab w:pos="8504" w:val="right" w:leader="dot"/>
        </w:tabs>
        <w:spacing w:line="501" w:lineRule="exact"/>
        <w:ind w:left="0"/>
      </w:pPr>
      <w:r>
        <w:rPr>
          <w:rFonts w:ascii="Times New Roman" w:hAnsi="Times New Roman" w:eastAsia="HY신명조"/>
          <w:b w:val="0"/>
          <w:sz w:val="22"/>
        </w:rPr>
        <w:t>Table 4-5. Summary of key experimental parameters</w:t>
      </w:r>
      <w:r>
        <w:rPr>
          <w:rFonts w:ascii="Times New Roman" w:hAnsi="Times New Roman" w:eastAsia="HY신명조"/>
          <w:b w:val="0"/>
          <w:sz w:val="22"/>
        </w:rPr>
        <w:tab/>
        <w:t>40</w:t>
      </w:r>
    </w:p>
    <w:p>
      <w:pPr>
        <w:tabs>
          <w:tab w:pos="8504" w:val="right" w:leader="dot"/>
        </w:tabs>
        <w:spacing w:line="501" w:lineRule="exact"/>
        <w:ind w:left="0"/>
      </w:pPr>
      <w:r>
        <w:rPr>
          <w:rFonts w:ascii="Times New Roman" w:hAnsi="Times New Roman" w:eastAsia="HY신명조"/>
          <w:b w:val="0"/>
          <w:sz w:val="22"/>
        </w:rPr>
        <w:t>Table 5-1. Detection performance: detection rate and median detection latency per fault condition (full campaign; † navigation extension — proposed detectors)</w:t>
      </w:r>
      <w:r>
        <w:rPr>
          <w:rFonts w:ascii="Times New Roman" w:hAnsi="Times New Roman" w:eastAsia="HY신명조"/>
          <w:b w:val="0"/>
          <w:sz w:val="22"/>
        </w:rPr>
        <w:tab/>
        <w:t>44</w:t>
      </w:r>
    </w:p>
    <w:p>
      <w:pPr>
        <w:tabs>
          <w:tab w:pos="8504" w:val="right" w:leader="dot"/>
        </w:tabs>
        <w:spacing w:line="501" w:lineRule="exact"/>
        <w:ind w:left="0"/>
      </w:pPr>
      <w:r>
        <w:rPr>
          <w:rFonts w:ascii="Times New Roman" w:hAnsi="Times New Roman" w:eastAsia="HY신명조"/>
          <w:b w:val="0"/>
          <w:sz w:val="22"/>
        </w:rPr>
        <w:t>Table 5-2. Summary of evacuation behavior in the main campaign (proposed method)</w:t>
      </w:r>
      <w:r>
        <w:rPr>
          <w:rFonts w:ascii="Times New Roman" w:hAnsi="Times New Roman" w:eastAsia="HY신명조"/>
          <w:b w:val="0"/>
          <w:sz w:val="22"/>
        </w:rPr>
        <w:tab/>
        <w:t>49</w:t>
      </w:r>
    </w:p>
    <w:p>
      <w:pPr>
        <w:tabs>
          <w:tab w:pos="8504" w:val="right" w:leader="dot"/>
        </w:tabs>
        <w:spacing w:line="501" w:lineRule="exact"/>
        <w:ind w:left="0"/>
      </w:pPr>
      <w:r>
        <w:rPr>
          <w:rFonts w:ascii="Times New Roman" w:hAnsi="Times New Roman" w:eastAsia="HY신명조"/>
          <w:b w:val="0"/>
          <w:sz w:val="22"/>
        </w:rPr>
        <w:t>Table 5-3. Distance ladder results (ledger and video adjudication)</w:t>
      </w:r>
      <w:r>
        <w:rPr>
          <w:rFonts w:ascii="Times New Roman" w:hAnsi="Times New Roman" w:eastAsia="HY신명조"/>
          <w:b w:val="0"/>
          <w:sz w:val="22"/>
        </w:rPr>
        <w:tab/>
        <w:t>51</w:t>
      </w:r>
    </w:p>
    <w:p>
      <w:pPr>
        <w:tabs>
          <w:tab w:pos="8504" w:val="right" w:leader="dot"/>
        </w:tabs>
        <w:spacing w:line="501" w:lineRule="exact"/>
        <w:ind w:left="0"/>
      </w:pPr>
      <w:r>
        <w:rPr>
          <w:rFonts w:ascii="Times New Roman" w:hAnsi="Times New Roman" w:eastAsia="HY신명조"/>
          <w:b w:val="0"/>
          <w:sz w:val="22"/>
        </w:rPr>
        <w:t>Table 5-4. Low-speed (3.0 m/s) ladder results (ledger adjudication)</w:t>
      </w:r>
      <w:r>
        <w:rPr>
          <w:rFonts w:ascii="Times New Roman" w:hAnsi="Times New Roman" w:eastAsia="HY신명조"/>
          <w:b w:val="0"/>
          <w:sz w:val="22"/>
        </w:rPr>
        <w:tab/>
        <w:t>55</w:t>
      </w:r>
    </w:p>
    <w:p>
      <w:pPr>
        <w:tabs>
          <w:tab w:pos="8504" w:val="right" w:leader="dot"/>
        </w:tabs>
        <w:spacing w:line="501" w:lineRule="exact"/>
        <w:ind w:left="0"/>
      </w:pPr>
      <w:r>
        <w:rPr>
          <w:rFonts w:ascii="Times New Roman" w:hAnsi="Times New Roman" w:eastAsia="HY신명조"/>
          <w:b w:val="0"/>
          <w:sz w:val="22"/>
        </w:rPr>
        <w:t>Table 5-5. Dose-response experiment — collisions in settled encounters (n=10 seeds per cell, ledger adjudication)</w:t>
      </w:r>
      <w:r>
        <w:rPr>
          <w:rFonts w:ascii="Times New Roman" w:hAnsi="Times New Roman" w:eastAsia="HY신명조"/>
          <w:b w:val="0"/>
          <w:sz w:val="22"/>
        </w:rPr>
        <w:tab/>
        <w:t>56</w:t>
      </w:r>
    </w:p>
    <w:p>
      <w:pPr>
        <w:tabs>
          <w:tab w:pos="8504" w:val="right" w:leader="dot"/>
        </w:tabs>
        <w:spacing w:line="501" w:lineRule="exact"/>
        <w:ind w:left="0"/>
      </w:pPr>
      <w:r>
        <w:rPr>
          <w:rFonts w:ascii="Times New Roman" w:hAnsi="Times New Roman" w:eastAsia="HY신명조"/>
          <w:b w:val="0"/>
          <w:sz w:val="22"/>
        </w:rPr>
        <w:t>Table 5-6. Hard-fail detection and decision latency (simulation time, ledger basis) and 1.5 s deadline compliance</w:t>
      </w:r>
      <w:r>
        <w:rPr>
          <w:rFonts w:ascii="Times New Roman" w:hAnsi="Times New Roman" w:eastAsia="HY신명조"/>
          <w:b w:val="0"/>
          <w:sz w:val="22"/>
        </w:rPr>
        <w:tab/>
        <w:t>58</w:t>
      </w:r>
    </w:p>
    <w:p>
      <w:pPr>
        <w:pageBreakBefore/>
        <w:spacing w:line="501" w:lineRule="exact" w:before="0" w:after="0"/>
        <w:jc w:val="center"/>
      </w:pPr>
      <w:r>
        <w:rPr>
          <w:rFonts w:ascii="Times New Roman" w:hAnsi="Times New Roman" w:eastAsia="HY신명조"/>
          <w:b/>
          <w:sz w:val="28"/>
        </w:rPr>
        <w:t>List of Figures</w:t>
      </w:r>
    </w:p>
    <w:p>
      <w:pPr>
        <w:spacing w:line="501" w:lineRule="exact" w:before="0" w:after="0"/>
      </w:pPr>
    </w:p>
    <w:p>
      <w:pPr>
        <w:tabs>
          <w:tab w:pos="8504" w:val="right" w:leader="dot"/>
        </w:tabs>
        <w:spacing w:line="501" w:lineRule="exact"/>
        <w:ind w:left="0"/>
      </w:pPr>
      <w:r>
        <w:rPr>
          <w:rFonts w:ascii="Times New Roman" w:hAnsi="Times New Roman" w:eastAsia="HY신명조"/>
          <w:b w:val="0"/>
          <w:sz w:val="22"/>
        </w:rPr>
        <w:t>Figure 1-1. Problem setting</w:t>
      </w:r>
      <w:r>
        <w:rPr>
          <w:rFonts w:ascii="Times New Roman" w:hAnsi="Times New Roman" w:eastAsia="HY신명조"/>
          <w:b w:val="0"/>
          <w:sz w:val="22"/>
        </w:rPr>
        <w:tab/>
        <w:t>3</w:t>
      </w:r>
    </w:p>
    <w:p>
      <w:pPr>
        <w:tabs>
          <w:tab w:pos="8504" w:val="right" w:leader="dot"/>
        </w:tabs>
        <w:spacing w:line="501" w:lineRule="exact"/>
        <w:ind w:left="0"/>
      </w:pPr>
      <w:r>
        <w:rPr>
          <w:rFonts w:ascii="Times New Roman" w:hAnsi="Times New Roman" w:eastAsia="HY신명조"/>
          <w:b w:val="0"/>
          <w:sz w:val="22"/>
        </w:rPr>
        <w:t>Figure 3-1. Dual-channel structure of the proposed system</w:t>
      </w:r>
      <w:r>
        <w:rPr>
          <w:rFonts w:ascii="Times New Roman" w:hAnsi="Times New Roman" w:eastAsia="HY신명조"/>
          <w:b w:val="0"/>
          <w:sz w:val="22"/>
        </w:rPr>
        <w:tab/>
        <w:t>15</w:t>
      </w:r>
    </w:p>
    <w:p>
      <w:pPr>
        <w:tabs>
          <w:tab w:pos="8504" w:val="right" w:leader="dot"/>
        </w:tabs>
        <w:spacing w:line="501" w:lineRule="exact"/>
        <w:ind w:left="0"/>
      </w:pPr>
      <w:r>
        <w:rPr>
          <w:rFonts w:ascii="Times New Roman" w:hAnsi="Times New Roman" w:eastAsia="HY신명조"/>
          <w:b w:val="0"/>
          <w:sz w:val="22"/>
        </w:rPr>
        <w:t>Figure 3-2. cdr_monitor behavior-tree structure</w:t>
      </w:r>
      <w:r>
        <w:rPr>
          <w:rFonts w:ascii="Times New Roman" w:hAnsi="Times New Roman" w:eastAsia="HY신명조"/>
          <w:b w:val="0"/>
          <w:sz w:val="22"/>
        </w:rPr>
        <w:tab/>
        <w:t>19</w:t>
      </w:r>
    </w:p>
    <w:p>
      <w:pPr>
        <w:tabs>
          <w:tab w:pos="8504" w:val="right" w:leader="dot"/>
        </w:tabs>
        <w:spacing w:line="501" w:lineRule="exact"/>
        <w:ind w:left="0"/>
      </w:pPr>
      <w:r>
        <w:rPr>
          <w:rFonts w:ascii="Times New Roman" w:hAnsi="Times New Roman" w:eastAsia="HY신명조"/>
          <w:b w:val="0"/>
          <w:sz w:val="22"/>
        </w:rPr>
        <w:t>Figure 3-3. MRM selection policy matrix by monitoring state</w:t>
      </w:r>
      <w:r>
        <w:rPr>
          <w:rFonts w:ascii="Times New Roman" w:hAnsi="Times New Roman" w:eastAsia="HY신명조"/>
          <w:b w:val="0"/>
          <w:sz w:val="22"/>
        </w:rPr>
        <w:tab/>
        <w:t>22</w:t>
      </w:r>
    </w:p>
    <w:p>
      <w:pPr>
        <w:tabs>
          <w:tab w:pos="8504" w:val="right" w:leader="dot"/>
        </w:tabs>
        <w:spacing w:line="501" w:lineRule="exact"/>
        <w:ind w:left="0"/>
      </w:pPr>
      <w:r>
        <w:rPr>
          <w:rFonts w:ascii="Times New Roman" w:hAnsi="Times New Roman" w:eastAsia="HY신명조"/>
          <w:b w:val="0"/>
          <w:sz w:val="22"/>
        </w:rPr>
        <w:t>Figure 3-4. Town07 evacuation candidate map — 16 shoulder candidates extracted from the vector map (lanelet shapes), 4 parking-lot candidates (polygons), and the reference route (dashed line)</w:t>
      </w:r>
      <w:r>
        <w:rPr>
          <w:rFonts w:ascii="Times New Roman" w:hAnsi="Times New Roman" w:eastAsia="HY신명조"/>
          <w:b w:val="0"/>
          <w:sz w:val="22"/>
        </w:rPr>
        <w:tab/>
        <w:t>24</w:t>
      </w:r>
    </w:p>
    <w:p>
      <w:pPr>
        <w:tabs>
          <w:tab w:pos="8504" w:val="right" w:leader="dot"/>
        </w:tabs>
        <w:spacing w:line="501" w:lineRule="exact"/>
        <w:ind w:left="0"/>
      </w:pPr>
      <w:r>
        <w:rPr>
          <w:rFonts w:ascii="Times New Roman" w:hAnsi="Times New Roman" w:eastAsia="HY신명조"/>
          <w:b w:val="0"/>
          <w:sz w:val="22"/>
        </w:rPr>
        <w:t>Figure 4-1. Representative execution views (captures from actual runs): (a) Town07 driving, (b) RViz perception, (c) candidate-annotated vector map, (d) shoulder evacuation reaching MRC (following traffic passing by), (e) overhead view of parking-lot evacuation MRC, (f) pedestrian dart-out encounter (Chapter 4, Section 4).</w:t>
      </w:r>
      <w:r>
        <w:rPr>
          <w:rFonts w:ascii="Times New Roman" w:hAnsi="Times New Roman" w:eastAsia="HY신명조"/>
          <w:b w:val="0"/>
          <w:sz w:val="22"/>
        </w:rPr>
        <w:tab/>
        <w:t>30</w:t>
      </w:r>
    </w:p>
    <w:p>
      <w:pPr>
        <w:tabs>
          <w:tab w:pos="8504" w:val="right" w:leader="dot"/>
        </w:tabs>
        <w:spacing w:line="501" w:lineRule="exact"/>
        <w:ind w:left="0"/>
      </w:pPr>
      <w:r>
        <w:rPr>
          <w:rFonts w:ascii="Times New Roman" w:hAnsi="Times New Roman" w:eastAsia="HY신명조"/>
          <w:b w:val="0"/>
          <w:sz w:val="22"/>
        </w:rPr>
        <w:t>Figure 4-2. Sensor-level effects of fault injection — before/after applying the same physical equations and parameters as the injector to one measured Town07 LiDAR scan and camera frame</w:t>
      </w:r>
      <w:r>
        <w:rPr>
          <w:rFonts w:ascii="Times New Roman" w:hAnsi="Times New Roman" w:eastAsia="HY신명조"/>
          <w:b w:val="0"/>
          <w:sz w:val="22"/>
        </w:rPr>
        <w:tab/>
        <w:t>32</w:t>
      </w:r>
    </w:p>
    <w:p>
      <w:pPr>
        <w:tabs>
          <w:tab w:pos="8504" w:val="right" w:leader="dot"/>
        </w:tabs>
        <w:spacing w:line="501" w:lineRule="exact"/>
        <w:ind w:left="0"/>
      </w:pPr>
      <w:r>
        <w:rPr>
          <w:rFonts w:ascii="Times New Roman" w:hAnsi="Times New Roman" w:eastAsia="HY신명조"/>
          <w:b w:val="0"/>
          <w:sz w:val="22"/>
        </w:rPr>
        <w:t>Figure 5-1. Detection latency distributions per fault condition (proposed arm, measured from injection time)</w:t>
      </w:r>
      <w:r>
        <w:rPr>
          <w:rFonts w:ascii="Times New Roman" w:hAnsi="Times New Roman" w:eastAsia="HY신명조"/>
          <w:b w:val="0"/>
          <w:sz w:val="22"/>
        </w:rPr>
        <w:tab/>
        <w:t>46</w:t>
      </w:r>
    </w:p>
    <w:p>
      <w:pPr>
        <w:tabs>
          <w:tab w:pos="8504" w:val="right" w:leader="dot"/>
        </w:tabs>
        <w:spacing w:line="501" w:lineRule="exact"/>
        <w:ind w:left="0"/>
      </w:pPr>
      <w:r>
        <w:rPr>
          <w:rFonts w:ascii="Times New Roman" w:hAnsi="Times New Roman" w:eastAsia="HY신명조"/>
          <w:b w:val="0"/>
          <w:sz w:val="22"/>
        </w:rPr>
        <w:t>Figure 5-2. Injection-aligned continuous health traces — (top) the perception capability score that feeds the state transitions (dual thresholds 0.7/0.3) and (bottom) the affected sensor's raw score: (a) LiDAR sparsification (lso), (b) camera pixel noise (cn)</w:t>
      </w:r>
      <w:r>
        <w:rPr>
          <w:rFonts w:ascii="Times New Roman" w:hAnsi="Times New Roman" w:eastAsia="HY신명조"/>
          <w:b w:val="0"/>
          <w:sz w:val="22"/>
        </w:rPr>
        <w:tab/>
        <w:t>48</w:t>
      </w:r>
    </w:p>
    <w:p>
      <w:pPr>
        <w:tabs>
          <w:tab w:pos="8504" w:val="right" w:leader="dot"/>
        </w:tabs>
        <w:spacing w:line="501" w:lineRule="exact"/>
        <w:ind w:left="0"/>
      </w:pPr>
      <w:r>
        <w:rPr>
          <w:rFonts w:ascii="Times New Roman" w:hAnsi="Times New Roman" w:eastAsia="HY신명조"/>
          <w:b w:val="0"/>
          <w:sz w:val="22"/>
        </w:rPr>
        <w:t>Figure 5-3. Stopping-distance model d = vτ + v²/2a (τ=1.5 s, a=3.5 m/s²) and the measured avoidance/collision boundaries from the distance ladder (shaded bands)</w:t>
      </w:r>
      <w:r>
        <w:rPr>
          <w:rFonts w:ascii="Times New Roman" w:hAnsi="Times New Roman" w:eastAsia="HY신명조"/>
          <w:b w:val="0"/>
          <w:sz w:val="22"/>
        </w:rPr>
        <w:tab/>
        <w:t>52</w:t>
      </w:r>
    </w:p>
    <w:p>
      <w:pPr>
        <w:tabs>
          <w:tab w:pos="8504" w:val="right" w:leader="dot"/>
        </w:tabs>
        <w:spacing w:line="501" w:lineRule="exact"/>
        <w:ind w:left="0"/>
      </w:pPr>
      <w:r>
        <w:rPr>
          <w:rFonts w:ascii="Times New Roman" w:hAnsi="Times New Roman" w:eastAsia="HY신명조"/>
          <w:b w:val="0"/>
          <w:sz w:val="22"/>
        </w:rPr>
        <w:t>Figure 5-4. Dose-response experiment (120 runs, ledger adjudication)</w:t>
      </w:r>
      <w:r>
        <w:rPr>
          <w:rFonts w:ascii="Times New Roman" w:hAnsi="Times New Roman" w:eastAsia="HY신명조"/>
          <w:b w:val="0"/>
          <w:sz w:val="22"/>
        </w:rPr>
        <w:tab/>
        <w:t>57</w:t>
      </w:r>
    </w:p>
    <w:p>
      <w:pPr>
        <w:pageBreakBefore/>
        <w:spacing w:line="501" w:lineRule="exact" w:before="0" w:after="0"/>
      </w:pPr>
      <w:r>
        <w:rPr>
          <w:rFonts w:ascii="Times New Roman" w:hAnsi="Times New Roman" w:eastAsia="HY신명조"/>
          <w:b/>
          <w:sz w:val="28"/>
        </w:rPr>
        <w:t>Abstract</w:t>
      </w:r>
    </w:p>
    <w:p>
      <w:pPr>
        <w:spacing w:line="501" w:lineRule="exact" w:before="0" w:after="0"/>
      </w:pPr>
    </w:p>
    <w:p>
      <w:pPr>
        <w:spacing w:line="360" w:lineRule="auto" w:before="0" w:after="0"/>
        <w:jc w:val="center"/>
      </w:pPr>
      <w:r>
        <w:rPr>
          <w:rFonts w:ascii="Times New Roman" w:hAnsi="Times New Roman" w:eastAsia="HY신명조"/>
          <w:b/>
          <w:sz w:val="32"/>
        </w:rPr>
        <w:t>Continuous Sensor Health Monitoring and</w:t>
      </w:r>
    </w:p>
    <w:p>
      <w:pPr>
        <w:spacing w:line="360" w:lineRule="auto" w:before="0" w:after="0"/>
        <w:jc w:val="center"/>
      </w:pPr>
      <w:r>
        <w:rPr>
          <w:rFonts w:ascii="Times New Roman" w:hAnsi="Times New Roman" w:eastAsia="HY신명조"/>
          <w:b/>
          <w:sz w:val="32"/>
        </w:rPr>
        <w:t>Risk/Capability-aware Graded MRM Supervision</w:t>
      </w:r>
    </w:p>
    <w:p>
      <w:pPr>
        <w:spacing w:line="360" w:lineRule="auto" w:before="0" w:after="0"/>
        <w:jc w:val="center"/>
      </w:pPr>
      <w:r>
        <w:rPr>
          <w:rFonts w:ascii="Times New Roman" w:hAnsi="Times New Roman" w:eastAsia="HY신명조"/>
          <w:b/>
          <w:sz w:val="32"/>
        </w:rPr>
        <w:t>for Fail-Safe Operation of Autonomous Vehicles</w:t>
      </w:r>
    </w:p>
    <w:p>
      <w:pPr>
        <w:spacing w:line="501" w:lineRule="exact" w:before="0" w:after="0"/>
      </w:pPr>
    </w:p>
    <w:p>
      <w:pPr>
        <w:spacing w:line="501" w:lineRule="exact" w:before="0" w:after="0"/>
        <w:jc w:val="both"/>
      </w:pPr>
      <w:r>
        <w:rPr>
          <w:rFonts w:ascii="Times New Roman" w:hAnsi="Times New Roman"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model-derived upper bound of about 3.89 m/s obtained from a stopping-distance model under assumed nominal parameters d = vτ + v²/2a) during evacuation; a health-proportional cap is implemented but was not used in the reported experiments.</w:t>
      </w:r>
    </w:p>
    <w:p>
      <w:pPr>
        <w:spacing w:line="501" w:lineRule="exact" w:before="0" w:after="0"/>
        <w:jc w:val="both"/>
      </w:pPr>
      <w:r>
        <w:rPr>
          <w:rFonts w:ascii="Times New Roman" w:hAnsi="Times New Roman" w:eastAsia="HY신명조"/>
          <w:b w:val="0"/>
          <w:sz w:val="22"/>
        </w:rPr>
        <w:t xml:space="preserve">     The framework was evaluated in a closed loop of Autoware 0.39.0 and CARLA 0.9.16 (Town07, 15 km/h speed limit). A total of 1,862 valid cases — the fault-type × severity × traffic-density × method matrix together with the ablation and dose-response encounter experiments in a single closed-loop framework — verified the monitoring and evacuation behavior: the detector achieved 96-100% detection rates in every fault condition except by-design-tolerated mid LiDAR sparsification, with median detection latencies of about 1.0 s for hard fails (ledger re-measurement, simulation time) and 2.1-5.0 s for degradation faults (wall clock) with zero false activations in 45 fault-free cases, and supervision reduced degraded-state driving exposure — a representative unmonitored observation, one run per fault type — from 238-251 m to 32-58 m (detect + evacuate, camera and navigation families; LiDAR clutter 275 m to 11-12 m). Safety was quantified at the encounter level with a dual collision-verdict system — a real-time ego collision-sensor ledger (RAW-HIT) and a pedestrian-physics oracle — introduced after empirically discovering that a collision sensor attached to the pedestrian never fired; the pitfalls of runner exit labels and official infraction records are documented as a methodological contribution.</w:t>
      </w:r>
    </w:p>
    <w:p>
      <w:pPr>
        <w:spacing w:line="501" w:lineRule="exact" w:before="0" w:after="0"/>
        <w:jc w:val="both"/>
      </w:pPr>
      <w:r>
        <w:rPr>
          <w:rFonts w:ascii="Times New Roman" w:hAnsi="Times New Roman" w:eastAsia="HY신명조"/>
          <w:b w:val="0"/>
          <w:sz w:val="22"/>
        </w:rPr>
        <w:t xml:space="preserve">     Distance-ladder experiments located the avoid/collide boundary at 8-11 m for 4.2 m/s driving (consistent with the model prediction of 8.8 m) and at 7-8 m for 3.0 m/s (the model value 5.79 m is a lower-bound approximation). In fault-state 8 m encounter reproductions, native continuation collided in every run while the proposed low-speed settled cruise avoided in every run (0/10 vs 8/8), and the same policy collided when encountered during the deceleration transient (2/2). The causal effect of the explicit cap was tested in a dose-response experiment restricted to settled encounters where the cap actually held (3 caps × 4 spawn distances × 10 seeds = 120 runs, pre-specified primary endpoint): at 8 m, cap 4.2 vs 3.0 m/s gave discordant pairs 10:0 (exact McNemar p=0.002; settled regime, single fault type gn-mid), and the avoid/collide boundary moved inward monotonically with lower caps (from beyond 9 m to about 7 m). The same low-speed evacuation policy launched in the deceleration transient remains at risk, and the low-speed settled cruise avoided all encounters (0/8 collisions). The MRM choice is thus a temporal trade-off between immediate collision risk (favoring the stop) and the possibility, when evacuation succeeds, of clearing the lane to an off-lane refuge position, and the residual risk of evacuation concentrates in the detection-to-deceleration transient (transient encounters collided, settled encounters did not) — an observational comparison, not a causal manipulation of detection timing, that nevertheless provides quantitative observational evidence supporting the need for earlier detection and faster deceleration to widen the safety margin within the fault-tolerant time interval (FTTI). Hard failures (complete signal loss) are decided through an evidence-aware fast path that skips noise-oriented debounce and futile recovery holds, meeting a internal 1.5-s detection-to-decision design deadline across the full cf/lf matrix (max 1.20 s, simulation-time, ledger-based). The fault model further covers correlated GNSS bias, GNSS outage, and IMU bias/drift faults, with 100% detection in all of those conditions.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Times New Roman" w:hAnsi="Times New Roman" w:eastAsia="HY신명조"/>
          <w:b/>
          <w:sz w:val="22"/>
        </w:rPr>
        <w:t>Keywords: autonomous vehicle, fail-safe, functional safety, minimal risk maneuver, sensor fault detection, FTTI</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Times New Roman" w:hAnsi="Times New Roman" w:eastAsia="HY신명조"/>
          <w:b/>
          <w:sz w:val="32"/>
        </w:rPr>
        <w:t>Chapter 1. Introduction</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Research Background</w:t>
      </w:r>
    </w:p>
    <w:p>
      <w:pPr>
        <w:spacing w:line="501" w:lineRule="exact" w:before="0" w:after="0"/>
      </w:pPr>
    </w:p>
    <w:p>
      <w:pPr>
        <w:spacing w:line="501" w:lineRule="exact" w:before="0" w:after="0"/>
        <w:jc w:val="both"/>
      </w:pPr>
      <w:r>
        <w:rPr>
          <w:rFonts w:ascii="Times New Roman" w:hAnsi="Times New Roman" w:eastAsia="HY신명조"/>
          <w:b w:val="0"/>
          <w:sz w:val="22"/>
        </w:rPr>
        <w:t xml:space="preserve">   Autonomous driving systems at SAE J3016 Level 4 or higher cannot presuppose driver intervention; when a fault occurs, they must therefore execute a minimal risk maneuver (MRM) that brings the vehicle to a minimal risk condition (MRC) on its own. ISO 26262 requires that detection and response be completed within the Fault Tolerant Time Interval (FTTI), the time allowed from fault occurrence to a hazardous event, while SOTIF (ISO 21448) requires the management of hazards arising from sensor performance limitations.</w:t>
      </w:r>
    </w:p>
    <w:p>
      <w:pPr>
        <w:spacing w:line="501" w:lineRule="exact" w:before="0" w:after="0"/>
        <w:jc w:val="both"/>
      </w:pPr>
      <w:r>
        <w:rPr>
          <w:rFonts w:ascii="Times New Roman" w:hAnsi="Times New Roman" w:eastAsia="HY신명조"/>
          <w:b w:val="0"/>
          <w:sz w:val="22"/>
        </w:rPr>
        <w:t xml:space="preserve">   The open-source autonomous driving stack Autoware provides comfortable_stop and emergency_stop as its default MRMs. However, in the version and execution configuration evaluated in this study (Autoware 0.39.0, Chapter 4, Section 1), most of the injected sensor faults were not detected by the stack's own diagnostics, and the available fallbacks were limited to in-lane stop-type MRMs. Above all, no supervisory layer is provided that "evaluates the type and degree of a sensor fault together with the remaining maneuvering capability, selects between evacuation and stopping accordingly, and further limits the speed of the evacuation movement to match the fault state." The contribution of this study lies in this supervisory layer, not in the shoulder maneuver itself. We state explicitly that this observation is not a claim about Autoware in general, but a fact limited to the evaluated version and execution configuration.</w:t>
      </w:r>
    </w:p>
    <w:p>
      <w:pPr>
        <w:spacing w:line="501" w:lineRule="exact" w:before="0" w:after="0"/>
        <w:jc w:val="both"/>
      </w:pPr>
      <w:r>
        <w:rPr>
          <w:rFonts w:ascii="Times New Roman" w:hAnsi="Times New Roman" w:eastAsia="HY신명조"/>
          <w:b w:val="0"/>
          <w:sz w:val="22"/>
        </w:rPr>
        <w:t xml:space="preserve">   An in-lane stop is simple to implement and immediate, but a stopped vehicle blocks following traffic and creates opportunities for secondary collisions, and this cost persists until the lane occupancy is cleared. Conversely, continuing to drive without detecting the fault extends the distance over which the vehicle is exposed to hazards under degraded perception — in the unmonitored observations of this study, in single-run-per-type unmonitored observations the stock stack effectively completed 238–275 m of the route with faults injected (Chapter 5, Section 2). The design space of fault response thus has three axes: "whether to stop now, how far to move, and, if moving, how fast to move."</w:t>
      </w:r>
    </w:p>
    <w:p>
      <w:pPr>
        <w:spacing w:line="501" w:lineRule="exact" w:before="0" w:after="0"/>
        <w:jc w:val="both"/>
      </w:pPr>
      <w:r>
        <w:rPr>
          <w:rFonts w:ascii="Times New Roman" w:hAnsi="Times New Roman" w:eastAsia="HY신명조"/>
          <w:b w:val="0"/>
          <w:sz w:val="22"/>
        </w:rPr>
        <w:t xml:space="preserve">   When a human driver senses something wrong with the vehicle, the priority is to pull over to the shoulder as far as circumstances permit. Automating this shoulder-evacuation-type MRM requires three prior judgments (Figure 1-1): (i) distinguishing whether the fault is "mild enough to allow moving to the shoulder" or "severe enough to require stopping immediately"; (ii) a continuous evaluation of the type and degree of the fault that makes this distinction possible (a binary normal/faulty diagnostic state is insufficient); and (iii) managing the risk of movement itself in a degraded state when movement is chosen — the stopping distance in a dart-out situation. This study implements these, respectively, as a continuous health score, risk- and remaining-capability-based state transitions, and a conservative remaining-capability-based speed cap (fixed at 3.0 m/s).</w:t>
      </w:r>
    </w:p>
    <w:p>
      <w:pPr>
        <w:keepNext/>
        <w:spacing w:line="240" w:lineRule="auto"/>
        <w:jc w:val="center"/>
      </w:pPr>
      <w:r>
        <w:drawing>
          <wp:inline xmlns:a="http://schemas.openxmlformats.org/drawingml/2006/main" xmlns:pic="http://schemas.openxmlformats.org/drawingml/2006/picture">
            <wp:extent cx="4500000" cy="2454768"/>
            <wp:docPr id="1" name="Picture 1"/>
            <wp:cNvGraphicFramePr>
              <a:graphicFrameLocks noChangeAspect="1"/>
            </wp:cNvGraphicFramePr>
            <a:graphic>
              <a:graphicData uri="http://schemas.openxmlformats.org/drawingml/2006/picture">
                <pic:pic>
                  <pic:nvPicPr>
                    <pic:cNvPr id="0" name="fig1_problem.png"/>
                    <pic:cNvPicPr/>
                  </pic:nvPicPr>
                  <pic:blipFill>
                    <a:blip r:embed="rId15"/>
                    <a:stretch>
                      <a:fillRect/>
                    </a:stretch>
                  </pic:blipFill>
                  <pic:spPr>
                    <a:xfrm>
                      <a:off x="0" y="0"/>
                      <a:ext cx="4500000" cy="2454768"/>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1-1. </w:t>
      </w:r>
      <w:r>
        <w:rPr>
          <w:rFonts w:ascii="Times New Roman" w:hAnsi="Times New Roman" w:eastAsia="HY신명조"/>
          <w:b w:val="0"/>
          <w:sz w:val="18"/>
        </w:rPr>
        <w:t>Problem setting. (a) The graded evacuation options upon sensor fault — ① free space, ② parking lot, ③ shoulder ahead, ④ in-lane stop — are ranked by a cost function. (b) Edge case of a dart-out pedestrian encounter during evacuation.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Finally, simulation-based safety claims stand only on the reliability of the collision determination itself. In the course of the experiments, this study empirically uncovered cases in which the simulator's collision sensor configuration remained silent; prompted by this, we built a dual determination scheme consisting of a real-time ledger of the ego vehicle's collision sensor and a pedestrian physics oracle, and used it as the basis for the safety conclusions (Chapter 4, Section 5).</w:t>
      </w:r>
    </w:p>
    <w:p>
      <w:pPr>
        <w:spacing w:line="501" w:lineRule="exact" w:before="0" w:after="0"/>
        <w:jc w:val="both"/>
      </w:pPr>
      <w:r>
        <w:rPr>
          <w:rFonts w:ascii="Times New Roman" w:hAnsi="Times New Roman" w:eastAsia="HY신명조"/>
          <w:b w:val="0"/>
          <w:sz w:val="22"/>
        </w:rPr>
        <w:t xml:space="preserve">   The proposed supervisory layer is an add-on layer that does not replace the stack itself. Monitoring operates solely by subscribing to sensor topics, intervention occurs only through standard interfaces, and the execution of stopping maneuvers is delegated to the stock stack. This non-intrusive design leaves the certification boundary of the base stack undisturbed while allowing defects in the decision layer and the execution layer to be traced separately at the log level (Chapter 3, Section 8). At the same time, it carries the limitation that execution quality is dependent on the base stack — this trade-off is discussed in Chapter 6.</w:t>
      </w:r>
    </w:p>
    <w:p>
      <w:pPr>
        <w:spacing w:line="501" w:lineRule="exact" w:before="0" w:after="0"/>
      </w:pPr>
    </w:p>
    <w:p>
      <w:pPr>
        <w:spacing w:line="501" w:lineRule="exact" w:before="0" w:after="0"/>
      </w:pPr>
      <w:r>
        <w:rPr>
          <w:rFonts w:ascii="Times New Roman" w:hAnsi="Times New Roman" w:eastAsia="HY신명조"/>
          <w:b/>
          <w:sz w:val="28"/>
        </w:rPr>
        <w:t>2. Research Questions</w:t>
      </w:r>
    </w:p>
    <w:p>
      <w:pPr>
        <w:spacing w:line="501" w:lineRule="exact" w:before="0" w:after="0"/>
      </w:pPr>
    </w:p>
    <w:p>
      <w:pPr>
        <w:spacing w:line="501" w:lineRule="exact" w:before="0" w:after="0"/>
        <w:jc w:val="both"/>
      </w:pPr>
      <w:r>
        <w:rPr>
          <w:rFonts w:ascii="Times New Roman" w:hAnsi="Times New Roman" w:eastAsia="HY신명조"/>
          <w:b w:val="0"/>
          <w:sz w:val="22"/>
        </w:rPr>
        <w:t xml:space="preserve">   RQ1. If sensor faults are estimated as a continuous health score, can the response strategy (shoulder/parking-lot evacuation vs. immediate stop deferral) be selected differentially according to the type and degree of the fault? How much does that selection reduce exposure to the fault state?</w:t>
      </w:r>
    </w:p>
    <w:p>
      <w:pPr>
        <w:spacing w:line="501" w:lineRule="exact" w:before="0" w:after="0"/>
        <w:jc w:val="both"/>
      </w:pPr>
      <w:r>
        <w:rPr>
          <w:rFonts w:ascii="Times New Roman" w:hAnsi="Times New Roman" w:eastAsia="HY신명조"/>
          <w:b w:val="0"/>
          <w:sz w:val="22"/>
        </w:rPr>
        <w:t xml:space="preserve">   RQ2. What does a shoulder-evacuation-type MRM gain and lose compared with a stop-type MRM? What temporal structure does the trade-off between immediate collision risk and lane clearance / final safe position have?</w:t>
      </w:r>
    </w:p>
    <w:p>
      <w:pPr>
        <w:spacing w:line="501" w:lineRule="exact" w:before="0" w:after="0"/>
        <w:jc w:val="both"/>
      </w:pPr>
      <w:r>
        <w:rPr>
          <w:rFonts w:ascii="Times New Roman" w:hAnsi="Times New Roman" w:eastAsia="HY신명조"/>
          <w:b w:val="0"/>
          <w:sz w:val="22"/>
        </w:rPr>
        <w:t xml:space="preserve">   RQ3. How does conservative low-speed movement based on remaining capability (a fixed speed cap) change safety at the level of dart-out encounters, and what does its limiting condition — the transient before deceleration is complete — imply?</w:t>
      </w:r>
    </w:p>
    <w:p>
      <w:pPr>
        <w:spacing w:line="501" w:lineRule="exact" w:before="0" w:after="0"/>
      </w:pPr>
    </w:p>
    <w:p>
      <w:pPr>
        <w:spacing w:line="501" w:lineRule="exact" w:before="0" w:after="0"/>
      </w:pPr>
      <w:r>
        <w:rPr>
          <w:rFonts w:ascii="Times New Roman" w:hAnsi="Times New Roman" w:eastAsia="HY신명조"/>
          <w:b/>
          <w:sz w:val="28"/>
        </w:rPr>
        <w:t>3. Contributions</w:t>
      </w:r>
    </w:p>
    <w:p>
      <w:pPr>
        <w:spacing w:line="501" w:lineRule="exact" w:before="0" w:after="0"/>
      </w:pPr>
    </w:p>
    <w:p>
      <w:pPr>
        <w:spacing w:line="501" w:lineRule="exact" w:before="0" w:after="0"/>
        <w:jc w:val="both"/>
      </w:pPr>
      <w:r>
        <w:rPr>
          <w:rFonts w:ascii="Times New Roman" w:hAnsi="Times New Roman" w:eastAsia="HY신명조"/>
          <w:b w:val="0"/>
          <w:sz w:val="22"/>
        </w:rPr>
        <w:t xml:space="preserve">   First, we propose a behavior-tree-based sensor monitoring module. For each sensor, it independently scores data freshness (timeout), data quality (noise and valid ratio), and physical consistency (residuals and bias), and composes these across eight-direction spatial sectors and functional capability (perception and localization) layers, publishing the result as a continuous health score.</w:t>
      </w:r>
    </w:p>
    <w:p>
      <w:pPr>
        <w:spacing w:line="501" w:lineRule="exact" w:before="0" w:after="0"/>
        <w:jc w:val="both"/>
      </w:pPr>
      <w:r>
        <w:rPr>
          <w:rFonts w:ascii="Times New Roman" w:hAnsi="Times New Roman" w:eastAsia="HY신명조"/>
          <w:b w:val="0"/>
          <w:sz w:val="22"/>
        </w:rPr>
        <w:t xml:space="preserve">   Second, we propose a risk- and remaining-capability-based MRM supervisor. According to health-score bands, it selects between shoulder/parking-lot evacuation (MRM_MOVE) and deferral to the stock stopping behavior (MRM_DEFER); the evacuation site is chosen by a cost function reflecting degraded-state exposure time, traffic-light observability, and sector deficits; and during evacuation movement, a conservative fixed speed cap (3.0 m/s; below the model-derived upper bound (under nominal parameters) v_max≈3.89 m/s), back-computed from the stopping distance model d=vτ+v²/2a, is imposed on the planning layer. The effect of the cap is verified at the causal level in a dose-response experiment restricted to settled encounters where the cap actually held (Chapter 5, Section 6).</w:t>
      </w:r>
    </w:p>
    <w:p>
      <w:pPr>
        <w:spacing w:line="501" w:lineRule="exact" w:before="0" w:after="0"/>
        <w:jc w:val="both"/>
      </w:pPr>
      <w:r>
        <w:rPr>
          <w:rFonts w:ascii="Times New Roman" w:hAnsi="Times New Roman" w:eastAsia="HY신명조"/>
          <w:b w:val="0"/>
          <w:sz w:val="22"/>
        </w:rPr>
        <w:t xml:space="preserve">   Third, we establish a dual scheme for simulation collision determination as a methodology. It combines a real-time ledger of the ego collision sensor (RAW-HIT) with a pedestrian physics oracle (kinematic anomalies at collision), and identifies the determination pitfalls inherent in the experiment runner's termination labels and the official infraction records.</w:t>
      </w:r>
    </w:p>
    <w:p>
      <w:pPr>
        <w:spacing w:line="501" w:lineRule="exact" w:before="0" w:after="0"/>
        <w:jc w:val="both"/>
      </w:pPr>
      <w:r>
        <w:rPr>
          <w:rFonts w:ascii="Times New Roman" w:hAnsi="Times New Roman" w:eastAsia="HY신명조"/>
          <w:b w:val="0"/>
          <w:sz w:val="22"/>
        </w:rPr>
        <w:t xml:space="preserve">   Fourth, as a validation contribution, we perform encounter-level quantitative validation and large-scale matrix validation. Using a pedestrian dart-out distance ladder, we empirically measure the avoidance/collision boundary by speed (8–11 m at 4.2 m/s, 7–8 m at 3.0 m/s) and compare it against the stopping distance model; through transient-versus-settled encounter observations, we show that the residual risk of evacuation is concentrated in the post-detection transient — a quantitative observation supporting the need to shorten detection and response times (widening the margin within the FTTI); and with a single closed-loop experimental framework totaling 1,862 valid cases — the fault type × severity × traffic density × method campaigns plus the dose-response encounter experiment — we quantify the monitoring and evacuation behavior, the reduction in exposure, and the causal effect of the cap.</w:t>
      </w:r>
    </w:p>
    <w:p>
      <w:pPr>
        <w:spacing w:line="501" w:lineRule="exact" w:before="0" w:after="0"/>
        <w:jc w:val="both"/>
      </w:pPr>
      <w:r>
        <w:rPr>
          <w:rFonts w:ascii="Times New Roman" w:hAnsi="Times New Roman" w:eastAsia="HY신명조"/>
          <w:b w:val="0"/>
          <w:sz w:val="22"/>
        </w:rPr>
        <w:t xml:space="preserve">   The novelty of this study lies not in the individual techniques (CUSUM, residual monitoring, noisy-OR fusion, the stopping distance model, and so on — each is a known technique), but in the system architecture that integrates them into a continuous health score and combines it with remaining maneuvering capability, risk deferral, and movement speed limiting to select MRMs in a graded manner, and in the encounter-level closed-loop demonstration whose determination reliability is secured at the methodological level.</w:t>
      </w:r>
    </w:p>
    <w:p>
      <w:pPr>
        <w:spacing w:line="501" w:lineRule="exact" w:before="0" w:after="0"/>
      </w:pPr>
    </w:p>
    <w:p>
      <w:pPr>
        <w:spacing w:line="501" w:lineRule="exact" w:before="0" w:after="0"/>
      </w:pPr>
      <w:r>
        <w:rPr>
          <w:rFonts w:ascii="Times New Roman" w:hAnsi="Times New Roman" w:eastAsia="HY신명조"/>
          <w:b/>
          <w:sz w:val="28"/>
        </w:rPr>
        <w:t>4. Thesis Organization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Chapter 2 reviews the relevant standards and prior research, and Chapter 3 describes the architecture of the proposed system and each of its components. Chapter 4 presents the experimental environment, the fault model, the collision determination methodology, and the encounter experiment design; Chapter 5 presents the results; Chapter 6 presents the limitations and discussion; and Chapter 7 concludes.</w:t>
      </w:r>
    </w:p>
    <w:p>
      <w:pPr>
        <w:pageBreakBefore/>
        <w:spacing w:line="501" w:lineRule="exact" w:before="0" w:after="0"/>
        <w:jc w:val="center"/>
      </w:pPr>
      <w:r>
        <w:rPr>
          <w:rFonts w:ascii="Times New Roman" w:hAnsi="Times New Roman" w:eastAsia="HY신명조"/>
          <w:b/>
          <w:sz w:val="32"/>
        </w:rPr>
        <w:t>Chapter 2. Background and Related Work</w:t>
      </w:r>
    </w:p>
    <w:p>
      <w:pPr>
        <w:spacing w:line="501" w:lineRule="exact" w:before="0" w:after="0"/>
      </w:pPr>
    </w:p>
    <w:p>
      <w:pPr>
        <w:spacing w:line="501" w:lineRule="exact" w:before="0" w:after="0"/>
        <w:jc w:val="both"/>
      </w:pPr>
      <w:r>
        <w:rPr>
          <w:rFonts w:ascii="Times New Roman" w:hAnsi="Times New Roman" w:eastAsia="HY신명조"/>
          <w:b w:val="0"/>
          <w:sz w:val="22"/>
        </w:rPr>
        <w:t xml:space="preserve">   Related work is organized into six strands (Sections 1-6): standards and regulation, time budgets, detection theory and degradation models, fallback and MRM planning, capability-based self-monitoring, and simulation-based evaluation and fault injection; Section 7 compares them with this study.</w:t>
      </w:r>
    </w:p>
    <w:p>
      <w:pPr>
        <w:spacing w:line="501" w:lineRule="exact" w:before="0" w:after="0"/>
      </w:pPr>
    </w:p>
    <w:p>
      <w:pPr>
        <w:spacing w:line="501" w:lineRule="exact" w:before="0" w:after="0"/>
      </w:pPr>
      <w:r>
        <w:rPr>
          <w:rFonts w:ascii="Times New Roman" w:hAnsi="Times New Roman" w:eastAsia="HY신명조"/>
          <w:b/>
          <w:sz w:val="28"/>
        </w:rPr>
        <w:t>1. Standards and Regulatory Frameworks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foundational frameworks of functional safety, SOTIF, and driving-automation level taxonomy [1-3], together with production-regulation and safety-case standards [4-7], consistently require runtime monitoring and responses to degradation. ISO 23793-1:2024 [51], which addresses MRM directly, specifies a classification framework for MRM types and the principle of "selecting the type according to the situation," but covers only the simplest types (straight-line and in-lane stops); shoulder stops are being standardized as Part 2.</w:t>
      </w:r>
    </w:p>
    <w:p>
      <w:pPr>
        <w:spacing w:line="501" w:lineRule="exact" w:before="0" w:after="0"/>
        <w:jc w:val="both"/>
      </w:pPr>
      <w:r>
        <w:rPr>
          <w:rFonts w:ascii="Times New Roman" w:hAnsi="Times New Roman" w:eastAsia="HY신명조"/>
          <w:b w:val="0"/>
          <w:sz w:val="22"/>
        </w:rPr>
        <w:t xml:space="preserve">   As a reference from an adjacent domain, the industrial driverless truck standard ISO 3691-4 [60], rather than prohibiting movement in a degraded state outright, prescribes the principle of "limited speed for limited capability," combining monitored speed limits with stop functions; the conservative low-speed MRM movement of this study (Chapter 3, Section 6) transfers this principle to autonomous-driving MRM. However, these standards do not provide a method for continuously estimating the kind and degree of a fault and selecting the response and speed accordingly.</w:t>
      </w:r>
    </w:p>
    <w:p>
      <w:pPr>
        <w:spacing w:line="501" w:lineRule="exact" w:before="0" w:after="0"/>
      </w:pPr>
    </w:p>
    <w:p>
      <w:pPr>
        <w:spacing w:line="501" w:lineRule="exact" w:before="0" w:after="0"/>
      </w:pPr>
      <w:r>
        <w:rPr>
          <w:rFonts w:ascii="Times New Roman" w:hAnsi="Times New Roman" w:eastAsia="HY신명조"/>
          <w:b/>
          <w:sz w:val="28"/>
        </w:rPr>
        <w:t>2. FTTI and the Derivation of Time Budgets</w:t>
      </w:r>
    </w:p>
    <w:p>
      <w:pPr>
        <w:spacing w:line="501" w:lineRule="exact" w:before="0" w:after="0"/>
      </w:pPr>
    </w:p>
    <w:p>
      <w:pPr>
        <w:spacing w:line="501" w:lineRule="exact" w:before="0" w:after="0"/>
        <w:jc w:val="both"/>
      </w:pPr>
      <w:r>
        <w:rPr>
          <w:rFonts w:ascii="Times New Roman" w:hAnsi="Times New Roman" w:eastAsia="HY신명조"/>
          <w:b w:val="0"/>
          <w:sz w:val="22"/>
        </w:rPr>
        <w:t xml:space="preserve">   ISO 26262 (2nd edition) defines the FTTI as "the minimum time from the occurrence of a fault to the point at which a hazardous event may occur, assuming the safety mechanisms are not activated," but provides no concrete values; the FTTI must be derived per safety goal from vehicle dynamics and scenarios — Bosch's estimation method [8] is a representative case, deriving 1.4–1.8 s in a lane-keeping-loss scenario. As risk metrics, time-to-collision (TTC) [9] and its extensions [10], and RSS [11], which formalizes safe distances with worst-case kinematics, are standard. This study implements this framework as a dynamic detection budget that ties the detection-time requirement to driving risk (including the FDTI/FRTI and safety-margin decomposition framework, Chapter 3, Section 4), and, by measuring at the encounter level that the residual risk of evacuation-type MRMs concentrates in the post-detection transient (Chapter 5, Sections 5-6), provides an observation supporting the need to shorten detection and response times (widening the margin within the FTTI).</w:t>
      </w:r>
    </w:p>
    <w:p>
      <w:pPr>
        <w:spacing w:line="501" w:lineRule="exact" w:before="0" w:after="0"/>
      </w:pPr>
    </w:p>
    <w:p>
      <w:pPr>
        <w:spacing w:line="501" w:lineRule="exact" w:before="0" w:after="0"/>
      </w:pPr>
      <w:r>
        <w:rPr>
          <w:rFonts w:ascii="Times New Roman" w:hAnsi="Times New Roman" w:eastAsia="HY신명조"/>
          <w:b/>
          <w:sz w:val="28"/>
        </w:rPr>
        <w:t>3. Fault Detection Theory and Sensor Degradation Models</w:t>
      </w:r>
    </w:p>
    <w:p>
      <w:pPr>
        <w:spacing w:line="501" w:lineRule="exact" w:before="0" w:after="0"/>
      </w:pPr>
    </w:p>
    <w:p>
      <w:pPr>
        <w:spacing w:line="501" w:lineRule="exact" w:before="0" w:after="0"/>
      </w:pPr>
      <w:r>
        <w:rPr>
          <w:rFonts w:ascii="Times New Roman" w:hAnsi="Times New Roman" w:eastAsia="HY신명조"/>
          <w:b/>
          <w:sz w:val="22"/>
        </w:rPr>
        <w:t>A. Classical FDI Theory</w:t>
      </w:r>
    </w:p>
    <w:p>
      <w:pPr>
        <w:spacing w:line="501" w:lineRule="exact" w:before="0" w:after="0"/>
        <w:jc w:val="both"/>
      </w:pPr>
      <w:r>
        <w:rPr>
          <w:rFonts w:ascii="Times New Roman" w:hAnsi="Times New Roman" w:eastAsia="HY신명조"/>
          <w:b w:val="0"/>
          <w:sz w:val="22"/>
        </w:rPr>
        <w:t xml:space="preserve">   Classical FDI has developed along two lines: residual generation and decision [12-15] and sequential change detection [16][17]; the lidar quality channel of this study borrows the CUSUM [16] from the latter (Chapter 3, Section 2). These theories cover only up to "detection"; the selection of maneuvers after detection is outside their scope.</w:t>
      </w:r>
    </w:p>
    <w:p>
      <w:pPr>
        <w:spacing w:line="501" w:lineRule="exact" w:before="0" w:after="0"/>
      </w:pPr>
      <w:r>
        <w:rPr>
          <w:rFonts w:ascii="Times New Roman" w:hAnsi="Times New Roman" w:eastAsia="HY신명조"/>
          <w:b/>
          <w:sz w:val="22"/>
        </w:rPr>
        <w:t>B. Empirical Evidence and Models of Lidar Degradation</w:t>
      </w:r>
    </w:p>
    <w:p>
      <w:pPr>
        <w:spacing w:line="501" w:lineRule="exact" w:before="0" w:after="0"/>
        <w:jc w:val="both"/>
      </w:pPr>
      <w:r>
        <w:rPr>
          <w:rFonts w:ascii="Times New Roman" w:hAnsi="Times New Roman" w:eastAsia="HY신명조"/>
          <w:b w:val="0"/>
          <w:sz w:val="22"/>
        </w:rPr>
        <w:t xml:space="preserve">   Lidar degradation is covered by fault taxonomies [57], field measurements and physical models of soiling and rainfall [53-56], and adverse-weather simulation and quantification studies [20-23][58][59]. The sparsification (lidar soiling occlusion, lso) model of this study follows field measurements of soiling-induced detection-range reduction [55], and the clutter (lidar clutter, lcl) model follows the attenuation, jitter, and threshold formulas for rain scattering [53] and near-range-biased clutter [54] (Chapter 4, Section 2). Autoware preprocessing and diagnostics [18] and PCL [19] aim at the "removal" of outliers, a purpose distinct from continuous "scoring" of sensor condition.</w:t>
      </w:r>
    </w:p>
    <w:p>
      <w:pPr>
        <w:spacing w:line="501" w:lineRule="exact" w:before="0" w:after="0"/>
      </w:pPr>
      <w:r>
        <w:rPr>
          <w:rFonts w:ascii="Times New Roman" w:hAnsi="Times New Roman" w:eastAsia="HY신명조"/>
          <w:b/>
          <w:sz w:val="22"/>
        </w:rPr>
        <w:t>C. Camera, IMU, and GNSS</w:t>
      </w:r>
    </w:p>
    <w:p>
      <w:pPr>
        <w:spacing w:line="501" w:lineRule="exact" w:before="0" w:after="0"/>
        <w:jc w:val="both"/>
      </w:pPr>
      <w:r>
        <w:rPr>
          <w:rFonts w:ascii="Times New Roman" w:hAnsi="Times New Roman" w:eastAsia="HY신명조"/>
          <w:b w:val="0"/>
          <w:sz w:val="22"/>
        </w:rPr>
        <w:t xml:space="preserve">   The camera failure-mode taxonomy [24] is the reference for the cn and cf injections of this study; for the IMU, the separate evaluation of measurement white noise and time-accumulating bias [25][26] serves as the reference, and for GNSS, the failure-mode framework [62], urban error measurements [27], and integrity monitoring [28][29]; the multipath-type correlated bias (gm) is injected following a first-order Gauss-Markov model [61].</w:t>
      </w:r>
    </w:p>
    <w:p>
      <w:pPr>
        <w:spacing w:line="501" w:lineRule="exact" w:before="0" w:after="0"/>
      </w:pPr>
    </w:p>
    <w:p>
      <w:pPr>
        <w:spacing w:line="501" w:lineRule="exact" w:before="0" w:after="0"/>
      </w:pPr>
      <w:r>
        <w:rPr>
          <w:rFonts w:ascii="Times New Roman" w:hAnsi="Times New Roman" w:eastAsia="HY신명조"/>
          <w:b/>
          <w:sz w:val="28"/>
        </w:rPr>
        <w:t>4. Fallback and MRM Planning</w:t>
      </w:r>
    </w:p>
    <w:p>
      <w:pPr>
        <w:spacing w:line="501" w:lineRule="exact" w:before="0" w:after="0"/>
      </w:pPr>
    </w:p>
    <w:p>
      <w:pPr>
        <w:spacing w:line="501" w:lineRule="exact" w:before="0" w:after="0"/>
        <w:jc w:val="both"/>
      </w:pPr>
      <w:r>
        <w:rPr>
          <w:rFonts w:ascii="Times New Roman" w:hAnsi="Times New Roman" w:eastAsia="HY신명조"/>
          <w:b w:val="0"/>
          <w:sz w:val="22"/>
        </w:rPr>
        <w:t xml:space="preserve">   Among safe-stop planning approaches for faults and performance limits, the trajectory-planning line [30-32] addresses the parallel maintenance of stop trajectories, optimal-control formulations, and online verification, but takes the assessment of the fault and the choice of response as given. In the fallback-strategy line, Emzivat et al. [33] proposed, as a fallback for systems with impaired monitoring capability, virtual obstacles and TTC-based deceleration, and Reschka and Maurer [34] pointed out that the "safe state" of an automated vehicle is situation-dependent and that an in-lane stop is not always safe — the same concern from which this study starts.</w:t>
      </w:r>
    </w:p>
    <w:p>
      <w:pPr>
        <w:spacing w:line="501" w:lineRule="exact" w:before="0" w:after="0"/>
        <w:jc w:val="both"/>
      </w:pPr>
      <w:r>
        <w:rPr>
          <w:rFonts w:ascii="Times New Roman" w:hAnsi="Times New Roman" w:eastAsia="HY신명조"/>
          <w:b w:val="0"/>
          <w:sz w:val="22"/>
        </w:rPr>
        <w:t xml:space="preserve">   The closest prior work is the line of sensor-fault-presupposing evacuation and adaptive MRM. Xue et al. [49][50], presupposing a forward-sensor fault, proposed a safe-zone stop fallback under MPC safety constraints and an adaptive MPC extension based on virtual vehicles in unobserved regions; Tang et al. [48] proposed a method that, under multiple sensor faults, adaptively selects MRM behaviors (deceleration, lane-keeping stop, shoulder-oriented stop, etc.) using HAZOP risk analysis and virtual-object, TTC, and THW evaluation, and validated it in a MATLAB-CARLA closed loop. The differences from this study are as follows. (i) They presuppose that the sensor-fault state is given and address the subsequent maneuvers and selection, whereas this study starts from estimating the occurrence, kind, and severity of the fault through online monitoring of sensor data. (ii) As selection criteria they use TTC/THW with surrounding traffic, whereas this study combines, in addition to risk grace time, the remaining perception and localization capability, and further limits the speed of the evacuation movement itself to match the fault state. (iii) The focus of validation differs: rather than checking whether maneuvers succeed in representative scenarios, this study performed closed-loop behavioral verification of 1,862 valid cases on a real open-source stack (Autoware), together with pedestrian-encounter experiments whose verdict reliability was secured at the methodology level.</w:t>
      </w:r>
    </w:p>
    <w:p>
      <w:pPr>
        <w:spacing w:line="501" w:lineRule="exact" w:before="0" w:after="0"/>
        <w:jc w:val="both"/>
      </w:pPr>
      <w:r>
        <w:rPr>
          <w:rFonts w:ascii="Times New Roman" w:hAnsi="Times New Roman" w:eastAsia="HY신명조"/>
          <w:b w:val="0"/>
          <w:sz w:val="22"/>
        </w:rPr>
        <w:t xml:space="preserve">   The open-source stack Autoware [18] provides stop-type MRMs and shoulder pull-over search (goal_planner), but the version and configuration evaluated (Chapter 4, Section 1) had no supervisory layer that differentially triggers responses and limits speed based on health score and remaining capability — that layer is the contribution of this study.</w:t>
      </w:r>
    </w:p>
    <w:p>
      <w:pPr>
        <w:spacing w:line="501" w:lineRule="exact" w:before="0" w:after="0"/>
      </w:pPr>
    </w:p>
    <w:p>
      <w:pPr>
        <w:spacing w:line="501" w:lineRule="exact" w:before="0" w:after="0"/>
      </w:pPr>
      <w:r>
        <w:rPr>
          <w:rFonts w:ascii="Times New Roman" w:hAnsi="Times New Roman" w:eastAsia="HY신명조"/>
          <w:b/>
          <w:sz w:val="28"/>
        </w:rPr>
        <w:t>5. Capability-Based Self-Monitoring and Runtime Monitoring</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skill and ability graphs of Reschka et al. [35] and their development-process extension [36] form a lineage that models functional capabilities as hierarchical graphs for use in online monitoring and decision making; the sector-capability composition of this study (Chapter 3, Section 3) is an implementation that couples capability scores directly to MRM level selection and the movement speed cap. Runtime monitor case studies [37], SMOF [38], and verification challenges [39] are adjacent lines, and behavior trees [40][41] are used as the parallel-composition and execution-tracing structure of the monitoring node based on BehaviorTree.CPP [42] (implementation structure — Chapter 3, Section 1).</w:t>
      </w:r>
    </w:p>
    <w:p>
      <w:pPr>
        <w:spacing w:line="501" w:lineRule="exact" w:before="0" w:after="0"/>
      </w:pPr>
    </w:p>
    <w:p>
      <w:pPr>
        <w:spacing w:line="501" w:lineRule="exact" w:before="0" w:after="0"/>
      </w:pPr>
      <w:r>
        <w:rPr>
          <w:rFonts w:ascii="Times New Roman" w:hAnsi="Times New Roman" w:eastAsia="HY신명조"/>
          <w:b/>
          <w:sz w:val="28"/>
        </w:rPr>
        <w:t>6. Simulation-Based Evaluation and Fault Injection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CARLA [43] is the standard platform for fault-injection research, and stack-targeted fault-injection evaluations — DriveFI [44], resilience evaluation [45], AV-FUZZER [46], and the scenario language Scenic [47] — are studies that "inject faults to find vulnerabilities," the opposite direction from this study, which has the stack itself detect and grade the injected faults and select a response (this study uses the same injection techniques as a means of verification). The experimental infrastructure of this study is built on AWCL [52], the Autoware-CARLA-coupled leaderboard framework (released by the Institute of Automotive Technology at TUM), as a fully automated harness that restarts the simulator for every case (Chapter 4). Furthermore, no report was found that addresses the reliability of simulated collision verdicts — collision-sensor silence, termination-label misclassification — at the methodology level; this study treats it in a formal section (Chapter 4, Section 5).</w:t>
      </w:r>
    </w:p>
    <w:p>
      <w:pPr>
        <w:spacing w:line="501" w:lineRule="exact" w:before="0" w:after="0"/>
      </w:pPr>
    </w:p>
    <w:p>
      <w:pPr>
        <w:spacing w:line="501" w:lineRule="exact" w:before="0" w:after="0"/>
      </w:pPr>
      <w:r>
        <w:rPr>
          <w:rFonts w:ascii="Times New Roman" w:hAnsi="Times New Roman" w:eastAsia="HY신명조"/>
          <w:b/>
          <w:sz w:val="28"/>
        </w:rPr>
        <w:t>7. Comparison with Prior Work</w:t>
      </w:r>
    </w:p>
    <w:p>
      <w:pPr>
        <w:spacing w:line="501" w:lineRule="exact" w:before="0" w:after="0"/>
      </w:pPr>
    </w:p>
    <w:p>
      <w:pPr>
        <w:spacing w:line="501" w:lineRule="exact" w:before="0" w:after="0"/>
        <w:jc w:val="both"/>
      </w:pPr>
      <w:r>
        <w:rPr>
          <w:rFonts w:ascii="Times New Roman" w:hAnsi="Times New Roman" w:eastAsia="HY신명조"/>
          <w:b w:val="0"/>
          <w:sz w:val="22"/>
        </w:rPr>
        <w:t xml:space="preserve">   Table 2-1 compares the related research lines with this study along six axes.</w:t>
      </w:r>
    </w:p>
    <w:p>
      <w:pPr>
        <w:keepNext/>
        <w:spacing w:line="312" w:lineRule="auto" w:before="40" w:after="0"/>
      </w:pPr>
      <w:r>
        <w:rPr>
          <w:rFonts w:ascii="Times New Roman" w:hAnsi="Times New Roman" w:eastAsia="HY신명조"/>
          <w:b/>
          <w:sz w:val="18"/>
        </w:rPr>
        <w:t xml:space="preserve">Table 2-1. </w:t>
      </w:r>
      <w:r>
        <w:rPr>
          <w:rFonts w:ascii="Times New Roman" w:hAnsi="Times New Roman" w:eastAsia="HY신명조"/>
          <w:b w:val="0"/>
          <w:sz w:val="18"/>
        </w:rPr>
        <w:t>Comparison of prior research lines with this study (○ explicitly provided / △ partial or conceptual / × not addressed)</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spacing w:line="288" w:lineRule="auto" w:before="20" w:after="20"/>
              <w:jc w:val="center"/>
            </w:pPr>
            <w:r/>
            <w:r>
              <w:rPr>
                <w:rFonts w:ascii="Times New Roman" w:hAnsi="Times New Roman" w:eastAsia="HY신명조"/>
                <w:b/>
                <w:sz w:val="18"/>
              </w:rPr>
              <w:t>Research line (representative refs.)</w:t>
            </w:r>
          </w:p>
        </w:tc>
        <w:tc>
          <w:tcPr>
            <w:tcW w:type="dxa" w:w="1215"/>
          </w:tcPr>
          <w:p>
            <w:pPr>
              <w:spacing w:line="288" w:lineRule="auto" w:before="20" w:after="20"/>
              <w:jc w:val="center"/>
            </w:pPr>
            <w:r/>
            <w:r>
              <w:rPr>
                <w:rFonts w:ascii="Times New Roman" w:hAnsi="Times New Roman" w:eastAsia="HY신명조"/>
                <w:b/>
                <w:sz w:val="18"/>
              </w:rPr>
              <w:t>Fault</w:t>
            </w:r>
          </w:p>
          <w:p>
            <w:pPr>
              <w:spacing w:line="288" w:lineRule="auto" w:before="20" w:after="20"/>
              <w:jc w:val="center"/>
            </w:pPr>
            <w:r>
              <w:rPr>
                <w:rFonts w:ascii="Times New Roman" w:hAnsi="Times New Roman" w:eastAsia="HY신명조"/>
                <w:b/>
                <w:sz w:val="18"/>
              </w:rPr>
              <w:t>detection</w:t>
            </w:r>
          </w:p>
        </w:tc>
        <w:tc>
          <w:tcPr>
            <w:tcW w:type="dxa" w:w="1215"/>
          </w:tcPr>
          <w:p>
            <w:pPr>
              <w:spacing w:line="288" w:lineRule="auto" w:before="20" w:after="20"/>
              <w:jc w:val="center"/>
            </w:pPr>
            <w:r/>
            <w:r>
              <w:rPr>
                <w:rFonts w:ascii="Times New Roman" w:hAnsi="Times New Roman" w:eastAsia="HY신명조"/>
                <w:b/>
                <w:sz w:val="18"/>
              </w:rPr>
              <w:t>Continuous</w:t>
            </w:r>
          </w:p>
          <w:p>
            <w:pPr>
              <w:spacing w:line="288" w:lineRule="auto" w:before="20" w:after="20"/>
              <w:jc w:val="center"/>
            </w:pPr>
            <w:r>
              <w:rPr>
                <w:rFonts w:ascii="Times New Roman" w:hAnsi="Times New Roman" w:eastAsia="HY신명조"/>
                <w:b/>
                <w:sz w:val="18"/>
              </w:rPr>
              <w:t>health score</w:t>
            </w:r>
          </w:p>
        </w:tc>
        <w:tc>
          <w:tcPr>
            <w:tcW w:type="dxa" w:w="1215"/>
          </w:tcPr>
          <w:p>
            <w:pPr>
              <w:spacing w:line="288" w:lineRule="auto" w:before="20" w:after="20"/>
              <w:jc w:val="center"/>
            </w:pPr>
            <w:r/>
            <w:r>
              <w:rPr>
                <w:rFonts w:ascii="Times New Roman" w:hAnsi="Times New Roman" w:eastAsia="HY신명조"/>
                <w:b/>
                <w:sz w:val="18"/>
              </w:rPr>
              <w:t>Remaining-capability</w:t>
            </w:r>
          </w:p>
          <w:p>
            <w:pPr>
              <w:spacing w:line="288" w:lineRule="auto" w:before="20" w:after="20"/>
              <w:jc w:val="center"/>
            </w:pPr>
            <w:r>
              <w:rPr>
                <w:rFonts w:ascii="Times New Roman" w:hAnsi="Times New Roman" w:eastAsia="HY신명조"/>
                <w:b/>
                <w:sz w:val="18"/>
              </w:rPr>
              <w:t>assessment</w:t>
            </w:r>
          </w:p>
        </w:tc>
        <w:tc>
          <w:tcPr>
            <w:tcW w:type="dxa" w:w="1215"/>
          </w:tcPr>
          <w:p>
            <w:pPr>
              <w:spacing w:line="288" w:lineRule="auto" w:before="20" w:after="20"/>
              <w:jc w:val="center"/>
            </w:pPr>
            <w:r/>
            <w:r>
              <w:rPr>
                <w:rFonts w:ascii="Times New Roman" w:hAnsi="Times New Roman" w:eastAsia="HY신명조"/>
                <w:b/>
                <w:sz w:val="18"/>
              </w:rPr>
              <w:t>Graded</w:t>
            </w:r>
          </w:p>
          <w:p>
            <w:pPr>
              <w:spacing w:line="288" w:lineRule="auto" w:before="20" w:after="20"/>
              <w:jc w:val="center"/>
            </w:pPr>
            <w:r>
              <w:rPr>
                <w:rFonts w:ascii="Times New Roman" w:hAnsi="Times New Roman" w:eastAsia="HY신명조"/>
                <w:b/>
                <w:sz w:val="18"/>
              </w:rPr>
              <w:t>MRM selection</w:t>
            </w:r>
          </w:p>
        </w:tc>
        <w:tc>
          <w:tcPr>
            <w:tcW w:type="dxa" w:w="1215"/>
          </w:tcPr>
          <w:p>
            <w:pPr>
              <w:spacing w:line="288" w:lineRule="auto" w:before="20" w:after="20"/>
              <w:jc w:val="center"/>
            </w:pPr>
            <w:r/>
            <w:r>
              <w:rPr>
                <w:rFonts w:ascii="Times New Roman" w:hAnsi="Times New Roman" w:eastAsia="HY신명조"/>
                <w:b/>
                <w:sz w:val="18"/>
              </w:rPr>
              <w:t>Speed-limited</w:t>
            </w:r>
          </w:p>
          <w:p>
            <w:pPr>
              <w:spacing w:line="288" w:lineRule="auto" w:before="20" w:after="20"/>
              <w:jc w:val="center"/>
            </w:pPr>
            <w:r>
              <w:rPr>
                <w:rFonts w:ascii="Times New Roman" w:hAnsi="Times New Roman" w:eastAsia="HY신명조"/>
                <w:b/>
                <w:sz w:val="18"/>
              </w:rPr>
              <w:t>movement</w:t>
            </w:r>
          </w:p>
        </w:tc>
        <w:tc>
          <w:tcPr>
            <w:tcW w:type="dxa" w:w="1215"/>
          </w:tcPr>
          <w:p>
            <w:pPr>
              <w:spacing w:line="288" w:lineRule="auto" w:before="20" w:after="20"/>
              <w:jc w:val="center"/>
            </w:pPr>
            <w:r/>
            <w:r>
              <w:rPr>
                <w:rFonts w:ascii="Times New Roman" w:hAnsi="Times New Roman" w:eastAsia="HY신명조"/>
                <w:b/>
                <w:sz w:val="18"/>
              </w:rPr>
              <w:t>Encounter-level</w:t>
            </w:r>
          </w:p>
          <w:p>
            <w:pPr>
              <w:spacing w:line="288" w:lineRule="auto" w:before="20" w:after="20"/>
              <w:jc w:val="center"/>
            </w:pPr>
            <w:r>
              <w:rPr>
                <w:rFonts w:ascii="Times New Roman" w:hAnsi="Times New Roman" w:eastAsia="HY신명조"/>
                <w:b/>
                <w:sz w:val="18"/>
              </w:rPr>
              <w:t>closed-loop validation</w:t>
            </w:r>
          </w:p>
        </w:tc>
      </w:tr>
      <w:tr>
        <w:trPr>
          <w:cantSplit/>
        </w:trPr>
        <w:tc>
          <w:tcPr>
            <w:tcW w:type="dxa" w:w="1215"/>
          </w:tcPr>
          <w:p>
            <w:pPr>
              <w:spacing w:line="288" w:lineRule="auto" w:before="20" w:after="20"/>
              <w:jc w:val="left"/>
            </w:pPr>
            <w:r/>
            <w:r>
              <w:rPr>
                <w:rFonts w:ascii="Times New Roman" w:hAnsi="Times New Roman" w:eastAsia="HY신명조"/>
                <w:b w:val="0"/>
                <w:sz w:val="18"/>
              </w:rPr>
              <w:t>Standards and regulation [1-7][51][60]</w:t>
            </w:r>
          </w:p>
        </w:tc>
        <w:tc>
          <w:tcPr>
            <w:tcW w:type="dxa" w:w="1215"/>
          </w:tcPr>
          <w:p>
            <w:pPr>
              <w:spacing w:line="288" w:lineRule="auto" w:before="20" w:after="20"/>
              <w:jc w:val="left"/>
            </w:pPr>
            <w:r/>
            <w:r>
              <w:rPr>
                <w:rFonts w:ascii="Times New Roman" w:hAnsi="Times New Roman" w:eastAsia="HY신명조"/>
                <w:b w:val="0"/>
                <w:sz w:val="18"/>
              </w:rPr>
              <w:t>Requirements only</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(type taxonomy)</w:t>
            </w:r>
          </w:p>
        </w:tc>
        <w:tc>
          <w:tcPr>
            <w:tcW w:type="dxa" w:w="1215"/>
          </w:tcPr>
          <w:p>
            <w:pPr>
              <w:spacing w:line="288" w:lineRule="auto" w:before="20" w:after="20"/>
              <w:jc w:val="left"/>
            </w:pPr>
            <w:r/>
            <w:r>
              <w:rPr>
                <w:rFonts w:ascii="Times New Roman" w:hAnsi="Times New Roman" w:eastAsia="HY신명조"/>
                <w:b w:val="0"/>
                <w:sz w:val="18"/>
              </w:rPr>
              <w:t>△ (industrial domain)</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Classical FDI and change detection [12-17]</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(residual magnitude)</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Sensor degradation models [20-29][53-59]</w:t>
            </w:r>
          </w:p>
        </w:tc>
        <w:tc>
          <w:tcPr>
            <w:tcW w:type="dxa" w:w="1215"/>
          </w:tcPr>
          <w:p>
            <w:pPr>
              <w:spacing w:line="288" w:lineRule="auto" w:before="20" w:after="20"/>
              <w:jc w:val="left"/>
            </w:pPr>
            <w:r/>
            <w:r>
              <w:rPr>
                <w:rFonts w:ascii="Times New Roman" w:hAnsi="Times New Roman" w:eastAsia="HY신명조"/>
                <w:b w:val="0"/>
                <w:sz w:val="18"/>
              </w:rPr>
              <w:t>○ (offline)</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Fail-safe trajectory planning [30-32]</w:t>
            </w:r>
          </w:p>
        </w:tc>
        <w:tc>
          <w:tcPr>
            <w:tcW w:type="dxa" w:w="1215"/>
          </w:tcPr>
          <w:p>
            <w:pPr>
              <w:spacing w:line="288" w:lineRule="auto" w:before="20" w:after="20"/>
              <w:jc w:val="left"/>
            </w:pPr>
            <w:r/>
            <w:r>
              <w:rPr>
                <w:rFonts w:ascii="Times New Roman" w:hAnsi="Times New Roman" w:eastAsia="HY신명조"/>
                <w:b w:val="0"/>
                <w:sz w:val="18"/>
              </w:rPr>
              <w:t>× (presupposed)</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(stop trajectories)</w:t>
            </w:r>
          </w:p>
        </w:tc>
        <w:tc>
          <w:tcPr>
            <w:tcW w:type="dxa" w:w="1215"/>
          </w:tcPr>
          <w:p>
            <w:pPr>
              <w:spacing w:line="288" w:lineRule="auto" w:before="20" w:after="20"/>
              <w:jc w:val="left"/>
            </w:pPr>
            <w:r/>
            <w:r>
              <w:rPr>
                <w:rFonts w:ascii="Times New Roman" w:hAnsi="Times New Roman" w:eastAsia="HY신명조"/>
                <w:b w:val="0"/>
                <w:sz w:val="18"/>
              </w:rPr>
              <w:t>△ (deceleration planning)</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Fallback strategy (Emzivat [33])</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(TTC deceleration)</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Sensor-fault-presupposing MRM (Xue [49][50]; Tang [48])</w:t>
            </w:r>
          </w:p>
        </w:tc>
        <w:tc>
          <w:tcPr>
            <w:tcW w:type="dxa" w:w="1215"/>
          </w:tcPr>
          <w:p>
            <w:pPr>
              <w:spacing w:line="288" w:lineRule="auto" w:before="20" w:after="20"/>
              <w:jc w:val="left"/>
            </w:pPr>
            <w:r/>
            <w:r>
              <w:rPr>
                <w:rFonts w:ascii="Times New Roman" w:hAnsi="Times New Roman" w:eastAsia="HY신명조"/>
                <w:b w:val="0"/>
                <w:sz w:val="18"/>
              </w:rPr>
              <w:t>× (presupposed)</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(surviving sensors)</w:t>
            </w:r>
          </w:p>
        </w:tc>
        <w:tc>
          <w:tcPr>
            <w:tcW w:type="dxa" w:w="1215"/>
          </w:tcPr>
          <w:p>
            <w:pPr>
              <w:spacing w:line="288" w:lineRule="auto" w:before="20" w:after="20"/>
              <w:jc w:val="left"/>
            </w:pPr>
            <w:r/>
            <w:r>
              <w:rPr>
                <w:rFonts w:ascii="Times New Roman" w:hAnsi="Times New Roman" w:eastAsia="HY신명조"/>
                <w:b w:val="0"/>
                <w:sz w:val="18"/>
              </w:rPr>
              <w:t>○ (adaptive selection)</w:t>
            </w:r>
          </w:p>
        </w:tc>
        <w:tc>
          <w:tcPr>
            <w:tcW w:type="dxa" w:w="1215"/>
          </w:tcPr>
          <w:p>
            <w:pPr>
              <w:spacing w:line="288" w:lineRule="auto" w:before="20" w:after="20"/>
              <w:jc w:val="left"/>
            </w:pPr>
            <w:r/>
            <w:r>
              <w:rPr>
                <w:rFonts w:ascii="Times New Roman" w:hAnsi="Times New Roman" w:eastAsia="HY신명조"/>
                <w:b w:val="0"/>
                <w:sz w:val="18"/>
              </w:rPr>
              <w:t>△ (deceleration behaviors)</w:t>
            </w:r>
          </w:p>
        </w:tc>
        <w:tc>
          <w:tcPr>
            <w:tcW w:type="dxa" w:w="1215"/>
          </w:tcPr>
          <w:p>
            <w:pPr>
              <w:spacing w:line="288" w:lineRule="auto" w:before="20" w:after="20"/>
              <w:jc w:val="left"/>
            </w:pPr>
            <w:r/>
            <w:r>
              <w:rPr>
                <w:rFonts w:ascii="Times New Roman" w:hAnsi="Times New Roman" w:eastAsia="HY신명조"/>
                <w:b w:val="0"/>
                <w:sz w:val="18"/>
              </w:rPr>
              <w:t>△ (representative scenarios)</w:t>
            </w:r>
          </w:p>
        </w:tc>
      </w:tr>
      <w:tr>
        <w:trPr>
          <w:cantSplit/>
        </w:trPr>
        <w:tc>
          <w:tcPr>
            <w:tcW w:type="dxa" w:w="1215"/>
          </w:tcPr>
          <w:p>
            <w:pPr>
              <w:spacing w:line="288" w:lineRule="auto" w:before="20" w:after="20"/>
              <w:jc w:val="left"/>
            </w:pPr>
            <w:r/>
            <w:r>
              <w:rPr>
                <w:rFonts w:ascii="Times New Roman" w:hAnsi="Times New Roman" w:eastAsia="HY신명조"/>
                <w:b w:val="0"/>
                <w:sz w:val="18"/>
              </w:rPr>
              <w:t>Capability-based self-monitoring [34-36]</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(capability level)</w:t>
            </w:r>
          </w:p>
        </w:tc>
        <w:tc>
          <w:tcPr>
            <w:tcW w:type="dxa" w:w="1215"/>
          </w:tcPr>
          <w:p>
            <w:pPr>
              <w:spacing w:line="288" w:lineRule="auto" w:before="20" w:after="20"/>
              <w:jc w:val="left"/>
            </w:pPr>
            <w:r/>
            <w:r>
              <w:rPr>
                <w:rFonts w:ascii="Times New Roman" w:hAnsi="Times New Roman" w:eastAsia="HY신명조"/>
                <w:b w:val="0"/>
                <w:sz w:val="18"/>
              </w:rPr>
              <w:t>○ (conceptual)</w:t>
            </w:r>
          </w:p>
        </w:tc>
        <w:tc>
          <w:tcPr>
            <w:tcW w:type="dxa" w:w="1215"/>
          </w:tcPr>
          <w:p>
            <w:pPr>
              <w:spacing w:line="288" w:lineRule="auto" w:before="20" w:after="20"/>
              <w:jc w:val="left"/>
            </w:pPr>
            <w:r/>
            <w:r>
              <w:rPr>
                <w:rFonts w:ascii="Times New Roman" w:hAnsi="Times New Roman" w:eastAsia="HY신명조"/>
                <w:b w:val="0"/>
                <w:sz w:val="18"/>
              </w:rPr>
              <w:t>△ (conceptual)</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Stock Autoware diagnostics and MRM [18]</w:t>
            </w:r>
          </w:p>
        </w:tc>
        <w:tc>
          <w:tcPr>
            <w:tcW w:type="dxa" w:w="1215"/>
          </w:tcPr>
          <w:p>
            <w:pPr>
              <w:spacing w:line="288" w:lineRule="auto" w:before="20" w:after="20"/>
              <w:jc w:val="left"/>
            </w:pPr>
            <w:r/>
            <w:r>
              <w:rPr>
                <w:rFonts w:ascii="Times New Roman" w:hAnsi="Times New Roman" w:eastAsia="HY신명조"/>
                <w:b w:val="0"/>
                <w:sz w:val="18"/>
              </w:rPr>
              <w:t>△ (timeouts, ranges)</w:t>
            </w:r>
          </w:p>
        </w:tc>
        <w:tc>
          <w:tcPr>
            <w:tcW w:type="dxa" w:w="1215"/>
          </w:tcPr>
          <w:p>
            <w:pPr>
              <w:spacing w:line="288" w:lineRule="auto" w:before="20" w:after="20"/>
              <w:jc w:val="left"/>
            </w:pPr>
            <w:r/>
            <w:r>
              <w:rPr>
                <w:rFonts w:ascii="Times New Roman" w:hAnsi="Times New Roman" w:eastAsia="HY신명조"/>
                <w:b w:val="0"/>
                <w:sz w:val="18"/>
              </w:rPr>
              <w:t>× (binary)</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(stop types only)</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Fault-injection evaluation [43-47]</w:t>
            </w:r>
          </w:p>
        </w:tc>
        <w:tc>
          <w:tcPr>
            <w:tcW w:type="dxa" w:w="1215"/>
          </w:tcPr>
          <w:p>
            <w:pPr>
              <w:spacing w:line="288" w:lineRule="auto" w:before="20" w:after="20"/>
              <w:jc w:val="left"/>
            </w:pPr>
            <w:r/>
            <w:r>
              <w:rPr>
                <w:rFonts w:ascii="Times New Roman" w:hAnsi="Times New Roman" w:eastAsia="HY신명조"/>
                <w:b w:val="0"/>
                <w:sz w:val="18"/>
              </w:rPr>
              <w:t>× (injection side)</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This study</w:t>
            </w:r>
          </w:p>
        </w:tc>
        <w:tc>
          <w:tcPr>
            <w:tcW w:type="dxa" w:w="1215"/>
          </w:tcPr>
          <w:p>
            <w:pPr>
              <w:spacing w:line="288" w:lineRule="auto" w:before="20" w:after="20"/>
              <w:jc w:val="left"/>
            </w:pPr>
            <w:r/>
            <w:r>
              <w:rPr>
                <w:rFonts w:ascii="Times New Roman" w:hAnsi="Times New Roman" w:eastAsia="HY신명조"/>
                <w:b w:val="0"/>
                <w:sz w:val="18"/>
              </w:rPr>
              <w:t>○ (11 injected types, demonstrated)</w:t>
            </w:r>
          </w:p>
        </w:tc>
        <w:tc>
          <w:tcPr>
            <w:tcW w:type="dxa" w:w="1215"/>
          </w:tcPr>
          <w:p>
            <w:pPr>
              <w:spacing w:line="288" w:lineRule="auto" w:before="20" w:after="20"/>
              <w:jc w:val="left"/>
            </w:pPr>
            <w:r/>
            <w:r>
              <w:rPr>
                <w:rFonts w:ascii="Times New Roman" w:hAnsi="Times New Roman" w:eastAsia="HY신명조"/>
                <w:b w:val="0"/>
                <w:sz w:val="18"/>
              </w:rPr>
              <w:t>○ (freshness × quality)</w:t>
            </w:r>
          </w:p>
        </w:tc>
        <w:tc>
          <w:tcPr>
            <w:tcW w:type="dxa" w:w="1215"/>
          </w:tcPr>
          <w:p>
            <w:pPr>
              <w:spacing w:line="288" w:lineRule="auto" w:before="20" w:after="20"/>
              <w:jc w:val="left"/>
            </w:pPr>
            <w:r/>
            <w:r>
              <w:rPr>
                <w:rFonts w:ascii="Times New Roman" w:hAnsi="Times New Roman" w:eastAsia="HY신명조"/>
                <w:b w:val="0"/>
                <w:sz w:val="18"/>
              </w:rPr>
              <w:t>○ (localization and perception confidence)</w:t>
            </w:r>
          </w:p>
        </w:tc>
        <w:tc>
          <w:tcPr>
            <w:tcW w:type="dxa" w:w="1215"/>
          </w:tcPr>
          <w:p>
            <w:pPr>
              <w:spacing w:line="288" w:lineRule="auto" w:before="20" w:after="20"/>
              <w:jc w:val="left"/>
            </w:pPr>
            <w:r/>
            <w:r>
              <w:rPr>
                <w:rFonts w:ascii="Times New Roman" w:hAnsi="Times New Roman" w:eastAsia="HY신명조"/>
                <w:b w:val="0"/>
                <w:sz w:val="18"/>
              </w:rPr>
              <w:t>○ (evacuation/deferral bands)</w:t>
            </w:r>
          </w:p>
        </w:tc>
        <w:tc>
          <w:tcPr>
            <w:tcW w:type="dxa" w:w="1215"/>
          </w:tcPr>
          <w:p>
            <w:pPr>
              <w:spacing w:line="288" w:lineRule="auto" w:before="20" w:after="20"/>
              <w:jc w:val="left"/>
            </w:pPr>
            <w:r/>
            <w:r>
              <w:rPr>
                <w:rFonts w:ascii="Times New Roman" w:hAnsi="Times New Roman" w:eastAsia="HY신명조"/>
                <w:b w:val="0"/>
                <w:sz w:val="18"/>
              </w:rPr>
              <w:t>○ (cap back-calculated from stopping distance)</w:t>
            </w:r>
          </w:p>
        </w:tc>
        <w:tc>
          <w:tcPr>
            <w:tcW w:type="dxa" w:w="1215"/>
          </w:tcPr>
          <w:p>
            <w:pPr>
              <w:spacing w:line="288" w:lineRule="auto" w:before="20" w:after="20"/>
              <w:jc w:val="left"/>
            </w:pPr>
            <w:r/>
            <w:r>
              <w:rPr>
                <w:rFonts w:ascii="Times New Roman" w:hAnsi="Times New Roman" w:eastAsia="HY신명조"/>
                <w:b w:val="0"/>
                <w:sz w:val="18"/>
              </w:rPr>
              <w:t>○ (ledger-verified encounter ablation)</w:t>
            </w:r>
          </w:p>
        </w:tc>
      </w:tr>
    </w:tbl>
    <w:p>
      <w:pPr>
        <w:spacing w:line="501" w:lineRule="exact" w:before="0" w:after="0"/>
      </w:pPr>
    </w:p>
    <w:p>
      <w:pPr>
        <w:spacing w:line="501" w:lineRule="exact" w:before="0" w:after="0"/>
        <w:jc w:val="both"/>
      </w:pPr>
      <w:r>
        <w:rPr>
          <w:rFonts w:ascii="Times New Roman" w:hAnsi="Times New Roman" w:eastAsia="HY신명조"/>
          <w:b w:val="0"/>
          <w:sz w:val="22"/>
        </w:rPr>
        <w:t xml:space="preserve">   As Table 2-1 shows, studies addressing each individual axis do exist. However, no study was found that estimates per-sensor freshness and quality as an online continuous health score, evaluates per-fault risk grace time together with remaining perception and localization capability to distinguish evacuation from an immediate stop, limits the speed of the evacuation movement to a cap back-calculated from a stopping-distance model, and validates this on a real autonomous-driving stack with pedestrian-encounter experiments whose verdict reliability is secured. The position of this study lies not in new algorithms for individual axes but in an integrated supervisory layer spanning detection through selection and speed, and in its empirical demonstration.</w:t>
      </w:r>
    </w:p>
    <w:p>
      <w:pPr>
        <w:pageBreakBefore/>
        <w:spacing w:line="501" w:lineRule="exact" w:before="0" w:after="0"/>
        <w:jc w:val="center"/>
      </w:pPr>
      <w:r>
        <w:rPr>
          <w:rFonts w:ascii="Times New Roman" w:hAnsi="Times New Roman" w:eastAsia="HY신명조"/>
          <w:b/>
          <w:sz w:val="32"/>
        </w:rPr>
        <w:t>Chapter 3. Proposed System</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System Architecture</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175908"/>
            <wp:docPr id="2" name="Picture 2"/>
            <wp:cNvGraphicFramePr>
              <a:graphicFrameLocks noChangeAspect="1"/>
            </wp:cNvGraphicFramePr>
            <a:graphic>
              <a:graphicData uri="http://schemas.openxmlformats.org/drawingml/2006/picture">
                <pic:pic>
                  <pic:nvPicPr>
                    <pic:cNvPr id="0" name="fig2b_dualchannel.png"/>
                    <pic:cNvPicPr/>
                  </pic:nvPicPr>
                  <pic:blipFill>
                    <a:blip r:embed="rId16"/>
                    <a:stretch>
                      <a:fillRect/>
                    </a:stretch>
                  </pic:blipFill>
                  <pic:spPr>
                    <a:xfrm>
                      <a:off x="0" y="0"/>
                      <a:ext cx="5400000" cy="3175908"/>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3-1. </w:t>
      </w:r>
      <w:r>
        <w:rPr>
          <w:rFonts w:ascii="Times New Roman" w:hAnsi="Times New Roman" w:eastAsia="HY신명조"/>
          <w:b w:val="0"/>
          <w:sz w:val="18"/>
        </w:rPr>
        <w:t>Dual-channel structure of the proposed system. Left: the nominal driving channel of unmodified Autoware 0.39.0 (perception &amp; localization → planning → control); right: the add-on fail-safe channel (figure labels CDR Monitor = cdr_monitor, MRM Supervisor = mrm_supervisor). The monitoring stage subscribes read-only to the sensor topics and produces health/capability scores; the decision stage selects MOVE (evacuate — reroute with a speed cap) or DEFER (defer to the stock stop — inject a diagnostic ERROR) via the dual-threshold check and refuge-candidate search, and while moving re-evaluates rear occupancy and stalling, re-selecting candidates or falling back to DEFER when exhausted (diamond branch). The bottom panel is the closed-loop simulation environment (CARLA), showing the sensor streams, the driving state (mission/MRM), and the refuge-candidate annotations (shoulder and parking-lot map data). Dead-sensor cases are decided through the hard-fail fast path (Chapter 3, Section 5).</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proposed system consists of two independent nodes (Figure 3-1). The monitoring module cdr_monitor inspects each sensor at 10 Hz on a behavior-tree basis (the behavior tree is not an algorithmic contribution but an implementation structure for parallel composition, module replacement, and execution tracing), computing and publishing a per-sensor health score (0–1); the detectors comprise three families: timeout (freshness), quality (noise, valid ratio), and physics (residual, bias). The supervisor mrm_supervisor subscribes to the scores and operates a state machine: for evacuation it changes the route via the Autoware AD API and imposes a speed cap on the planning layer, and for deferral it triggers the stop of the stock mrm_handler through the diagnostic graph. Execution of the stopping maneuver is handled by goal_planner and mrm_handler, and modification of the main stack is minimized by injecting monitoring units into the diagnostic graph.</w:t>
      </w:r>
    </w:p>
    <w:p>
      <w:pPr>
        <w:spacing w:line="501" w:lineRule="exact" w:before="0" w:after="0"/>
        <w:jc w:val="both"/>
      </w:pPr>
      <w:r>
        <w:rPr>
          <w:rFonts w:ascii="Times New Roman" w:hAnsi="Times New Roman" w:eastAsia="HY신명조"/>
          <w:b w:val="0"/>
          <w:sz w:val="22"/>
        </w:rPr>
        <w:t xml:space="preserve">   The reception and evaluation cycles are separated: reception accumulates at each sensor's native rate (LiDAR 20 Hz, IMU 100 Hz, etc.), while evaluation runs at 10 Hz (delay contributed by the evaluation cycle ≤0.1 s). The 100 ms evaluation cycle is consistent with the periodic supervision structure of the AUTOSAR Watchdog Manager [7] and also matches the decision cycle of the Autoware planning layer.</w:t>
      </w:r>
    </w:p>
    <w:p>
      <w:pPr>
        <w:spacing w:line="501" w:lineRule="exact" w:before="0" w:after="0"/>
      </w:pPr>
    </w:p>
    <w:p>
      <w:pPr>
        <w:spacing w:line="501" w:lineRule="exact" w:before="0" w:after="0"/>
      </w:pPr>
      <w:r>
        <w:rPr>
          <w:rFonts w:ascii="Times New Roman" w:hAnsi="Times New Roman" w:eastAsia="HY신명조"/>
          <w:b/>
          <w:sz w:val="28"/>
        </w:rPr>
        <w:t>2. Sensor Scoring</w:t>
      </w:r>
    </w:p>
    <w:p>
      <w:pPr>
        <w:spacing w:line="501" w:lineRule="exact" w:before="0" w:after="0"/>
      </w:pPr>
    </w:p>
    <w:p>
      <w:pPr>
        <w:spacing w:line="501" w:lineRule="exact" w:before="0" w:after="0"/>
      </w:pPr>
      <w:r>
        <w:rPr>
          <w:rFonts w:ascii="Times New Roman" w:hAnsi="Times New Roman" w:eastAsia="HY신명조"/>
          <w:b/>
          <w:sz w:val="22"/>
        </w:rPr>
        <w:t>A. Freshness Score</w:t>
      </w:r>
    </w:p>
    <w:p>
      <w:pPr>
        <w:spacing w:line="501" w:lineRule="exact" w:before="0" w:after="0"/>
        <w:jc w:val="both"/>
      </w:pPr>
      <w:r>
        <w:rPr>
          <w:rFonts w:ascii="Times New Roman" w:hAnsi="Times New Roman" w:eastAsia="HY신명조"/>
          <w:b w:val="0"/>
          <w:sz w:val="22"/>
        </w:rPr>
        <w:t xml:space="preserve">   For the elapsed time age(t) since the last reception,</w:t>
      </w:r>
    </w:p>
    <w:p>
      <w:pPr>
        <w:tabs>
          <w:tab w:pos="8504" w:val="right"/>
        </w:tabs>
        <w:spacing w:line="501" w:lineRule="exact"/>
        <w:ind w:left="567"/>
      </w:pPr>
      <w:r>
        <w:rPr>
          <w:rFonts w:ascii="Times New Roman" w:hAnsi="Times New Roman" w:eastAsia="HY신명조"/>
          <w:b w:val="0"/>
          <w:sz w:val="22"/>
        </w:rPr>
        <w:t>timeout_score = max(0, 1 − age/τ_detect)</w:t>
      </w:r>
      <w:r>
        <w:rPr>
          <w:rFonts w:ascii="Times New Roman" w:hAnsi="Times New Roman" w:eastAsia="HY신명조"/>
          <w:b w:val="0"/>
          <w:sz w:val="22"/>
        </w:rPr>
        <w:tab/>
        <w:t>(3-1)</w:t>
      </w:r>
    </w:p>
    <w:p>
      <w:pPr>
        <w:spacing w:line="501" w:lineRule="exact" w:before="0" w:after="0"/>
        <w:jc w:val="both"/>
      </w:pPr>
      <w:r>
        <w:rPr>
          <w:rFonts w:ascii="Times New Roman" w:hAnsi="Times New Roman" w:eastAsia="HY신명조"/>
          <w:b w:val="0"/>
          <w:sz w:val="22"/>
        </w:rPr>
        <w:t xml:space="preserve">   decays the score linearly. τ_detect is not a detection deadline but the time constant of freshness-score decay, and it is tightened in coupling with driving risk (Section 4). Linear decay is used instead of a step function (0 upon expiry of τ_detect) so that the score can cross the downstream band boundary before it is fully exhausted — under complete silence, the capability score falls below the boundary before τ_detect fully elapses, enabling an early transition. As an auxiliary mechanism, a k-miss rule is employed: if nothing is received for 3 times the moving median of the reception interval, the score is penalized early to a "suspect" stage (consistent with the industry practice of consecutive-miss debouncing).</w:t>
      </w:r>
    </w:p>
    <w:p>
      <w:pPr>
        <w:spacing w:line="501" w:lineRule="exact" w:before="0" w:after="0"/>
      </w:pPr>
      <w:r>
        <w:rPr>
          <w:rFonts w:ascii="Times New Roman" w:hAnsi="Times New Roman" w:eastAsia="HY신명조"/>
          <w:b/>
          <w:sz w:val="22"/>
        </w:rPr>
        <w:t>B. Quality Score</w:t>
      </w:r>
    </w:p>
    <w:p>
      <w:pPr>
        <w:spacing w:line="501" w:lineRule="exact" w:before="0" w:after="0"/>
        <w:jc w:val="both"/>
      </w:pPr>
      <w:r>
        <w:rPr>
          <w:rFonts w:ascii="Times New Roman" w:hAnsi="Times New Roman" w:eastAsia="HY신명조"/>
          <w:b w:val="0"/>
          <w:sz w:val="22"/>
        </w:rPr>
        <w:t xml:space="preserve">   For LiDAR, the standard deviation under a Gaussian assumption is recovered from the mean of the range differences between neighboring points.</w:t>
      </w:r>
    </w:p>
    <w:p>
      <w:pPr>
        <w:tabs>
          <w:tab w:pos="8504" w:val="right"/>
        </w:tabs>
        <w:spacing w:line="501" w:lineRule="exact"/>
        <w:ind w:left="567"/>
      </w:pPr>
      <w:r>
        <w:rPr>
          <w:rFonts w:ascii="Times New Roman" w:hAnsi="Times New Roman" w:eastAsia="HY신명조"/>
          <w:b w:val="0"/>
          <w:sz w:val="22"/>
        </w:rPr>
        <w:t>σ_est = mean(|Δr|) × (√π/2),  using only samples with |Δr| &lt; 1 m</w:t>
      </w:r>
      <w:r>
        <w:rPr>
          <w:rFonts w:ascii="Times New Roman" w:hAnsi="Times New Roman" w:eastAsia="HY신명조"/>
          <w:b w:val="0"/>
          <w:sz w:val="22"/>
        </w:rPr>
        <w:tab/>
        <w:t>(3-2)</w:t>
      </w:r>
    </w:p>
    <w:p>
      <w:pPr>
        <w:spacing w:line="501" w:lineRule="exact" w:before="0" w:after="0"/>
        <w:jc w:val="both"/>
      </w:pPr>
      <w:r>
        <w:rPr>
          <w:rFonts w:ascii="Times New Roman" w:hAnsi="Times New Roman" w:eastAsia="HY신명조"/>
          <w:b w:val="0"/>
          <w:sz w:val="22"/>
        </w:rPr>
        <w:t xml:space="preserve">   (This is the inversion of E|r1−r2| = 2σ/√π; differences exceeding 1 m are excluded as genuine terrain boundaries.) To absorb scene-intrinsic roughness, a baseline is learned during the first 30 frames after boot, but abrupt rises (exceeding 1.5×) are not tracked, preventing the fault itself from becoming the baseline. The score is exp(−max(0, σ_est − base)/0.1) multiplied by a valid (finite) point-ratio score. This metric is not an absolute noise estimator but a relative anomaly score against the baseline. For LiDAR, a CUSUM sequential test (S = max(0, S + excess − k), with a drop when S &gt; h) is run in parallel so that detection delay is inversely proportional to fault magnitude. Camera quality applies the same structure using inter-frame pixel differences, but since pixel difference is a speed-dependent signal that rises naturally with scene motion during driving, the cumulative test is not applied. LiDAR sparsification (reduced point density) is handled by the valid point-ratio channel, and clutter (spurious near-range reflections) by the range-discontinuity channel.</w:t>
      </w:r>
    </w:p>
    <w:p>
      <w:pPr>
        <w:spacing w:line="501" w:lineRule="exact" w:before="0" w:after="0"/>
      </w:pPr>
      <w:r>
        <w:rPr>
          <w:rFonts w:ascii="Times New Roman" w:hAnsi="Times New Roman" w:eastAsia="HY신명조"/>
          <w:b/>
          <w:sz w:val="22"/>
        </w:rPr>
        <w:t>C. Three Localization Channels</w:t>
      </w:r>
    </w:p>
    <w:p>
      <w:pPr>
        <w:spacing w:line="501" w:lineRule="exact" w:before="0" w:after="0"/>
        <w:jc w:val="both"/>
      </w:pPr>
      <w:r>
        <w:rPr>
          <w:rFonts w:ascii="Times New Roman" w:hAnsi="Times New Roman" w:eastAsia="HY신명조"/>
          <w:b w:val="0"/>
          <w:sz w:val="22"/>
        </w:rPr>
        <w:t xml:space="preserve">   Each channel is responsible for a different fault mode. (a) Residual channel: for the distance r between the GNSS measurement and the EKF output, loc_meas = exp(−max(0, r − base − 0.2)/0.55). The static offset between the two coordinate frames is calibrated at boot. It is sensitive to GNSS noise (measurement contamination) and multipath-type correlated bias. (b) Bias channel: the score is penalized when the difference between the 3-second-window mean of the IMU yaw rate and the mean of the EKF yaw rate persists above a threshold for 3 seconds or longer. Normal turning appears in both signals and cancels out, while gyro bias remains only on the IMU side. (c) Silence channel: if GNSS input is interrupted for 1 second or longer while driving, the score is penalized with exponential decay. This compensates for the structural blind spot of the residual channel, which "freezes at the last value when there is no input."</w:t>
      </w:r>
    </w:p>
    <w:p>
      <w:pPr>
        <w:spacing w:line="501" w:lineRule="exact" w:before="0" w:after="0"/>
      </w:pPr>
    </w:p>
    <w:p>
      <w:pPr>
        <w:spacing w:line="501" w:lineRule="exact" w:before="0" w:after="0"/>
      </w:pPr>
      <w:r>
        <w:rPr>
          <w:rFonts w:ascii="Times New Roman" w:hAnsi="Times New Roman" w:eastAsia="HY신명조"/>
          <w:b/>
          <w:sz w:val="28"/>
        </w:rPr>
        <w:t>3. Spatial Sectors and Capability Synthesis</w:t>
      </w:r>
    </w:p>
    <w:p>
      <w:pPr>
        <w:spacing w:line="501" w:lineRule="exact" w:before="0" w:after="0"/>
      </w:pPr>
    </w:p>
    <w:p>
      <w:pPr>
        <w:spacing w:line="501" w:lineRule="exact" w:before="0" w:after="0"/>
        <w:jc w:val="both"/>
      </w:pPr>
      <w:r>
        <w:rPr>
          <w:rFonts w:ascii="Times New Roman" w:hAnsi="Times New Roman" w:eastAsia="HY신명조"/>
          <w:b w:val="0"/>
          <w:sz w:val="22"/>
        </w:rPr>
        <w:t xml:space="preserve">   Sensor scores are mapped to eight directional sectors (F, FL, FR, L, R, RL, RR, B) according to each sensor's mounting direction and field of view, and the sector score is fused in the probabilistic-complement form</w:t>
      </w:r>
    </w:p>
    <w:p>
      <w:pPr>
        <w:tabs>
          <w:tab w:pos="8504" w:val="right"/>
        </w:tabs>
        <w:spacing w:line="501" w:lineRule="exact"/>
        <w:ind w:left="567"/>
      </w:pPr>
      <w:r>
        <w:rPr>
          <w:rFonts w:ascii="Times New Roman" w:hAnsi="Times New Roman" w:eastAsia="HY신명조"/>
          <w:b w:val="0"/>
          <w:sz w:val="22"/>
        </w:rPr>
        <w:t>sector = 1 − Π(1 − si)</w:t>
      </w:r>
      <w:r>
        <w:rPr>
          <w:rFonts w:ascii="Times New Roman" w:hAnsi="Times New Roman" w:eastAsia="HY신명조"/>
          <w:b w:val="0"/>
          <w:sz w:val="22"/>
        </w:rPr>
        <w:tab/>
        <w:t>(3-3)</w:t>
      </w:r>
    </w:p>
    <w:p>
      <w:pPr>
        <w:spacing w:line="501" w:lineRule="exact" w:before="0" w:after="0"/>
        <w:jc w:val="both"/>
      </w:pPr>
      <w:r>
        <w:rPr>
          <w:rFonts w:ascii="Times New Roman" w:hAnsi="Times New Roman" w:eastAsia="HY신명조"/>
          <w:b w:val="0"/>
          <w:sz w:val="22"/>
        </w:rPr>
        <w:t xml:space="preserve">   (the more sensors cover the same sector, the more robust it is). Perception capability takes the sector-weighted sum</w:t>
      </w:r>
    </w:p>
    <w:p>
      <w:pPr>
        <w:tabs>
          <w:tab w:pos="8504" w:val="right"/>
        </w:tabs>
        <w:spacing w:line="501" w:lineRule="exact"/>
        <w:ind w:left="567"/>
      </w:pPr>
      <w:r>
        <w:rPr>
          <w:rFonts w:ascii="Times New Roman" w:hAnsi="Times New Roman" w:eastAsia="HY신명조"/>
          <w:b w:val="0"/>
          <w:sz w:val="22"/>
        </w:rPr>
        <w:t>perception = Σ wk·sectork,  w = {F: 0.30, FL/FR: 0.15, L/R/B: 0.10, RL/RR: 0.05}</w:t>
      </w:r>
      <w:r>
        <w:rPr>
          <w:rFonts w:ascii="Times New Roman" w:hAnsi="Times New Roman" w:eastAsia="HY신명조"/>
          <w:b w:val="0"/>
          <w:sz w:val="22"/>
        </w:rPr>
        <w:tab/>
        <w:t>(3-4)</w:t>
      </w:r>
    </w:p>
    <w:p>
      <w:pPr>
        <w:spacing w:line="501" w:lineRule="exact" w:before="0" w:after="0"/>
        <w:jc w:val="both"/>
      </w:pPr>
      <w:r>
        <w:rPr>
          <w:rFonts w:ascii="Times New Roman" w:hAnsi="Times New Roman" w:eastAsia="HY신명조"/>
          <w:b w:val="0"/>
          <w:sz w:val="22"/>
        </w:rPr>
        <w:t xml:space="preserve">   and combines obstacle perception and traffic-light observability at 0.6:0.4. The system health score is</w:t>
      </w:r>
    </w:p>
    <w:p>
      <w:pPr>
        <w:tabs>
          <w:tab w:pos="8504" w:val="right"/>
        </w:tabs>
        <w:spacing w:line="501" w:lineRule="exact"/>
        <w:ind w:left="567"/>
      </w:pPr>
      <w:r>
        <w:rPr>
          <w:rFonts w:ascii="Times New Roman" w:hAnsi="Times New Roman" w:eastAsia="HY신명조"/>
          <w:b w:val="0"/>
          <w:sz w:val="22"/>
        </w:rPr>
        <w:t>health = min(perception, cap_loc)</w:t>
      </w:r>
      <w:r>
        <w:rPr>
          <w:rFonts w:ascii="Times New Roman" w:hAnsi="Times New Roman" w:eastAsia="HY신명조"/>
          <w:b w:val="0"/>
          <w:sz w:val="22"/>
        </w:rPr>
        <w:tab/>
        <w:t>(3-5)</w:t>
      </w:r>
    </w:p>
    <w:p>
      <w:pPr>
        <w:spacing w:line="501" w:lineRule="exact" w:before="0" w:after="0"/>
        <w:jc w:val="both"/>
      </w:pPr>
      <w:r>
        <w:rPr>
          <w:rFonts w:ascii="Times New Roman" w:hAnsi="Times New Roman" w:eastAsia="HY신명조"/>
          <w:b w:val="0"/>
          <w:sz w:val="22"/>
        </w:rPr>
        <w:t xml:space="preserve">   following the worst of the capabilities (weakest-link principle). cap_loc is the minimum over the physical range check, position jump, and the residual, bias, and silence channels. These localization channels reside in the supervisor process as an implementation matter but belong logically to the monitoring layer; throughout this thesis, "monitoring" denotes this logical layer rather than process placement (the boundary in Figure 3-1 is a logical one). The behavior-tree composition of the monitoring module that executes the above scoring and synthesis pipeline is shown in Figure 3-2.</w:t>
      </w:r>
    </w:p>
    <w:p>
      <w:pPr>
        <w:spacing w:line="501" w:lineRule="exact" w:before="0" w:after="0"/>
      </w:pPr>
    </w:p>
    <w:p>
      <w:pPr>
        <w:spacing w:line="501" w:lineRule="exact" w:before="0" w:after="0"/>
      </w:pPr>
      <w:r>
        <w:rPr>
          <w:rFonts w:ascii="Times New Roman" w:hAnsi="Times New Roman" w:eastAsia="HY신명조"/>
          <w:b/>
          <w:sz w:val="28"/>
        </w:rPr>
        <w:t>4. Risk-Coupled Dynamic Detection Budget</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time constant of freshness-score decay is coupled to driving risk:</w:t>
      </w:r>
    </w:p>
    <w:p>
      <w:pPr>
        <w:tabs>
          <w:tab w:pos="8504" w:val="right"/>
        </w:tabs>
        <w:spacing w:line="501" w:lineRule="exact"/>
        <w:ind w:left="567"/>
      </w:pPr>
      <w:r>
        <w:rPr>
          <w:rFonts w:ascii="Times New Roman" w:hAnsi="Times New Roman" w:eastAsia="HY신명조"/>
          <w:b w:val="0"/>
          <w:sz w:val="22"/>
        </w:rPr>
        <w:t>τ_detect(t) = min(τ_fresh, TTC_cons(t))</w:t>
      </w:r>
      <w:r>
        <w:rPr>
          <w:rFonts w:ascii="Times New Roman" w:hAnsi="Times New Roman" w:eastAsia="HY신명조"/>
          <w:b w:val="0"/>
          <w:sz w:val="22"/>
        </w:rPr>
        <w:tab/>
        <w:t>(3-6)</w:t>
      </w:r>
    </w:p>
    <w:p>
      <w:pPr>
        <w:spacing w:line="501" w:lineRule="exact" w:before="0" w:after="0"/>
        <w:jc w:val="both"/>
      </w:pPr>
      <w:r>
        <w:rPr>
          <w:rFonts w:ascii="Times New Roman" w:hAnsi="Times New Roman" w:eastAsia="HY신명조"/>
          <w:b w:val="0"/>
          <w:sz w:val="22"/>
        </w:rPr>
        <w:t xml:space="preserve">   In Eq. (3-6), τ_fresh and min(·, TTC_cons) constitute the freshness-decay time constant of Eq. (3-1); the implementation tightens the decay as TTC shortens, conservatively strengthening the detection criterion as risk approaches. TTC_cons is the minimum of the nearest-obstacle TTC and the planned-path/predicted-path crossing time, and if the sensor supplying the TTC measurement is unhealthy, a worst-case propagation (fail-conservative hold) is applied that decays the TTC lower bound using the last observed closing speed.</w:t>
      </w:r>
    </w:p>
    <w:p>
      <w:pPr>
        <w:spacing w:line="501" w:lineRule="exact" w:before="0" w:after="0"/>
        <w:jc w:val="both"/>
      </w:pPr>
      <w:r>
        <w:rPr>
          <w:rFonts w:ascii="Times New Roman" w:hAnsi="Times New Roman" w:eastAsia="HY신명조"/>
          <w:b w:val="0"/>
          <w:sz w:val="22"/>
        </w:rPr>
        <w:t xml:space="preserve">   We clarify the relationship to the formal form of the functional-safety time budget. The design intent is the inequality</w:t>
      </w:r>
    </w:p>
    <w:p>
      <w:pPr>
        <w:tabs>
          <w:tab w:pos="8504" w:val="right"/>
        </w:tabs>
        <w:spacing w:line="501" w:lineRule="exact"/>
        <w:ind w:left="567"/>
      </w:pPr>
      <w:r>
        <w:rPr>
          <w:rFonts w:ascii="Times New Roman" w:hAnsi="Times New Roman" w:eastAsia="HY신명조"/>
          <w:b w:val="0"/>
          <w:sz w:val="22"/>
        </w:rPr>
        <w:t>T_detect + T_response + T_margin ≤ T_hazard</w:t>
      </w:r>
      <w:r>
        <w:rPr>
          <w:rFonts w:ascii="Times New Roman" w:hAnsi="Times New Roman" w:eastAsia="HY신명조"/>
          <w:b w:val="0"/>
          <w:sz w:val="22"/>
        </w:rPr>
        <w:tab/>
        <w:t>(3-7)</w:t>
      </w:r>
    </w:p>
    <w:p>
      <w:pPr>
        <w:spacing w:line="501" w:lineRule="exact" w:before="0" w:after="0"/>
        <w:jc w:val="both"/>
      </w:pPr>
      <w:r>
        <w:rPr>
          <w:rFonts w:ascii="Times New Roman" w:hAnsi="Times New Roman" w:eastAsia="HY신명조"/>
          <w:b w:val="0"/>
          <w:sz w:val="22"/>
        </w:rPr>
        <w:t xml:space="preserve">   and, approximating the hazard time T_hazard by the conservative TTC estimate TTC_cons, the strict detection deadline is TTC_cons − FRTI − margin. Rather than explicitly reserving the reaction time (FRTI) and the margin, the current implementation is a risk-adaptive heuristic approximation that strengthens the freshness decay as TTC shortens, and it does not guarantee formal compliance with this deadline. Explicit reservation of FRTI and margin, and verification of their compliance, are left as future formalization work (Chapter 6, Section 6). Since detection of degradation-type (noise) faults is an accumulation of statistical evidence, the requirement is formalized not as a single value but as a severity curve T_detect(σ) ≤ T_hazard(σ): small faults are caught later, but they also become hazardous later.</w:t>
      </w:r>
    </w:p>
    <w:p>
      <w:pPr>
        <w:keepNext/>
        <w:spacing w:line="240" w:lineRule="auto"/>
        <w:jc w:val="center"/>
      </w:pPr>
      <w:r>
        <w:drawing>
          <wp:inline xmlns:a="http://schemas.openxmlformats.org/drawingml/2006/main" xmlns:pic="http://schemas.openxmlformats.org/drawingml/2006/picture">
            <wp:extent cx="5220000" cy="2343836"/>
            <wp:docPr id="3" name="Picture 3"/>
            <wp:cNvGraphicFramePr>
              <a:graphicFrameLocks noChangeAspect="1"/>
            </wp:cNvGraphicFramePr>
            <a:graphic>
              <a:graphicData uri="http://schemas.openxmlformats.org/drawingml/2006/picture">
                <pic:pic>
                  <pic:nvPicPr>
                    <pic:cNvPr id="0" name="fig3_bt.png"/>
                    <pic:cNvPicPr/>
                  </pic:nvPicPr>
                  <pic:blipFill>
                    <a:blip r:embed="rId17"/>
                    <a:stretch>
                      <a:fillRect/>
                    </a:stretch>
                  </pic:blipFill>
                  <pic:spPr>
                    <a:xfrm>
                      <a:off x="0" y="0"/>
                      <a:ext cx="5220000" cy="2343836"/>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3-2. </w:t>
      </w:r>
      <w:r>
        <w:rPr>
          <w:rFonts w:ascii="Times New Roman" w:hAnsi="Times New Roman" w:eastAsia="HY신명조"/>
          <w:b w:val="0"/>
          <w:sz w:val="18"/>
        </w:rPr>
        <w:t>cdr_monitor behavior-tree structure. The root Sequence (→) executes, left to right on every 10 Hz tick, a state-subscription Parallel (⇉), driving-state update, risk-coupled detection-budget computation (τ_detect, Eq. 3-6), a per-sensor inspection Parallel, and score publishing (PublishScores). Each sensor leaf computes freshness (timeout) and quality scores; PublishScores maps sensor scores (freshness × quality) to eight directional sectors, fuses them as 1−Π(1−s), and then computes capability scores (obstacle perception, traffic-light observability, localization) by weighted sum, publishing them to /monitor/scores and /diagnostics (Eqs. 3-3, 3-4). Each box shows only the node name and a summary of its role; the per-leaf quality-channel details (LiDAR CUSUM and valid point ratio, camera pixel difference, IMU bias comparison, GNSS three channels) follow the definitions in Section 2 of this chapter.</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5. MRM Supervisor</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supervisor switches its response using dual thresholds on the health score (upper 0.7, lower 0.3) (Figure 3-3): from NORMAL, falling below the upper threshold triggers evacuation movement (MRM_MOVE); completion of evacuation triggers evacuation parking (MRM_PARKED); and falling to or below the lower threshold, or a collapse of localization confidence, triggers deferral to the stock stop (MRM_DEFER). As safeguards against false activation, it employs a post-boot health check, a route-change non-response watchdog, a candidate-stagnation blacklist, and a creep guard. The selection is not frozen while moving, either — if a rear vehicle keeps occupying the approach during a parking approach or maneuver (within 10 m for 20 s), the parking-lot candidates that require reversing are penalized and re-selection demotes the target to a shoulder stop; movement stalls and route-change non-responses get a bounded number of retries; and candidate exhaustion or a health collapse en route falls back to DEFER (en-route re-evaluation — Figure 3-1).</w:t>
      </w:r>
    </w:p>
    <w:p>
      <w:pPr>
        <w:keepNext/>
        <w:spacing w:line="240" w:lineRule="auto"/>
        <w:jc w:val="center"/>
      </w:pPr>
      <w:r>
        <w:drawing>
          <wp:inline xmlns:a="http://schemas.openxmlformats.org/drawingml/2006/main" xmlns:pic="http://schemas.openxmlformats.org/drawingml/2006/picture">
            <wp:extent cx="5400000" cy="1537892"/>
            <wp:docPr id="4" name="Picture 4"/>
            <wp:cNvGraphicFramePr>
              <a:graphicFrameLocks noChangeAspect="1"/>
            </wp:cNvGraphicFramePr>
            <a:graphic>
              <a:graphicData uri="http://schemas.openxmlformats.org/drawingml/2006/picture">
                <pic:pic>
                  <pic:nvPicPr>
                    <pic:cNvPr id="0" name="tab1_policy.png"/>
                    <pic:cNvPicPr/>
                  </pic:nvPicPr>
                  <pic:blipFill>
                    <a:blip r:embed="rId18"/>
                    <a:stretch>
                      <a:fillRect/>
                    </a:stretch>
                  </pic:blipFill>
                  <pic:spPr>
                    <a:xfrm>
                      <a:off x="0" y="0"/>
                      <a:ext cx="5400000" cy="1537892"/>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3-3. </w:t>
      </w:r>
      <w:r>
        <w:rPr>
          <w:rFonts w:ascii="Times New Roman" w:hAnsi="Times New Roman" w:eastAsia="HY신명조"/>
          <w:b w:val="0"/>
          <w:sz w:val="18"/>
        </w:rPr>
        <w:t>MRM selection policy matrix by monitoring state. The dual thresholds (upper 0.7, lower 0.3) distinguish NORMAL, DEGRADED, and CRITICAL; ● denotes selection according to the cost ordering, ○ a fallback upon movement failure, and × non-selection. A dead sensor goes directly to the degraded stage regardless of the thresholds, and if no reachable candidate exists, the state is demoted to the critical stage and deferred to the stock stop.</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dual thresholds serve both chattering prevention and grade separation; since the decay constants were designed so that a wide insensitive gap lies between the score under fault and the normal score, the behavior is determined by the three-band structure (normal/evacuation/deferral) rather than by the precise placement of the thresholds.</w:t>
      </w:r>
    </w:p>
    <w:p>
      <w:pPr>
        <w:spacing w:line="501" w:lineRule="exact" w:before="0" w:after="0"/>
        <w:jc w:val="both"/>
      </w:pPr>
      <w:r>
        <w:rPr>
          <w:rFonts w:ascii="Times New Roman" w:hAnsi="Times New Roman" w:eastAsia="HY신명조"/>
          <w:b w:val="0"/>
          <w:sz w:val="22"/>
        </w:rPr>
        <w:t xml:space="preserve">   The timing rules for state transitions are split in two according to the nature of the evidence. Degradation-type (noise) faults are statistical evidence and therefore require sustained confirmation: 1.0 s for band entry; 2.0 s at the floor (≤0.3), because deferral is an irreversible terminal decision; and a 5.0 s recovery grace period when, within the band, localization confidence falls short of the movement minimum (0.5) — this prevents the misjudgment of making a terminal decision on an instantaneous value that dips deeper than the settled value immediately after fault onset (measured 0.44 versus settled 0.58), and in a sensitivity check, varying the grace period over 0.5–5.0 s left the results unchanged (gn-mid, 10 repetitions per condition). In contrast, for hard fails (signal loss — confirmed death past the 850 ms freshness deadline), the persistence of silence is itself already accumulated evidence, so the above confirmations are not redundantly applied: once death is confirmed and at least one live sensor remains (simultaneous silence of all sensors is identified and excluded as a simulation frame-freeze artifact), the band confirmation is skipped, and under visibility/candidate conditions where recovery is impossible, deferral is immediate with no grace period or retry. Route costs of evacuation-site candidates are periodically precomputed during normal driving (cycling one candidate every 2 ticks), eliminating selection latency at decision time. As a result, detection and adjudication of hard fails complete within the 1.5 s deadline (measured in Chapter 5, Section 7).</w:t>
      </w:r>
    </w:p>
    <w:p>
      <w:pPr>
        <w:spacing w:line="501" w:lineRule="exact" w:before="0" w:after="0"/>
        <w:jc w:val="both"/>
      </w:pPr>
      <w:r>
        <w:rPr>
          <w:rFonts w:ascii="Times New Roman" w:hAnsi="Times New Roman" w:eastAsia="HY신명조"/>
          <w:b w:val="0"/>
          <w:sz w:val="22"/>
        </w:rPr>
        <w:t xml:space="preserve">   Evacuation-site selection is performed by cost minimization (the candidate layout is shown in Figure 3-4):</w:t>
      </w:r>
    </w:p>
    <w:p>
      <w:pPr>
        <w:tabs>
          <w:tab w:pos="8504" w:val="right"/>
        </w:tabs>
        <w:spacing w:line="501" w:lineRule="exact"/>
        <w:ind w:left="567"/>
      </w:pPr>
      <w:r>
        <w:rPr>
          <w:rFonts w:ascii="Times New Roman" w:hAnsi="Times New Roman" w:eastAsia="HY신명조"/>
          <w:b w:val="0"/>
          <w:sz w:val="22"/>
        </w:rPr>
        <w:t>J(c) = wt·η(c) + wtl·ntl(c)·g(tl) + wsec·Σ(1 − sector_req) + wloc·η(c)·(1 − loc)</w:t>
      </w:r>
      <w:r>
        <w:rPr>
          <w:rFonts w:ascii="Times New Roman" w:hAnsi="Times New Roman" w:eastAsia="HY신명조"/>
          <w:b w:val="0"/>
          <w:sz w:val="22"/>
        </w:rPr>
        <w:tab/>
        <w:t>(3-8)</w:t>
      </w:r>
    </w:p>
    <w:p>
      <w:pPr>
        <w:keepNext/>
        <w:spacing w:line="240" w:lineRule="auto"/>
        <w:jc w:val="center"/>
      </w:pPr>
      <w:r>
        <w:drawing>
          <wp:inline xmlns:a="http://schemas.openxmlformats.org/drawingml/2006/main" xmlns:pic="http://schemas.openxmlformats.org/drawingml/2006/picture">
            <wp:extent cx="3600000" cy="3135484"/>
            <wp:docPr id="5" name="Picture 5"/>
            <wp:cNvGraphicFramePr>
              <a:graphicFrameLocks noChangeAspect="1"/>
            </wp:cNvGraphicFramePr>
            <a:graphic>
              <a:graphicData uri="http://schemas.openxmlformats.org/drawingml/2006/picture">
                <pic:pic>
                  <pic:nvPicPr>
                    <pic:cNvPr id="0" name="fig4_candidates.png"/>
                    <pic:cNvPicPr/>
                  </pic:nvPicPr>
                  <pic:blipFill>
                    <a:blip r:embed="rId19"/>
                    <a:stretch>
                      <a:fillRect/>
                    </a:stretch>
                  </pic:blipFill>
                  <pic:spPr>
                    <a:xfrm>
                      <a:off x="0" y="0"/>
                      <a:ext cx="3600000" cy="3135484"/>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3-4. </w:t>
      </w:r>
      <w:r>
        <w:rPr>
          <w:rFonts w:ascii="Times New Roman" w:hAnsi="Times New Roman" w:eastAsia="HY신명조"/>
          <w:b w:val="0"/>
          <w:sz w:val="18"/>
        </w:rPr>
        <w:t>Town07 evacuation candidate map — 16 shoulder candidates extracted from the vector map (lanelet shapes), 4 parking-lot candidates (polygons), and the reference route (dashed line). Candidate route costs are computed on an in-house road-network graph, and signalized intersections are subject to the observability gate.</w:t>
      </w:r>
    </w:p>
    <w:p>
      <w:pPr>
        <w:spacing w:line="501" w:lineRule="exact" w:before="0" w:after="0"/>
      </w:pPr>
    </w:p>
    <w:p>
      <w:pPr>
        <w:spacing w:line="501" w:lineRule="exact" w:before="0" w:after="0"/>
        <w:jc w:val="both"/>
      </w:pPr>
      <w:r>
        <w:rPr>
          <w:rFonts w:ascii="Times New Roman" w:hAnsi="Times New Roman" w:eastAsia="HY신명조"/>
          <w:b w:val="0"/>
          <w:sz w:val="22"/>
        </w:rPr>
        <w:t xml:space="preserve">   η(c) is the exposure time in the degraded state (route time + expected waiting per traffic light); g(tl) is the traffic-light observability penalty (1/cap_tl − 1), sector_req the sector scores required to approach the candidate, loc the localization confidence, and w∗ the per-term weights — the ISO 26262 view that risk accumulates per unit time, not per unit distance. Route time and traffic-light counts are computed on an in-house road-network graph parsed directly from the map (lanelet2), so that the decision layer operates outside the influence of faults in the main stack; traffic lights are counted by clustering stop-line regulatory elements around intersection centers — the discovery of a defect in the initial implementation, its correction, and the re-run are reported in Chapter 4, Section 3. The traffic-light observability gate is the key safeguard: if no healthy camera can observe the traffic lights on a route, that candidate is excluded with J = ∞, and the source of traffic-light state is selected with awareness of the fault type (V2X when the camera is not faulty; route exclusion takes priority when it is). As additional hard constraints, a minimum approach distance and a minimum shoulder length are imposed, and no claim of precise tuning is made for the absolute weight values (discrimination is dominated by the gate and the approach distance).</w:t>
      </w:r>
    </w:p>
    <w:p>
      <w:pPr>
        <w:spacing w:line="501" w:lineRule="exact" w:before="0" w:after="0"/>
      </w:pPr>
    </w:p>
    <w:p>
      <w:pPr>
        <w:spacing w:line="501" w:lineRule="exact" w:before="0" w:after="0"/>
      </w:pPr>
      <w:r>
        <w:rPr>
          <w:rFonts w:ascii="Times New Roman" w:hAnsi="Times New Roman" w:eastAsia="HY신명조"/>
          <w:b/>
          <w:sz w:val="28"/>
        </w:rPr>
        <w:t>6. Remaining-Capability-Based Conservative Low-Speed MRM Movement (Speed Cap)</w:t>
      </w:r>
    </w:p>
    <w:p>
      <w:pPr>
        <w:spacing w:line="501" w:lineRule="exact" w:before="0" w:after="0"/>
      </w:pPr>
    </w:p>
    <w:p>
      <w:pPr>
        <w:spacing w:line="501" w:lineRule="exact" w:before="0" w:after="0"/>
        <w:jc w:val="both"/>
      </w:pPr>
      <w:r>
        <w:rPr>
          <w:rFonts w:ascii="Times New Roman" w:hAnsi="Times New Roman" w:eastAsia="HY신명조"/>
          <w:b w:val="0"/>
          <w:sz w:val="22"/>
        </w:rPr>
        <w:t xml:space="preserve">   Since evacuation movement is movement under a degraded perception state, the ability to stop upon a dart-out matters more than in normal driving. When an obstacle appears at forward distance D while traveling at initial speed v, the distance required to stop without collision, for reaction time τ and deceleration a, is</w:t>
      </w:r>
    </w:p>
    <w:p>
      <w:pPr>
        <w:tabs>
          <w:tab w:pos="8504" w:val="right"/>
        </w:tabs>
        <w:spacing w:line="501" w:lineRule="exact"/>
        <w:ind w:left="567"/>
      </w:pPr>
      <w:r>
        <w:rPr>
          <w:rFonts w:ascii="Times New Roman" w:hAnsi="Times New Roman" w:eastAsia="HY신명조"/>
          <w:b w:val="0"/>
          <w:sz w:val="22"/>
        </w:rPr>
        <w:t>d_safe(v) = v·τ + v²/(2a) + d_margin ≤ D_avail</w:t>
      </w:r>
      <w:r>
        <w:rPr>
          <w:rFonts w:ascii="Times New Roman" w:hAnsi="Times New Roman" w:eastAsia="HY신명조"/>
          <w:b w:val="0"/>
          <w:sz w:val="22"/>
        </w:rPr>
        <w:tab/>
        <w:t>(3-9)</w:t>
      </w:r>
    </w:p>
    <w:p>
      <w:pPr>
        <w:spacing w:line="501" w:lineRule="exact" w:before="0" w:after="0"/>
        <w:jc w:val="both"/>
      </w:pPr>
      <w:r>
        <w:rPr>
          <w:rFonts w:ascii="Times New Roman" w:hAnsi="Times New Roman" w:eastAsia="HY신명조"/>
          <w:b w:val="0"/>
          <w:sz w:val="22"/>
        </w:rPr>
        <w:t xml:space="preserve">   Here τ≈1.5 s and a≈3.5 m/s² are not independently measured values but nominal lumped values calibrated to reproduce the measured ladder boundary (8–11 m); the formula is therefore a design approximation for selecting the cap policy value, not a predictive model of the safety boundary. In a dedicated braking experiment (fault-free stock stack, a pedestrian appearing 14 m ahead during 4.2 m/s cruise, n=5, physics-tick logs), braking onset lagged the spawn by 0.46±0.08 s and the energy-consistent effective deceleration was 2.87±0.20 m/s² over stopping distances of 4.2–5.8 m — the onset delay is encounter-geometry-dependent (early precautionary braking under long preview versus an effective delay of ≈1.5 s in the 8 m near-boundary regime), so a single (τ, a) pair is a lumped approximation; the agreement with the ladder boundary is a self-consistency check of the calibration, not an independent validation, while the dedicated braking experiment is an independent observation showing that (τ, a) are regime-dependent. In the near-boundary regime, τ≈1.5 s remains the effective hazard-response delay (from pedestrian recognition through planning to brake actuation), validated by the agreement between the measured avoid/collide boundary of the distance ladder (8–11 m) and the model-computed value (8.8 m) (Chapter 5, Section 3). With effective deceleration a≈3.5 m/s², the required distance is 8.82 m for speed-limit driving (v=4.2 m/s) and 5.79 m for v=3.0 m/s (d_margin=0). Upon entering MRM_MOVE, the supervisor imposes a fixed speed cap of 3.0 m/s on the planning layer — a remaining-capability-based conservative fixed cap (enforced upper bound) not coupled to fault severity, which lies below the model-derived upper bound v_max≈3.89 m/s obtained by inverting Eq. (3-9) under nominal parameters for an 8 m dart-out margin — that is, 3.0 m/s is a conservative policy value chosen below the model bound, not an analytical result of the model (d_margin=0; the model underestimates the required distance in the 3.0 m/s regime — prediction 5.79 m versus the measured boundary of 7–8 m, corrected by the measurements of Chapter 5, Section 3) (a health-proportional cap was implemented but unused — Table 4-5). The cap is delivered to the input side of the Autoware velocity-limit arbiter (the cap-candidate topic), and delivery is verified by the measured vehicle speed rather than by publish records — in the campaign runs the explicit cap turned out not to be delivered due to an interface mismatch, which was corrected, and the effect under an actually holding cap is verified in Chapter 5, Section 6.</w:t>
      </w:r>
    </w:p>
    <w:p>
      <w:pPr>
        <w:spacing w:line="501" w:lineRule="exact" w:before="0" w:after="0"/>
      </w:pPr>
    </w:p>
    <w:p>
      <w:pPr>
        <w:spacing w:line="501" w:lineRule="exact" w:before="0" w:after="0"/>
      </w:pPr>
      <w:r>
        <w:rPr>
          <w:rFonts w:ascii="Times New Roman" w:hAnsi="Times New Roman" w:eastAsia="HY신명조"/>
          <w:b/>
          <w:sz w:val="28"/>
        </w:rPr>
        <w:t>7. MRM Candidate Map Annotation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evacuation candidate layer (shoulders and parking lots) was built by manual annotation of road_shoulder/parking_lot subtypes on the lanelet2 map, with the criteria of a minimum shoulder length sufficient to complete the stopping maneuver, mainline connectivity, and consistency between the entry polygon and the goal point. Shoulder candidates are lanelets sharing a boundary line with the mainline and are connected to the route graph; parking-lot candidates are closed polygonal areas. Manual annotation limits the verification scope to the annotated segments (limitations and automatic-extraction alternatives are discussed in Chapter 6).</w:t>
      </w:r>
    </w:p>
    <w:p>
      <w:pPr>
        <w:spacing w:line="501" w:lineRule="exact" w:before="0" w:after="0"/>
      </w:pPr>
    </w:p>
    <w:p>
      <w:pPr>
        <w:spacing w:line="501" w:lineRule="exact" w:before="0" w:after="0"/>
      </w:pPr>
      <w:r>
        <w:rPr>
          <w:rFonts w:ascii="Times New Roman" w:hAnsi="Times New Roman" w:eastAsia="HY신명조"/>
          <w:b/>
          <w:sz w:val="28"/>
        </w:rPr>
        <w:t>8. Boundary and Interface with the Execution Layer</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system's scope of responsibility is detection, decision, candidate selection, and the speed cap ("whether to evacuate, where, when, and how fast"), while execution of the stopping maneuver is delegated to Autoware. In MRM_MOVE, the evacuation goal is delivered via AD API route resetting, and mission_planner's replanning and goal_planner's pull-over maneuver execute it — the shoulder-entry maneuver itself is a stock goal_planner capability and was not modified in this work. In MRM_DEFER, ERROR is injected into the diagnostic graph to trigger the stop of the stock mrm_handler (a boundary established to separate decision from execution).</w:t>
      </w:r>
    </w:p>
    <w:p>
      <w:pPr>
        <w:pageBreakBefore/>
        <w:spacing w:line="501" w:lineRule="exact" w:before="0" w:after="0"/>
        <w:jc w:val="center"/>
      </w:pPr>
      <w:r>
        <w:rPr>
          <w:rFonts w:ascii="Times New Roman" w:hAnsi="Times New Roman" w:eastAsia="HY신명조"/>
          <w:b/>
          <w:sz w:val="32"/>
        </w:rPr>
        <w:t>Chapter 4. Experimental Environment and Design</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Experimental Environment</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experimental stage is a closed-loop environment coupling the CARLA 0.9.16 simulator with Autoware 0.39.0 (Figure 4-1). The integration infrastructure is based on AWCL [52], the Autoware-CARLA leaderboard framework released by the Institute of Automotive Technology at TUM (C++ bridge, vehicle digital twin, scenario runner); CARLA runs on the host, while the bridge, leaderboard, and Autoware run in independent containers. The map is a custom vector map of CARLA Town07 (a low-speed urban/rural mix) annotated with shoulder and parking-lot candidates, the speed limit is 15 km/h (4.2 m/s), and the simulator was fully restarted for every case to block state accumulation and ensure independence between cases (CARLA_RESTART_EVERY=1, Table 4-5).</w:t>
      </w:r>
    </w:p>
    <w:p>
      <w:pPr>
        <w:keepNext/>
        <w:spacing w:line="240" w:lineRule="auto"/>
        <w:jc w:val="center"/>
      </w:pPr>
      <w:r>
        <w:drawing>
          <wp:inline xmlns:a="http://schemas.openxmlformats.org/drawingml/2006/main" xmlns:pic="http://schemas.openxmlformats.org/drawingml/2006/picture">
            <wp:extent cx="5580000" cy="2626529"/>
            <wp:docPr id="6" name="Picture 6"/>
            <wp:cNvGraphicFramePr>
              <a:graphicFrameLocks noChangeAspect="1"/>
            </wp:cNvGraphicFramePr>
            <a:graphic>
              <a:graphicData uri="http://schemas.openxmlformats.org/drawingml/2006/picture">
                <pic:pic>
                  <pic:nvPicPr>
                    <pic:cNvPr id="0" name="fig5_scenes.png"/>
                    <pic:cNvPicPr/>
                  </pic:nvPicPr>
                  <pic:blipFill>
                    <a:blip r:embed="rId20"/>
                    <a:stretch>
                      <a:fillRect/>
                    </a:stretch>
                  </pic:blipFill>
                  <pic:spPr>
                    <a:xfrm>
                      <a:off x="0" y="0"/>
                      <a:ext cx="5580000" cy="2626529"/>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4-1. </w:t>
      </w:r>
      <w:r>
        <w:rPr>
          <w:rFonts w:ascii="Times New Roman" w:hAnsi="Times New Roman" w:eastAsia="HY신명조"/>
          <w:b w:val="0"/>
          <w:sz w:val="18"/>
        </w:rPr>
        <w:t>Representative execution views (captures from actual runs): (a) Town07 driving, (b) RViz perception, (c) candidate-annotated vector map, (d) shoulder evacuation reaching MRC (following traffic passing by), (e) overhead view of parking-lot evacuation MRC, (f) pedestrian dart-out encounter (Chapter 4, Section 4).</w:t>
      </w:r>
    </w:p>
    <w:p>
      <w:pPr>
        <w:spacing w:line="501" w:lineRule="exact" w:before="0" w:after="0"/>
      </w:pPr>
    </w:p>
    <w:p>
      <w:pPr>
        <w:spacing w:line="501" w:lineRule="exact" w:before="0" w:after="0"/>
        <w:jc w:val="both"/>
      </w:pPr>
      <w:r>
        <w:rPr>
          <w:rFonts w:ascii="Times New Roman" w:hAnsi="Times New Roman" w:eastAsia="HY신명조"/>
          <w:b w:val="0"/>
          <w:sz w:val="22"/>
        </w:rPr>
        <w:t xml:space="preserve">   Experiment automation is handled by a common runner, and a case is defined by a combination of {method, fault, severity, traffic, repetition, injection time}. There are three methods: ours (the proposed supervisor), baseline (same detection, deferral to Autoware's stop-type MRM), and mrm-off (non-intervention observation — the monitoring module runs in a passive mode publishing scores only, and the supervisor is a dummy). The reason baseline shares the identical detection with the proposal is to separate the effect of the response strategy from detection performance; the "no detection at all" scenario is provided separately by mrm-off. The runner manages process lifetimes and archives per-case logs to support post-hoc re-adjudication.</w:t>
      </w:r>
    </w:p>
    <w:p>
      <w:pPr>
        <w:spacing w:line="501" w:lineRule="exact" w:before="0" w:after="0"/>
        <w:jc w:val="both"/>
      </w:pPr>
      <w:r>
        <w:rPr>
          <w:rFonts w:ascii="Times New Roman" w:hAnsi="Times New Roman" w:eastAsia="HY신명조"/>
          <w:b w:val="0"/>
          <w:sz w:val="22"/>
        </w:rPr>
        <w:t xml:space="preserve">   An automatic adjudicator based on ROS topic subscription classifies each case's termination into the labels of Table 4-1 and records stop coordinates, lane occupancy, detection latency, distance traveled in the faulted state, and official collision records as CSV. The outcome label is only a first-pass classification for management purposes and is not the basis of safety adjudication — the basis of adjudication and the pitfalls of the labels are specified in Section 5.</w:t>
      </w:r>
    </w:p>
    <w:p>
      <w:pPr>
        <w:keepNext/>
        <w:spacing w:line="312" w:lineRule="auto" w:before="40" w:after="0"/>
      </w:pPr>
      <w:r>
        <w:rPr>
          <w:rFonts w:ascii="Times New Roman" w:hAnsi="Times New Roman" w:eastAsia="HY신명조"/>
          <w:b/>
          <w:sz w:val="18"/>
        </w:rPr>
        <w:t xml:space="preserve">Table 4-1. </w:t>
      </w:r>
      <w:r>
        <w:rPr>
          <w:rFonts w:ascii="Times New Roman" w:hAnsi="Times New Roman" w:eastAsia="HY신명조"/>
          <w:b w:val="0"/>
          <w:sz w:val="18"/>
        </w:rPr>
        <w:t>Termination labels of the runner's automatic adjudicator</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Times New Roman" w:hAnsi="Times New Roman" w:eastAsia="HY신명조"/>
                <w:b/>
                <w:sz w:val="18"/>
              </w:rPr>
              <w:t>Label</w:t>
            </w:r>
          </w:p>
        </w:tc>
        <w:tc>
          <w:tcPr>
            <w:tcW w:type="dxa" w:w="4252"/>
          </w:tcPr>
          <w:p>
            <w:pPr>
              <w:keepNext/>
              <w:spacing w:line="288" w:lineRule="auto" w:before="20" w:after="20"/>
              <w:jc w:val="center"/>
            </w:pPr>
            <w:r/>
            <w:r>
              <w:rPr>
                <w:rFonts w:ascii="Times New Roman" w:hAnsi="Times New Roman" w:eastAsia="HY신명조"/>
                <w:b/>
                <w:sz w:val="18"/>
              </w:rPr>
              <w:t>Meaning</w:t>
            </w:r>
          </w:p>
        </w:tc>
      </w:tr>
      <w:tr>
        <w:trPr>
          <w:cantSplit/>
        </w:trPr>
        <w:tc>
          <w:tcPr>
            <w:tcW w:type="dxa" w:w="4252"/>
          </w:tcPr>
          <w:p>
            <w:pPr>
              <w:keepNext/>
              <w:spacing w:line="288" w:lineRule="auto" w:before="20" w:after="20"/>
              <w:jc w:val="left"/>
            </w:pPr>
            <w:r/>
            <w:r>
              <w:rPr>
                <w:rFonts w:ascii="Times New Roman" w:hAnsi="Times New Roman" w:eastAsia="HY신명조"/>
                <w:b w:val="0"/>
                <w:sz w:val="18"/>
              </w:rPr>
              <w:t>SHOULDER_SUCCESS / PARKED_SUCCESS</w:t>
            </w:r>
          </w:p>
        </w:tc>
        <w:tc>
          <w:tcPr>
            <w:tcW w:type="dxa" w:w="4252"/>
          </w:tcPr>
          <w:p>
            <w:pPr>
              <w:keepNext/>
              <w:spacing w:line="288" w:lineRule="auto" w:before="20" w:after="20"/>
              <w:jc w:val="left"/>
            </w:pPr>
            <w:r/>
            <w:r>
              <w:rPr>
                <w:rFonts w:ascii="Times New Roman" w:hAnsi="Times New Roman" w:eastAsia="HY신명조"/>
                <w:b w:val="0"/>
                <w:sz w:val="18"/>
              </w:rPr>
              <w:t>Shoulder / parking-lot evacuation completed</w:t>
            </w:r>
          </w:p>
        </w:tc>
      </w:tr>
      <w:tr>
        <w:trPr>
          <w:cantSplit/>
        </w:trPr>
        <w:tc>
          <w:tcPr>
            <w:tcW w:type="dxa" w:w="4252"/>
          </w:tcPr>
          <w:p>
            <w:pPr>
              <w:keepNext/>
              <w:spacing w:line="288" w:lineRule="auto" w:before="20" w:after="20"/>
              <w:jc w:val="left"/>
            </w:pPr>
            <w:r/>
            <w:r>
              <w:rPr>
                <w:rFonts w:ascii="Times New Roman" w:hAnsi="Times New Roman" w:eastAsia="HY신명조"/>
                <w:b w:val="0"/>
                <w:sz w:val="18"/>
              </w:rPr>
              <w:t>AW_COMFORTABLE_STOP_DONE / AW_EMERGENCY_STOP_DONE</w:t>
            </w:r>
          </w:p>
        </w:tc>
        <w:tc>
          <w:tcPr>
            <w:tcW w:type="dxa" w:w="4252"/>
          </w:tcPr>
          <w:p>
            <w:pPr>
              <w:keepNext/>
              <w:spacing w:line="288" w:lineRule="auto" w:before="20" w:after="20"/>
              <w:jc w:val="left"/>
            </w:pPr>
            <w:r/>
            <w:r>
              <w:rPr>
                <w:rFonts w:ascii="Times New Roman" w:hAnsi="Times New Roman" w:eastAsia="HY신명조"/>
                <w:b w:val="0"/>
                <w:sz w:val="18"/>
              </w:rPr>
              <w:t>Stock stop-type MRM completed (deferral path)</w:t>
            </w:r>
          </w:p>
        </w:tc>
      </w:tr>
      <w:tr>
        <w:trPr>
          <w:cantSplit/>
        </w:trPr>
        <w:tc>
          <w:tcPr>
            <w:tcW w:type="dxa" w:w="4252"/>
          </w:tcPr>
          <w:p>
            <w:pPr>
              <w:keepNext/>
              <w:spacing w:line="288" w:lineRule="auto" w:before="20" w:after="20"/>
              <w:jc w:val="left"/>
            </w:pPr>
            <w:r/>
            <w:r>
              <w:rPr>
                <w:rFonts w:ascii="Times New Roman" w:hAnsi="Times New Roman" w:eastAsia="HY신명조"/>
                <w:b w:val="0"/>
                <w:sz w:val="18"/>
              </w:rPr>
              <w:t>STUCK_IN_MRM_MOVE</w:t>
            </w:r>
          </w:p>
        </w:tc>
        <w:tc>
          <w:tcPr>
            <w:tcW w:type="dxa" w:w="4252"/>
          </w:tcPr>
          <w:p>
            <w:pPr>
              <w:keepNext/>
              <w:spacing w:line="288" w:lineRule="auto" w:before="20" w:after="20"/>
              <w:jc w:val="left"/>
            </w:pPr>
            <w:r/>
            <w:r>
              <w:rPr>
                <w:rFonts w:ascii="Times New Roman" w:hAnsi="Times New Roman" w:eastAsia="HY신명조"/>
                <w:b w:val="0"/>
                <w:sz w:val="18"/>
              </w:rPr>
              <w:t>Stalled during evacuation movement (time limit)</w:t>
            </w:r>
          </w:p>
        </w:tc>
      </w:tr>
      <w:tr>
        <w:trPr>
          <w:cantSplit/>
        </w:trPr>
        <w:tc>
          <w:tcPr>
            <w:tcW w:type="dxa" w:w="4252"/>
          </w:tcPr>
          <w:p>
            <w:pPr>
              <w:keepNext/>
              <w:spacing w:line="288" w:lineRule="auto" w:before="20" w:after="20"/>
              <w:jc w:val="left"/>
            </w:pPr>
            <w:r/>
            <w:r>
              <w:rPr>
                <w:rFonts w:ascii="Times New Roman" w:hAnsi="Times New Roman" w:eastAsia="HY신명조"/>
                <w:b w:val="0"/>
                <w:sz w:val="18"/>
              </w:rPr>
              <w:t>HAZARD_COLLISION</w:t>
            </w:r>
          </w:p>
        </w:tc>
        <w:tc>
          <w:tcPr>
            <w:tcW w:type="dxa" w:w="4252"/>
          </w:tcPr>
          <w:p>
            <w:pPr>
              <w:keepNext/>
              <w:spacing w:line="288" w:lineRule="auto" w:before="20" w:after="20"/>
              <w:jc w:val="left"/>
            </w:pPr>
            <w:r/>
            <w:r>
              <w:rPr>
                <w:rFonts w:ascii="Times New Roman" w:hAnsi="Times New Roman" w:eastAsia="HY신명조"/>
                <w:b w:val="0"/>
                <w:sz w:val="18"/>
              </w:rPr>
              <w:t>Hazard-event contact (may include endpoint structures — distinguished via the ledger)</w:t>
            </w:r>
          </w:p>
        </w:tc>
      </w:tr>
      <w:tr>
        <w:trPr>
          <w:cantSplit/>
        </w:trPr>
        <w:tc>
          <w:tcPr>
            <w:tcW w:type="dxa" w:w="4252"/>
          </w:tcPr>
          <w:p>
            <w:pPr>
              <w:keepNext/>
              <w:spacing w:line="288" w:lineRule="auto" w:before="20" w:after="20"/>
              <w:jc w:val="left"/>
            </w:pPr>
            <w:r/>
            <w:r>
              <w:rPr>
                <w:rFonts w:ascii="Times New Roman" w:hAnsi="Times New Roman" w:eastAsia="HY신명조"/>
                <w:b w:val="0"/>
                <w:sz w:val="18"/>
              </w:rPr>
              <w:t>HAZARD_STOPPED</w:t>
            </w:r>
          </w:p>
        </w:tc>
        <w:tc>
          <w:tcPr>
            <w:tcW w:type="dxa" w:w="4252"/>
          </w:tcPr>
          <w:p>
            <w:pPr>
              <w:keepNext/>
              <w:spacing w:line="288" w:lineRule="auto" w:before="20" w:after="20"/>
              <w:jc w:val="left"/>
            </w:pPr>
            <w:r/>
            <w:r>
              <w:rPr>
                <w:rFonts w:ascii="Times New Roman" w:hAnsi="Times New Roman" w:eastAsia="HY신명조"/>
                <w:b w:val="0"/>
                <w:sz w:val="18"/>
              </w:rPr>
              <w:t>Stopped in a hazardous state for 60 s or more (may include post-collision stops)</w:t>
            </w:r>
          </w:p>
        </w:tc>
      </w:tr>
      <w:tr>
        <w:trPr>
          <w:cantSplit/>
        </w:trPr>
        <w:tc>
          <w:tcPr>
            <w:tcW w:type="dxa" w:w="4252"/>
          </w:tcPr>
          <w:p>
            <w:pPr>
              <w:keepNext/>
              <w:spacing w:line="288" w:lineRule="auto" w:before="20" w:after="20"/>
              <w:jc w:val="left"/>
            </w:pPr>
            <w:r/>
            <w:r>
              <w:rPr>
                <w:rFonts w:ascii="Times New Roman" w:hAnsi="Times New Roman" w:eastAsia="HY신명조"/>
                <w:b w:val="0"/>
                <w:sz w:val="18"/>
              </w:rPr>
              <w:t>HAZARD_SURVIVED</w:t>
            </w:r>
          </w:p>
        </w:tc>
        <w:tc>
          <w:tcPr>
            <w:tcW w:type="dxa" w:w="4252"/>
          </w:tcPr>
          <w:p>
            <w:pPr>
              <w:keepNext/>
              <w:spacing w:line="288" w:lineRule="auto" w:before="20" w:after="20"/>
              <w:jc w:val="left"/>
            </w:pPr>
            <w:r/>
            <w:r>
              <w:rPr>
                <w:rFonts w:ascii="Times New Roman" w:hAnsi="Times New Roman" w:eastAsia="HY신명조"/>
                <w:b w:val="0"/>
                <w:sz w:val="18"/>
              </w:rPr>
              <w:t>Persisted 360 s after the fault without incident</w:t>
            </w:r>
          </w:p>
        </w:tc>
      </w:tr>
      <w:tr>
        <w:trPr>
          <w:cantSplit/>
        </w:trPr>
        <w:tc>
          <w:tcPr>
            <w:tcW w:type="dxa" w:w="4252"/>
          </w:tcPr>
          <w:p>
            <w:pPr>
              <w:spacing w:line="288" w:lineRule="auto" w:before="20" w:after="20"/>
              <w:jc w:val="left"/>
            </w:pPr>
            <w:r/>
            <w:r>
              <w:rPr>
                <w:rFonts w:ascii="Times New Roman" w:hAnsi="Times New Roman" w:eastAsia="HY신명조"/>
                <w:b w:val="0"/>
                <w:sz w:val="18"/>
              </w:rPr>
              <w:t>CARLA_DIED / TIMEOUT</w:t>
            </w:r>
          </w:p>
        </w:tc>
        <w:tc>
          <w:tcPr>
            <w:tcW w:type="dxa" w:w="4252"/>
          </w:tcPr>
          <w:p>
            <w:pPr>
              <w:spacing w:line="288" w:lineRule="auto" w:before="20" w:after="20"/>
              <w:jc w:val="left"/>
            </w:pPr>
            <w:r/>
            <w:r>
              <w:rPr>
                <w:rFonts w:ascii="Times New Roman" w:hAnsi="Times New Roman" w:eastAsia="HY신명조"/>
                <w:b w:val="0"/>
                <w:sz w:val="18"/>
              </w:rPr>
              <w:t>Infrastructure failure (re-collected via the retry chain)</w:t>
            </w:r>
          </w:p>
        </w:tc>
      </w:tr>
    </w:tbl>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2. Fault Model</w:t>
      </w:r>
    </w:p>
    <w:p>
      <w:pPr>
        <w:spacing w:line="501" w:lineRule="exact" w:before="0" w:after="0"/>
      </w:pPr>
    </w:p>
    <w:p>
      <w:pPr>
        <w:spacing w:line="501" w:lineRule="exact" w:before="0" w:after="0"/>
        <w:jc w:val="both"/>
      </w:pPr>
      <w:r>
        <w:rPr>
          <w:rFonts w:ascii="Times New Roman" w:hAnsi="Times New Roman" w:eastAsia="HY신명조"/>
          <w:b w:val="0"/>
          <w:sz w:val="22"/>
        </w:rPr>
        <w:t xml:space="preserve">   Faults are injected inside the agent's sensor pipeline (Table 4-2 — the reference literature and physical models are specified in the table's injection-method column). The simple Gaussian range noise of the initial version (ln) was retired because its correspondence to real fault modes was weak, and it was replaced with two physical models (lso and lcl). The injection time is drawn from a deterministic seed derived from the case key and is thus reproducible; in the encounter experiments, even the fault-waveform random numbers were fixed by seed (FAULT_SEED) so that the compared conditions of the same seed experience an identical fault realization. The sensor-level effect of each fault is illustrated in Figure 4-2.</w:t>
      </w:r>
    </w:p>
    <w:p>
      <w:pPr>
        <w:keepNext/>
        <w:spacing w:line="312" w:lineRule="auto" w:before="40" w:after="0"/>
      </w:pPr>
      <w:r>
        <w:rPr>
          <w:rFonts w:ascii="Times New Roman" w:hAnsi="Times New Roman" w:eastAsia="HY신명조"/>
          <w:b/>
          <w:sz w:val="18"/>
        </w:rPr>
        <w:t xml:space="preserve">Table 4-2. </w:t>
      </w:r>
      <w:r>
        <w:rPr>
          <w:rFonts w:ascii="Times New Roman" w:hAnsi="Times New Roman" w:eastAsia="HY신명조"/>
          <w:b w:val="0"/>
          <w:sz w:val="18"/>
        </w:rPr>
        <w:t>Fault model (v4.6)</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Abbrev.</w:t>
            </w:r>
          </w:p>
        </w:tc>
        <w:tc>
          <w:tcPr>
            <w:tcW w:type="dxa" w:w="2126"/>
          </w:tcPr>
          <w:p>
            <w:pPr>
              <w:keepNext/>
              <w:spacing w:line="288" w:lineRule="auto" w:before="20" w:after="20"/>
              <w:jc w:val="center"/>
            </w:pPr>
            <w:r/>
            <w:r>
              <w:rPr>
                <w:rFonts w:ascii="Times New Roman" w:hAnsi="Times New Roman" w:eastAsia="HY신명조"/>
                <w:b/>
                <w:sz w:val="18"/>
              </w:rPr>
              <w:t>Fault</w:t>
            </w:r>
          </w:p>
        </w:tc>
        <w:tc>
          <w:tcPr>
            <w:tcW w:type="dxa" w:w="2126"/>
          </w:tcPr>
          <w:p>
            <w:pPr>
              <w:keepNext/>
              <w:spacing w:line="288" w:lineRule="auto" w:before="20" w:after="20"/>
              <w:jc w:val="center"/>
            </w:pPr>
            <w:r/>
            <w:r>
              <w:rPr>
                <w:rFonts w:ascii="Times New Roman" w:hAnsi="Times New Roman" w:eastAsia="HY신명조"/>
                <w:b/>
                <w:sz w:val="18"/>
              </w:rPr>
              <w:t>Injection method</w:t>
            </w:r>
          </w:p>
        </w:tc>
        <w:tc>
          <w:tcPr>
            <w:tcW w:type="dxa" w:w="2126"/>
          </w:tcPr>
          <w:p>
            <w:pPr>
              <w:keepNext/>
              <w:spacing w:line="288" w:lineRule="auto" w:before="20" w:after="20"/>
              <w:jc w:val="center"/>
            </w:pPr>
            <w:r/>
            <w:r>
              <w:rPr>
                <w:rFonts w:ascii="Times New Roman" w:hAnsi="Times New Roman" w:eastAsia="HY신명조"/>
                <w:b/>
                <w:sz w:val="18"/>
              </w:rPr>
              <w:t>Severity</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cf</w:t>
            </w:r>
          </w:p>
        </w:tc>
        <w:tc>
          <w:tcPr>
            <w:tcW w:type="dxa" w:w="2126"/>
          </w:tcPr>
          <w:p>
            <w:pPr>
              <w:keepNext/>
              <w:spacing w:line="288" w:lineRule="auto" w:before="20" w:after="20"/>
              <w:jc w:val="left"/>
            </w:pPr>
            <w:r/>
            <w:r>
              <w:rPr>
                <w:rFonts w:ascii="Times New Roman" w:hAnsi="Times New Roman" w:eastAsia="HY신명조"/>
                <w:b w:val="0"/>
                <w:sz w:val="18"/>
              </w:rPr>
              <w:t>Camera death</w:t>
            </w:r>
          </w:p>
        </w:tc>
        <w:tc>
          <w:tcPr>
            <w:tcW w:type="dxa" w:w="2126"/>
          </w:tcPr>
          <w:p>
            <w:pPr>
              <w:keepNext/>
              <w:spacing w:line="288" w:lineRule="auto" w:before="20" w:after="20"/>
              <w:jc w:val="left"/>
            </w:pPr>
            <w:r/>
            <w:r>
              <w:rPr>
                <w:rFonts w:ascii="Times New Roman" w:hAnsi="Times New Roman" w:eastAsia="HY신명조"/>
                <w:b w:val="0"/>
                <w:sz w:val="18"/>
              </w:rPr>
              <w:t>Frame transmission halted</w:t>
            </w:r>
          </w:p>
        </w:tc>
        <w:tc>
          <w:tcPr>
            <w:tcW w:type="dxa" w:w="2126"/>
          </w:tcPr>
          <w:p>
            <w:pPr>
              <w:keepNext/>
              <w:spacing w:line="288" w:lineRule="auto" w:before="20" w:after="20"/>
              <w:jc w:val="left"/>
            </w:pPr>
            <w:r/>
            <w:r>
              <w:rPr>
                <w:rFonts w:ascii="Times New Roman" w:hAnsi="Times New Roman" w:eastAsia="HY신명조"/>
                <w:b w:val="0"/>
                <w:sz w:val="18"/>
              </w:rPr>
              <w:t>-</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cn</w:t>
            </w:r>
          </w:p>
        </w:tc>
        <w:tc>
          <w:tcPr>
            <w:tcW w:type="dxa" w:w="2126"/>
          </w:tcPr>
          <w:p>
            <w:pPr>
              <w:keepNext/>
              <w:spacing w:line="288" w:lineRule="auto" w:before="20" w:after="20"/>
              <w:jc w:val="left"/>
            </w:pPr>
            <w:r/>
            <w:r>
              <w:rPr>
                <w:rFonts w:ascii="Times New Roman" w:hAnsi="Times New Roman" w:eastAsia="HY신명조"/>
                <w:b w:val="0"/>
                <w:sz w:val="18"/>
              </w:rPr>
              <w:t>Camera noise</w:t>
            </w:r>
          </w:p>
        </w:tc>
        <w:tc>
          <w:tcPr>
            <w:tcW w:type="dxa" w:w="2126"/>
          </w:tcPr>
          <w:p>
            <w:pPr>
              <w:keepNext/>
              <w:spacing w:line="288" w:lineRule="auto" w:before="20" w:after="20"/>
              <w:jc w:val="left"/>
            </w:pPr>
            <w:r/>
            <w:r>
              <w:rPr>
                <w:rFonts w:ascii="Times New Roman" w:hAnsi="Times New Roman" w:eastAsia="HY신명조"/>
                <w:b w:val="0"/>
                <w:sz w:val="18"/>
              </w:rPr>
              <w:t>Gaussian pixel noise</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lf</w:t>
            </w:r>
          </w:p>
        </w:tc>
        <w:tc>
          <w:tcPr>
            <w:tcW w:type="dxa" w:w="2126"/>
          </w:tcPr>
          <w:p>
            <w:pPr>
              <w:keepNext/>
              <w:spacing w:line="288" w:lineRule="auto" w:before="20" w:after="20"/>
              <w:jc w:val="left"/>
            </w:pPr>
            <w:r/>
            <w:r>
              <w:rPr>
                <w:rFonts w:ascii="Times New Roman" w:hAnsi="Times New Roman" w:eastAsia="HY신명조"/>
                <w:b w:val="0"/>
                <w:sz w:val="18"/>
              </w:rPr>
              <w:t>LiDAR death</w:t>
            </w:r>
          </w:p>
        </w:tc>
        <w:tc>
          <w:tcPr>
            <w:tcW w:type="dxa" w:w="2126"/>
          </w:tcPr>
          <w:p>
            <w:pPr>
              <w:keepNext/>
              <w:spacing w:line="288" w:lineRule="auto" w:before="20" w:after="20"/>
              <w:jc w:val="left"/>
            </w:pPr>
            <w:r/>
            <w:r>
              <w:rPr>
                <w:rFonts w:ascii="Times New Roman" w:hAnsi="Times New Roman" w:eastAsia="HY신명조"/>
                <w:b w:val="0"/>
                <w:sz w:val="18"/>
              </w:rPr>
              <w:t>Point-cloud transmission halted</w:t>
            </w:r>
          </w:p>
        </w:tc>
        <w:tc>
          <w:tcPr>
            <w:tcW w:type="dxa" w:w="2126"/>
          </w:tcPr>
          <w:p>
            <w:pPr>
              <w:keepNext/>
              <w:spacing w:line="288" w:lineRule="auto" w:before="20" w:after="20"/>
              <w:jc w:val="left"/>
            </w:pPr>
            <w:r/>
            <w:r>
              <w:rPr>
                <w:rFonts w:ascii="Times New Roman" w:hAnsi="Times New Roman" w:eastAsia="HY신명조"/>
                <w:b w:val="0"/>
                <w:sz w:val="18"/>
              </w:rPr>
              <w:t>-</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lso</w:t>
            </w:r>
          </w:p>
        </w:tc>
        <w:tc>
          <w:tcPr>
            <w:tcW w:type="dxa" w:w="2126"/>
          </w:tcPr>
          <w:p>
            <w:pPr>
              <w:keepNext/>
              <w:spacing w:line="288" w:lineRule="auto" w:before="20" w:after="20"/>
              <w:jc w:val="left"/>
            </w:pPr>
            <w:r/>
            <w:r>
              <w:rPr>
                <w:rFonts w:ascii="Times New Roman" w:hAnsi="Times New Roman" w:eastAsia="HY신명조"/>
                <w:b w:val="0"/>
                <w:sz w:val="18"/>
              </w:rPr>
              <w:t>LiDAR sparsification</w:t>
            </w:r>
          </w:p>
        </w:tc>
        <w:tc>
          <w:tcPr>
            <w:tcW w:type="dxa" w:w="2126"/>
          </w:tcPr>
          <w:p>
            <w:pPr>
              <w:keepNext/>
              <w:spacing w:line="288" w:lineRule="auto" w:before="20" w:after="20"/>
              <w:jc w:val="left"/>
            </w:pPr>
            <w:r/>
            <w:r>
              <w:rPr>
                <w:rFonts w:ascii="Times New Roman" w:hAnsi="Times New Roman" w:eastAsia="HY신명조"/>
                <w:b w:val="0"/>
                <w:sz w:val="18"/>
              </w:rPr>
              <w:t>Contamination-type point dropout (physical model [55])</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lcl</w:t>
            </w:r>
          </w:p>
        </w:tc>
        <w:tc>
          <w:tcPr>
            <w:tcW w:type="dxa" w:w="2126"/>
          </w:tcPr>
          <w:p>
            <w:pPr>
              <w:keepNext/>
              <w:spacing w:line="288" w:lineRule="auto" w:before="20" w:after="20"/>
              <w:jc w:val="left"/>
            </w:pPr>
            <w:r/>
            <w:r>
              <w:rPr>
                <w:rFonts w:ascii="Times New Roman" w:hAnsi="Times New Roman" w:eastAsia="HY신명조"/>
                <w:b w:val="0"/>
                <w:sz w:val="18"/>
              </w:rPr>
              <w:t>LiDAR clutter</w:t>
            </w:r>
          </w:p>
        </w:tc>
        <w:tc>
          <w:tcPr>
            <w:tcW w:type="dxa" w:w="2126"/>
          </w:tcPr>
          <w:p>
            <w:pPr>
              <w:keepNext/>
              <w:spacing w:line="288" w:lineRule="auto" w:before="20" w:after="20"/>
              <w:jc w:val="left"/>
            </w:pPr>
            <w:r/>
            <w:r>
              <w:rPr>
                <w:rFonts w:ascii="Times New Roman" w:hAnsi="Times New Roman" w:eastAsia="HY신명조"/>
                <w:b w:val="0"/>
                <w:sz w:val="18"/>
              </w:rPr>
              <w:t>Rain-scattering-type spurious returns (physical model [53][54])</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gn</w:t>
            </w:r>
          </w:p>
        </w:tc>
        <w:tc>
          <w:tcPr>
            <w:tcW w:type="dxa" w:w="2126"/>
          </w:tcPr>
          <w:p>
            <w:pPr>
              <w:keepNext/>
              <w:spacing w:line="288" w:lineRule="auto" w:before="20" w:after="20"/>
              <w:jc w:val="left"/>
            </w:pPr>
            <w:r/>
            <w:r>
              <w:rPr>
                <w:rFonts w:ascii="Times New Roman" w:hAnsi="Times New Roman" w:eastAsia="HY신명조"/>
                <w:b w:val="0"/>
                <w:sz w:val="18"/>
              </w:rPr>
              <w:t>GNSS position noise</w:t>
            </w:r>
          </w:p>
        </w:tc>
        <w:tc>
          <w:tcPr>
            <w:tcW w:type="dxa" w:w="2126"/>
          </w:tcPr>
          <w:p>
            <w:pPr>
              <w:keepNext/>
              <w:spacing w:line="288" w:lineRule="auto" w:before="20" w:after="20"/>
              <w:jc w:val="left"/>
            </w:pPr>
            <w:r/>
            <w:r>
              <w:rPr>
                <w:rFonts w:ascii="Times New Roman" w:hAnsi="Times New Roman" w:eastAsia="HY신명조"/>
                <w:b w:val="0"/>
                <w:sz w:val="18"/>
              </w:rPr>
              <w:t>Gaussian position noise (EKF input contamination)</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gb</w:t>
            </w:r>
          </w:p>
        </w:tc>
        <w:tc>
          <w:tcPr>
            <w:tcW w:type="dxa" w:w="2126"/>
          </w:tcPr>
          <w:p>
            <w:pPr>
              <w:keepNext/>
              <w:spacing w:line="288" w:lineRule="auto" w:before="20" w:after="20"/>
              <w:jc w:val="left"/>
            </w:pPr>
            <w:r/>
            <w:r>
              <w:rPr>
                <w:rFonts w:ascii="Times New Roman" w:hAnsi="Times New Roman" w:eastAsia="HY신명조"/>
                <w:b w:val="0"/>
                <w:sz w:val="18"/>
              </w:rPr>
              <w:t>GNSS correlated bias</w:t>
            </w:r>
          </w:p>
        </w:tc>
        <w:tc>
          <w:tcPr>
            <w:tcW w:type="dxa" w:w="2126"/>
          </w:tcPr>
          <w:p>
            <w:pPr>
              <w:keepNext/>
              <w:spacing w:line="288" w:lineRule="auto" w:before="20" w:after="20"/>
              <w:jc w:val="left"/>
            </w:pPr>
            <w:r/>
            <w:r>
              <w:rPr>
                <w:rFonts w:ascii="Times New Roman" w:hAnsi="Times New Roman" w:eastAsia="HY신명조"/>
                <w:b w:val="0"/>
                <w:sz w:val="18"/>
              </w:rPr>
              <w:t>First-order Gauss-Markov bias (multipath-type [61])</w:t>
            </w:r>
          </w:p>
        </w:tc>
        <w:tc>
          <w:tcPr>
            <w:tcW w:type="dxa" w:w="2126"/>
          </w:tcPr>
          <w:p>
            <w:pPr>
              <w:keepNext/>
              <w:spacing w:line="288" w:lineRule="auto" w:before="20" w:after="20"/>
              <w:jc w:val="left"/>
            </w:pPr>
            <w:r/>
            <w:r>
              <w:rPr>
                <w:rFonts w:ascii="Times New Roman" w:hAnsi="Times New Roman" w:eastAsia="HY신명조"/>
                <w:b w:val="0"/>
                <w:sz w:val="18"/>
              </w:rPr>
              <w:t>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imn</w:t>
            </w:r>
          </w:p>
        </w:tc>
        <w:tc>
          <w:tcPr>
            <w:tcW w:type="dxa" w:w="2126"/>
          </w:tcPr>
          <w:p>
            <w:pPr>
              <w:keepNext/>
              <w:spacing w:line="288" w:lineRule="auto" w:before="20" w:after="20"/>
              <w:jc w:val="left"/>
            </w:pPr>
            <w:r/>
            <w:r>
              <w:rPr>
                <w:rFonts w:ascii="Times New Roman" w:hAnsi="Times New Roman" w:eastAsia="HY신명조"/>
                <w:b w:val="0"/>
                <w:sz w:val="18"/>
              </w:rPr>
              <w:t>IMU noise</w:t>
            </w:r>
          </w:p>
        </w:tc>
        <w:tc>
          <w:tcPr>
            <w:tcW w:type="dxa" w:w="2126"/>
          </w:tcPr>
          <w:p>
            <w:pPr>
              <w:keepNext/>
              <w:spacing w:line="288" w:lineRule="auto" w:before="20" w:after="20"/>
              <w:jc w:val="left"/>
            </w:pPr>
            <w:r/>
            <w:r>
              <w:rPr>
                <w:rFonts w:ascii="Times New Roman" w:hAnsi="Times New Roman" w:eastAsia="HY신명조"/>
                <w:b w:val="0"/>
                <w:sz w:val="18"/>
              </w:rPr>
              <w:t>Gyro white noise</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imb</w:t>
            </w:r>
          </w:p>
        </w:tc>
        <w:tc>
          <w:tcPr>
            <w:tcW w:type="dxa" w:w="2126"/>
          </w:tcPr>
          <w:p>
            <w:pPr>
              <w:keepNext/>
              <w:spacing w:line="288" w:lineRule="auto" w:before="20" w:after="20"/>
              <w:jc w:val="left"/>
            </w:pPr>
            <w:r/>
            <w:r>
              <w:rPr>
                <w:rFonts w:ascii="Times New Roman" w:hAnsi="Times New Roman" w:eastAsia="HY신명조"/>
                <w:b w:val="0"/>
                <w:sz w:val="18"/>
              </w:rPr>
              <w:t>IMU gyro bias</w:t>
            </w:r>
          </w:p>
        </w:tc>
        <w:tc>
          <w:tcPr>
            <w:tcW w:type="dxa" w:w="2126"/>
          </w:tcPr>
          <w:p>
            <w:pPr>
              <w:keepNext/>
              <w:spacing w:line="288" w:lineRule="auto" w:before="20" w:after="20"/>
              <w:jc w:val="left"/>
            </w:pPr>
            <w:r/>
            <w:r>
              <w:rPr>
                <w:rFonts w:ascii="Times New Roman" w:hAnsi="Times New Roman" w:eastAsia="HY신명조"/>
                <w:b w:val="0"/>
                <w:sz w:val="18"/>
              </w:rPr>
              <w:t>Step-type constant bias</w:t>
            </w:r>
          </w:p>
        </w:tc>
        <w:tc>
          <w:tcPr>
            <w:tcW w:type="dxa" w:w="2126"/>
          </w:tcPr>
          <w:p>
            <w:pPr>
              <w:keepNext/>
              <w:spacing w:line="288" w:lineRule="auto" w:before="20" w:after="20"/>
              <w:jc w:val="left"/>
            </w:pPr>
            <w:r/>
            <w:r>
              <w:rPr>
                <w:rFonts w:ascii="Times New Roman" w:hAnsi="Times New Roman" w:eastAsia="HY신명조"/>
                <w:b w:val="0"/>
                <w:sz w:val="18"/>
              </w:rPr>
              <w:t>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imd</w:t>
            </w:r>
          </w:p>
        </w:tc>
        <w:tc>
          <w:tcPr>
            <w:tcW w:type="dxa" w:w="2126"/>
          </w:tcPr>
          <w:p>
            <w:pPr>
              <w:keepNext/>
              <w:spacing w:line="288" w:lineRule="auto" w:before="20" w:after="20"/>
              <w:jc w:val="left"/>
            </w:pPr>
            <w:r/>
            <w:r>
              <w:rPr>
                <w:rFonts w:ascii="Times New Roman" w:hAnsi="Times New Roman" w:eastAsia="HY신명조"/>
                <w:b w:val="0"/>
                <w:sz w:val="18"/>
              </w:rPr>
              <w:t>IMU bias drift</w:t>
            </w:r>
          </w:p>
        </w:tc>
        <w:tc>
          <w:tcPr>
            <w:tcW w:type="dxa" w:w="2126"/>
          </w:tcPr>
          <w:p>
            <w:pPr>
              <w:keepNext/>
              <w:spacing w:line="288" w:lineRule="auto" w:before="20" w:after="20"/>
              <w:jc w:val="left"/>
            </w:pPr>
            <w:r/>
            <w:r>
              <w:rPr>
                <w:rFonts w:ascii="Times New Roman" w:hAnsi="Times New Roman" w:eastAsia="HY신명조"/>
                <w:b w:val="0"/>
                <w:sz w:val="18"/>
              </w:rPr>
              <w:t>Time-proportional ramp</w:t>
            </w:r>
          </w:p>
        </w:tc>
        <w:tc>
          <w:tcPr>
            <w:tcW w:type="dxa" w:w="2126"/>
          </w:tcPr>
          <w:p>
            <w:pPr>
              <w:keepNext/>
              <w:spacing w:line="288" w:lineRule="auto" w:before="20" w:after="20"/>
              <w:jc w:val="left"/>
            </w:pPr>
            <w:r/>
            <w:r>
              <w:rPr>
                <w:rFonts w:ascii="Times New Roman" w:hAnsi="Times New Roman" w:eastAsia="HY신명조"/>
                <w:b w:val="0"/>
                <w:sz w:val="18"/>
              </w:rPr>
              <w:t>mid/high</w:t>
            </w:r>
          </w:p>
        </w:tc>
      </w:tr>
      <w:tr>
        <w:trPr>
          <w:cantSplit/>
        </w:trPr>
        <w:tc>
          <w:tcPr>
            <w:tcW w:type="dxa" w:w="2126"/>
          </w:tcPr>
          <w:p>
            <w:pPr>
              <w:spacing w:line="288" w:lineRule="auto" w:before="20" w:after="20"/>
              <w:jc w:val="left"/>
            </w:pPr>
            <w:r/>
            <w:r>
              <w:rPr>
                <w:rFonts w:ascii="Times New Roman" w:hAnsi="Times New Roman" w:eastAsia="HY신명조"/>
                <w:b w:val="0"/>
                <w:sz w:val="18"/>
              </w:rPr>
              <w:t>gf</w:t>
            </w:r>
          </w:p>
        </w:tc>
        <w:tc>
          <w:tcPr>
            <w:tcW w:type="dxa" w:w="2126"/>
          </w:tcPr>
          <w:p>
            <w:pPr>
              <w:spacing w:line="288" w:lineRule="auto" w:before="20" w:after="20"/>
              <w:jc w:val="left"/>
            </w:pPr>
            <w:r/>
            <w:r>
              <w:rPr>
                <w:rFonts w:ascii="Times New Roman" w:hAnsi="Times New Roman" w:eastAsia="HY신명조"/>
                <w:b w:val="0"/>
                <w:sz w:val="18"/>
              </w:rPr>
              <w:t>GNSS outage</w:t>
            </w:r>
          </w:p>
        </w:tc>
        <w:tc>
          <w:tcPr>
            <w:tcW w:type="dxa" w:w="2126"/>
          </w:tcPr>
          <w:p>
            <w:pPr>
              <w:spacing w:line="288" w:lineRule="auto" w:before="20" w:after="20"/>
              <w:jc w:val="left"/>
            </w:pPr>
            <w:r/>
            <w:r>
              <w:rPr>
                <w:rFonts w:ascii="Times New Roman" w:hAnsi="Times New Roman" w:eastAsia="HY신명조"/>
                <w:b w:val="0"/>
                <w:sz w:val="18"/>
              </w:rPr>
              <w:t>Input silence</w:t>
            </w:r>
          </w:p>
        </w:tc>
        <w:tc>
          <w:tcPr>
            <w:tcW w:type="dxa" w:w="2126"/>
          </w:tcPr>
          <w:p>
            <w:pPr>
              <w:spacing w:line="288" w:lineRule="auto" w:before="20" w:after="20"/>
              <w:jc w:val="left"/>
            </w:pPr>
            <w:r/>
            <w:r>
              <w:rPr>
                <w:rFonts w:ascii="Times New Roman" w:hAnsi="Times New Roman" w:eastAsia="HY신명조"/>
                <w:b w:val="0"/>
                <w:sz w:val="18"/>
              </w:rPr>
              <w:t>-</w:t>
            </w:r>
          </w:p>
        </w:tc>
      </w:tr>
    </w:tbl>
    <w:p>
      <w:pPr>
        <w:spacing w:line="312" w:lineRule="auto" w:before="0" w:after="0"/>
      </w:pPr>
      <w:r>
        <w:rPr>
          <w:rFonts w:ascii="Times New Roman" w:hAnsi="Times New Roman" w:eastAsia="HY신명조"/>
          <w:b w:val="0"/>
          <w:sz w:val="18"/>
        </w:rPr>
        <w:t>Note: The main campaign matrix used cf, cn, lf, lso, lcl, gn, and imn (×mid/high) — for some fault types even medium intensity lies in the tolerated range, so the budget was concentrated on mid/high and the non-execution of the low level is stated explicitly. The four navigation faults (gb, gf, imb, imd) were evaluated in a navigation-extension matrix with the identical matrix structure (Chapter 5, Section 1). In all navigation injections, the covariance fields of the messages retain normal values — this models an overconfident integrity fault in which the receiver is unaware of its own degradation. The abbreviations gb and gf correspond to the tags gm and gb in the raw experimental data (tag renaming).</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153719"/>
            <wp:docPr id="7" name="Picture 7"/>
            <wp:cNvGraphicFramePr>
              <a:graphicFrameLocks noChangeAspect="1"/>
            </wp:cNvGraphicFramePr>
            <a:graphic>
              <a:graphicData uri="http://schemas.openxmlformats.org/drawingml/2006/picture">
                <pic:pic>
                  <pic:nvPicPr>
                    <pic:cNvPr id="0" name="fig6_faults.png"/>
                    <pic:cNvPicPr/>
                  </pic:nvPicPr>
                  <pic:blipFill>
                    <a:blip r:embed="rId21"/>
                    <a:stretch>
                      <a:fillRect/>
                    </a:stretch>
                  </pic:blipFill>
                  <pic:spPr>
                    <a:xfrm>
                      <a:off x="0" y="0"/>
                      <a:ext cx="5400000" cy="3153719"/>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4-2. </w:t>
      </w:r>
      <w:r>
        <w:rPr>
          <w:rFonts w:ascii="Times New Roman" w:hAnsi="Times New Roman" w:eastAsia="HY신명조"/>
          <w:b w:val="0"/>
          <w:sz w:val="18"/>
        </w:rPr>
        <w:t>Sensor-level effects of fault injection — before/after applying the same physical equations and parameters as the injector to one measured Town07 LiDAR scan and camera frame. (a) LiDAR sparsification (lso): intensity attenuation (T²) in the front contaminated sector and disappearance below the detection threshold — distant, dark targets vanish first. (b) LiDAR clutter (lcl): long-range dropout from precipitation attenuation, range jitter, and near-range-biased spurious returns (red). (c) Camera pixel noise (cn). (d) GNSS fault waveforms — white noise (gn), correlated bias (gb), outage (gf). (e) Gyro fault waveforms — white noise (imn), fixed bias (imb), bias ramp (imd). Panel parameters are the injector's raw values corresponding to the severity definitions of Table 4-2 (representative values in Table 4-5); outage (gf) and death-type faults have no severity grades.</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3. Main Campaign Matrix</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main campaign is a matrix of fault type × severity × traffic density (none/def/agg: no traffic / defensive / aggressive) × method (ours/baseline) × repetition, executed serially by a battery script, with infrastructure-failure cases re-collected via a retry chain. The total number of valid cases is 1,131 (39 short of the planned 1,170, all in lcl-high — accounting in Table 4-3). This includes the results of fully re-running the 450 affected camera- and navigation-family cases after a defect in the evacuation-site cost function that miscounted traffic lights (fixed with the clustering method of Chapter 3, Section 5) was uncovered — the discovery process and scope are stated explicitly so that follow-up research can treat map annotation quality as a hidden confounding variable in evacuation-site selection.</w:t>
      </w:r>
    </w:p>
    <w:p>
      <w:pPr>
        <w:keepNext/>
        <w:spacing w:line="312" w:lineRule="auto" w:before="40" w:after="0"/>
      </w:pPr>
      <w:r>
        <w:rPr>
          <w:rFonts w:ascii="Times New Roman" w:hAnsi="Times New Roman" w:eastAsia="HY신명조"/>
          <w:b/>
          <w:sz w:val="18"/>
        </w:rPr>
        <w:t xml:space="preserve">Table 4-3. </w:t>
      </w:r>
      <w:r>
        <w:rPr>
          <w:rFonts w:ascii="Times New Roman" w:hAnsi="Times New Roman" w:eastAsia="HY신명조"/>
          <w:b w:val="0"/>
          <w:sz w:val="18"/>
        </w:rPr>
        <w:t>Main-campaign case accounting — planned versus final valid</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Block</w:t>
            </w:r>
          </w:p>
        </w:tc>
        <w:tc>
          <w:tcPr>
            <w:tcW w:type="dxa" w:w="2126"/>
          </w:tcPr>
          <w:p>
            <w:pPr>
              <w:keepNext/>
              <w:spacing w:line="288" w:lineRule="auto" w:before="20" w:after="20"/>
              <w:jc w:val="center"/>
            </w:pPr>
            <w:r/>
            <w:r>
              <w:rPr>
                <w:rFonts w:ascii="Times New Roman" w:hAnsi="Times New Roman" w:eastAsia="HY신명조"/>
                <w:b/>
                <w:sz w:val="18"/>
              </w:rPr>
              <w:t>Planned</w:t>
            </w:r>
          </w:p>
        </w:tc>
        <w:tc>
          <w:tcPr>
            <w:tcW w:type="dxa" w:w="2126"/>
          </w:tcPr>
          <w:p>
            <w:pPr>
              <w:keepNext/>
              <w:spacing w:line="288" w:lineRule="auto" w:before="20" w:after="20"/>
              <w:jc w:val="center"/>
            </w:pPr>
            <w:r/>
            <w:r>
              <w:rPr>
                <w:rFonts w:ascii="Times New Roman" w:hAnsi="Times New Roman" w:eastAsia="HY신명조"/>
                <w:b/>
                <w:sz w:val="18"/>
              </w:rPr>
              <w:t>Final valid</w:t>
            </w:r>
          </w:p>
        </w:tc>
        <w:tc>
          <w:tcPr>
            <w:tcW w:type="dxa" w:w="2126"/>
          </w:tcPr>
          <w:p>
            <w:pPr>
              <w:keepNext/>
              <w:spacing w:line="288" w:lineRule="auto" w:before="20" w:after="20"/>
              <w:jc w:val="center"/>
            </w:pPr>
            <w:r/>
            <w:r>
              <w:rPr>
                <w:rFonts w:ascii="Times New Roman" w:hAnsi="Times New Roman" w:eastAsia="HY신명조"/>
                <w:b/>
                <w:sz w:val="18"/>
              </w:rPr>
              <w:t>Notes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cf</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re-run batch with the revised detector (v4.8) adopted</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cn</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re-run batch with the revised detector (v4.8) adopted</w:t>
            </w:r>
          </w:p>
        </w:tc>
      </w:tr>
      <w:tr>
        <w:trPr>
          <w:cantSplit/>
        </w:trPr>
        <w:tc>
          <w:tcPr>
            <w:tcW w:type="dxa" w:w="2126"/>
          </w:tcPr>
          <w:p>
            <w:pPr>
              <w:keepNext/>
              <w:spacing w:line="288" w:lineRule="auto" w:before="20" w:after="20"/>
              <w:jc w:val="left"/>
            </w:pPr>
            <w:r/>
            <w:r>
              <w:rPr>
                <w:rFonts w:ascii="Times New Roman" w:hAnsi="Times New Roman" w:eastAsia="HY신명조"/>
                <w:b w:val="0"/>
                <w:sz w:val="18"/>
              </w:rPr>
              <w:t>gn</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re-run batch with the revised detector (v4.8) adopted</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lso</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r>
          </w:p>
        </w:tc>
      </w:tr>
      <w:tr>
        <w:trPr>
          <w:cantSplit/>
        </w:trPr>
        <w:tc>
          <w:tcPr>
            <w:tcW w:type="dxa" w:w="2126"/>
          </w:tcPr>
          <w:p>
            <w:pPr>
              <w:keepNext/>
              <w:spacing w:line="288" w:lineRule="auto" w:before="20" w:after="20"/>
              <w:jc w:val="left"/>
            </w:pPr>
            <w:r/>
            <w:r>
              <w:rPr>
                <w:rFonts w:ascii="Times New Roman" w:hAnsi="Times New Roman" w:eastAsia="HY신명조"/>
                <w:b w:val="0"/>
                <w:sz w:val="18"/>
              </w:rPr>
              <w:t>lcl</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141</w:t>
            </w:r>
          </w:p>
        </w:tc>
        <w:tc>
          <w:tcPr>
            <w:tcW w:type="dxa" w:w="2126"/>
          </w:tcPr>
          <w:p>
            <w:pPr>
              <w:keepNext/>
              <w:spacing w:line="288" w:lineRule="auto" w:before="20" w:after="20"/>
              <w:jc w:val="left"/>
            </w:pPr>
            <w:r/>
            <w:r>
              <w:rPr>
                <w:rFonts w:ascii="Times New Roman" w:hAnsi="Times New Roman" w:eastAsia="HY신명조"/>
                <w:b w:val="0"/>
                <w:sz w:val="18"/>
              </w:rPr>
              <w:t>39 short in lcl-high — final batch halted (30 aggressive and 9 defensive cases unexecuted); subsequent batches excluded for failing the adoption criteria (traffic density, trigger tolerance)</w:t>
            </w:r>
          </w:p>
        </w:tc>
      </w:tr>
      <w:tr>
        <w:trPr>
          <w:cantSplit/>
        </w:trPr>
        <w:tc>
          <w:tcPr>
            <w:tcW w:type="dxa" w:w="2126"/>
          </w:tcPr>
          <w:p>
            <w:pPr>
              <w:keepNext/>
              <w:spacing w:line="288" w:lineRule="auto" w:before="20" w:after="20"/>
              <w:jc w:val="left"/>
            </w:pPr>
            <w:r/>
            <w:r>
              <w:rPr>
                <w:rFonts w:ascii="Times New Roman" w:hAnsi="Times New Roman" w:eastAsia="HY신명조"/>
                <w:b w:val="0"/>
                <w:sz w:val="18"/>
              </w:rPr>
              <w:t>imn</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 row CARLA_DIED — replaced by a same-condition re-run</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lf</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r>
          </w:p>
        </w:tc>
      </w:tr>
      <w:tr>
        <w:trPr>
          <w:cantSplit/>
        </w:trPr>
        <w:tc>
          <w:tcPr>
            <w:tcW w:type="dxa" w:w="2126"/>
          </w:tcPr>
          <w:p>
            <w:pPr>
              <w:keepNext/>
              <w:spacing w:line="288" w:lineRule="auto" w:before="20" w:after="20"/>
              <w:jc w:val="left"/>
            </w:pPr>
            <w:r/>
            <w:r>
              <w:rPr>
                <w:rFonts w:ascii="Times New Roman" w:hAnsi="Times New Roman" w:eastAsia="HY신명조"/>
                <w:b w:val="0"/>
                <w:sz w:val="18"/>
              </w:rPr>
              <w:t>nf</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false-activation control</w:t>
            </w:r>
          </w:p>
        </w:tc>
      </w:tr>
      <w:tr>
        <w:trPr>
          <w:cantSplit/>
        </w:trPr>
        <w:tc>
          <w:tcPr>
            <w:tcW w:type="dxa" w:w="2126"/>
          </w:tcPr>
          <w:p>
            <w:pPr>
              <w:spacing w:line="288" w:lineRule="auto" w:before="20" w:after="20"/>
              <w:jc w:val="left"/>
            </w:pPr>
            <w:r/>
            <w:r>
              <w:rPr>
                <w:rFonts w:ascii="Times New Roman" w:hAnsi="Times New Roman" w:eastAsia="HY신명조"/>
                <w:b w:val="0"/>
                <w:sz w:val="18"/>
              </w:rPr>
              <w:t>Total</w:t>
            </w:r>
          </w:p>
        </w:tc>
        <w:tc>
          <w:tcPr>
            <w:tcW w:type="dxa" w:w="2126"/>
          </w:tcPr>
          <w:p>
            <w:pPr>
              <w:spacing w:line="288" w:lineRule="auto" w:before="20" w:after="20"/>
              <w:jc w:val="left"/>
            </w:pPr>
            <w:r/>
            <w:r>
              <w:rPr>
                <w:rFonts w:ascii="Times New Roman" w:hAnsi="Times New Roman" w:eastAsia="HY신명조"/>
                <w:b w:val="0"/>
                <w:sz w:val="18"/>
              </w:rPr>
              <w:t>1,170</w:t>
            </w:r>
          </w:p>
        </w:tc>
        <w:tc>
          <w:tcPr>
            <w:tcW w:type="dxa" w:w="2126"/>
          </w:tcPr>
          <w:p>
            <w:pPr>
              <w:spacing w:line="288" w:lineRule="auto" w:before="20" w:after="20"/>
              <w:jc w:val="left"/>
            </w:pPr>
            <w:r/>
            <w:r>
              <w:rPr>
                <w:rFonts w:ascii="Times New Roman" w:hAnsi="Times New Roman" w:eastAsia="HY신명조"/>
                <w:b w:val="0"/>
                <w:sz w:val="18"/>
              </w:rPr>
              <w:t>1,131</w:t>
            </w:r>
          </w:p>
        </w:tc>
        <w:tc>
          <w:tcPr>
            <w:tcW w:type="dxa" w:w="2126"/>
          </w:tcPr>
          <w:p>
            <w:pPr>
              <w:spacing w:line="288" w:lineRule="auto" w:before="20" w:after="20"/>
              <w:jc w:val="left"/>
            </w:pPr>
            <w:r/>
            <w:r>
              <w:rPr>
                <w:rFonts w:ascii="Times New Roman" w:hAnsi="Times New Roman" w:eastAsia="HY신명조"/>
                <w:b w:val="0"/>
                <w:sz w:val="18"/>
              </w:rPr>
            </w:r>
          </w:p>
        </w:tc>
      </w:tr>
    </w:tbl>
    <w:p>
      <w:pPr>
        <w:spacing w:line="312" w:lineRule="auto" w:before="0" w:after="0"/>
      </w:pPr>
      <w:r>
        <w:rPr>
          <w:rFonts w:ascii="Times New Roman" w:hAnsi="Times New Roman" w:eastAsia="HY신명조"/>
          <w:b w:val="0"/>
          <w:sz w:val="18"/>
        </w:rPr>
        <w:t>Infrastructure failures (CARLA_DIED/SETUP_FAIL) were replaced by same-condition re-runs; the adopted batch per block and the replacement rules are fixed in the merge script (merge_all.py).</w:t>
      </w:r>
    </w:p>
    <w:p>
      <w:pPr>
        <w:spacing w:line="501" w:lineRule="exact" w:before="0" w:after="0"/>
      </w:pPr>
    </w:p>
    <w:p>
      <w:pPr>
        <w:spacing w:line="501" w:lineRule="exact" w:before="0" w:after="0"/>
        <w:jc w:val="both"/>
      </w:pPr>
      <w:r>
        <w:rPr>
          <w:rFonts w:ascii="Times New Roman" w:hAnsi="Times New Roman" w:eastAsia="HY신명조"/>
          <w:b w:val="0"/>
          <w:sz w:val="22"/>
        </w:rPr>
        <w:t xml:space="preserve">   Traffic density has three levels — no traffic (none), defensive (def), and aggressive (agg) — and defensive traffic applies courtesy rules that prevent unrealistic behavior (maintaining a minimum gap of 7 m to stopped vehicles, no respawning near evacuation sites) so that evacuation-completion adjudication is not contaminated by NPC spawn artifacts.</w:t>
      </w:r>
    </w:p>
    <w:p>
      <w:pPr>
        <w:spacing w:line="501" w:lineRule="exact" w:before="0" w:after="0"/>
      </w:pPr>
    </w:p>
    <w:p>
      <w:pPr>
        <w:spacing w:line="501" w:lineRule="exact" w:before="0" w:after="0"/>
      </w:pPr>
      <w:r>
        <w:rPr>
          <w:rFonts w:ascii="Times New Roman" w:hAnsi="Times New Roman" w:eastAsia="HY신명조"/>
          <w:b/>
          <w:sz w:val="28"/>
        </w:rPr>
        <w:t>4. Pedestrian Dart-out Encounter Injector</w:t>
      </w:r>
    </w:p>
    <w:p>
      <w:pPr>
        <w:spacing w:line="501" w:lineRule="exact" w:before="0" w:after="0"/>
      </w:pPr>
    </w:p>
    <w:p>
      <w:pPr>
        <w:spacing w:line="501" w:lineRule="exact" w:before="0" w:after="0"/>
        <w:jc w:val="both"/>
      </w:pPr>
      <w:r>
        <w:rPr>
          <w:rFonts w:ascii="Times New Roman" w:hAnsi="Times New Roman" w:eastAsia="HY신명조"/>
          <w:b w:val="0"/>
          <w:sz w:val="22"/>
        </w:rPr>
        <w:t xml:space="preserve">   For encounter-level safety evaluation, an independent process (hazard_injector) that injects pedestrian dart-out crossings runs in the leaderboard container — a decoupled design that modifies neither the agent nor the runner, so defects in the injection logic do not propagate into the driving stack. Encounter fairness was secured through repeated measurement: (i) spawning starts the crossing not from the sidewalk but from the right edge of the driving lane (+0.5 m), eliminating encounter non-formation caused by spawns outside the guardrail; (ii) 1-second-period re-commanding and walking-speed verification (&gt;1 m/s) block stationary-mannequin encounters; (iii) the trigger uses passage of a fixed point along the route (the dose-response experiment uses a settlement-state trigger); (iv) lead correction matched to ego progress and stopping 12 m after crossing prevent contamination from side contacts and late contacts; and (v) the ego position is obtained from the ROS localization topic (a workaround for the unresolved phenomenon in which the CARLA actor list appears empty from an external client, with the coordinate-frame y-sign flip handled).</w:t>
      </w:r>
    </w:p>
    <w:p>
      <w:pPr>
        <w:spacing w:line="501" w:lineRule="exact" w:before="0" w:after="0"/>
        <w:jc w:val="both"/>
      </w:pPr>
      <w:r>
        <w:rPr>
          <w:rFonts w:ascii="Times New Roman" w:hAnsi="Times New Roman" w:eastAsia="HY신명조"/>
          <w:b w:val="0"/>
          <w:sz w:val="22"/>
        </w:rPr>
        <w:t xml:space="preserve">   The v5 injector adds three things. First, a state-establishment trigger: it subscribes to the supervisor state and the measured speed, and launches the pedestrian at the specified distance ahead, at the right lane edge (lateral jitter ± 0.2 m), only at the moment the state under comparison actually holds — the precondition is verified by the manipulation check so that launching does not depend on the policy behavior. Second, fault-waveform seed fixing (FAULT_SEED). Third, CARLA physics-tick-synchronized recording: ego and pedestrian coordinates, speeds, and separation at every physics frame are recorded to a per-case CSV.</w:t>
      </w:r>
    </w:p>
    <w:p>
      <w:pPr>
        <w:spacing w:line="501" w:lineRule="exact" w:before="0" w:after="0"/>
        <w:jc w:val="both"/>
      </w:pPr>
      <w:r>
        <w:rPr>
          <w:rFonts w:ascii="Times New Roman" w:hAnsi="Times New Roman" w:eastAsia="HY신명조"/>
          <w:b w:val="0"/>
          <w:sz w:val="22"/>
        </w:rPr>
        <w:t xml:space="preserve">   The reliability of the injector itself is managed as part of the experimental infrastructure: survival of the recording channel is guaranteed by a watchdog (runs with lost records are invalid — Section 5), and in the 8 m encounter comparison an arming scheme activates the trigger only after the state under comparison has been confirmed, preventing contamination by state-mismatched encounters.</w:t>
      </w:r>
    </w:p>
    <w:p>
      <w:pPr>
        <w:spacing w:line="501" w:lineRule="exact" w:before="0" w:after="0"/>
      </w:pPr>
    </w:p>
    <w:p>
      <w:pPr>
        <w:spacing w:line="501" w:lineRule="exact" w:before="0" w:after="0"/>
      </w:pPr>
      <w:r>
        <w:rPr>
          <w:rFonts w:ascii="Times New Roman" w:hAnsi="Times New Roman" w:eastAsia="HY신명조"/>
          <w:b/>
          <w:sz w:val="28"/>
        </w:rPr>
        <w:t>5. Collision Adjudication Methodology</w:t>
      </w:r>
    </w:p>
    <w:p>
      <w:pPr>
        <w:spacing w:line="501" w:lineRule="exact" w:before="0" w:after="0"/>
      </w:pPr>
    </w:p>
    <w:p>
      <w:pPr>
        <w:spacing w:line="501" w:lineRule="exact" w:before="0" w:after="0"/>
        <w:jc w:val="both"/>
      </w:pPr>
      <w:r>
        <w:rPr>
          <w:rFonts w:ascii="Times New Roman" w:hAnsi="Times New Roman" w:eastAsia="HY신명조"/>
          <w:b w:val="0"/>
          <w:sz w:val="22"/>
        </w:rPr>
        <w:t xml:space="preserve">   This section formally reports an adjudication-reliability incident that occurred during the experiments and its reconstruction. The initial implementation adjudicated collisions with a collision sensor attached to the pedestrian. However, it was confirmed by measurement that this sensor never fired in CARLA — it remained silent even in cases where the official adjudicator confirmed a collision. On top of this, the death of the injector's ROS listener caused the loss of separation records, so many cases in the non-intervention arm were misjudged as "avoided" without evidence. This misjudgment was uncovered by visual review of the experiment videos, and the affected data were discarded in full and re-run.</w:t>
      </w:r>
    </w:p>
    <w:p>
      <w:pPr>
        <w:spacing w:line="501" w:lineRule="exact" w:before="0" w:after="0"/>
        <w:jc w:val="both"/>
      </w:pPr>
      <w:r>
        <w:rPr>
          <w:rFonts w:ascii="Times New Roman" w:hAnsi="Times New Roman" w:eastAsia="HY신명조"/>
          <w:b w:val="0"/>
          <w:sz w:val="22"/>
        </w:rPr>
        <w:t xml:space="preserve">   The reconstructed adjudication system has two layers. First, the primary adjudication (primary ground truth) is the real-time ledger of the ego vehicle's collision sensor. The callback of the sensor.other.collision that the official leaderboard adjudicator (CollisionTest) attaches to the ego is patched so that, the moment a collision occurs, it is written to a file together with the counterpart actor identifier (the RAW-HIT ledger). Unlike the official infraction tally, it persists regardless of a case's early or forced termination, and grazes of endpoint structures (static.pole) are classified separately. Second, consistency audits comprise the pedestrian physics oracle and the separation stream. In a vehicle-pedestrian collision, the pedestrian is flung 12–28 m, a kinematic anomaly (speed &gt;4.5 m/s or a jump exceeding 5 m within 1 second), which serves as a cross-check by a computation path independent of the ledger (though not fully independent, since it is the same physics engine). We note the history that the initial 2 m jump threshold falsely flagged normal walking speed (about 3 m/s) and was raised. </w:t>
      </w:r>
    </w:p>
    <w:p>
      <w:pPr>
        <w:spacing w:line="501" w:lineRule="exact" w:before="0" w:after="0"/>
        <w:jc w:val="both"/>
      </w:pPr>
      <w:r>
        <w:rPr>
          <w:rFonts w:ascii="Times New Roman" w:hAnsi="Times New Roman" w:eastAsia="HY신명조"/>
          <w:b w:val="0"/>
          <w:sz w:val="22"/>
        </w:rPr>
        <w:t xml:space="preserve">   In addition, we specify the adjudication pitfalls of the experiment runner's termination labels. (i) The collision label may include contact with endpoint structures — it must be distinguished by the counterpart actor in the ledger. (ii) The hazardous-stop label may include post-collision stops — "no collision" cannot be claimed from the label alone. (iii) The simulator's official infractions are saved only on natural termination — a recording gap in an early-terminated case is not evidence of no collision. All encounter-level safety figures in this thesis are ledger-based.</w:t>
      </w:r>
    </w:p>
    <w:p>
      <w:pPr>
        <w:spacing w:line="501" w:lineRule="exact" w:before="0" w:after="0"/>
        <w:jc w:val="both"/>
      </w:pPr>
      <w:r>
        <w:rPr>
          <w:rFonts w:ascii="Times New Roman" w:hAnsi="Times New Roman" w:eastAsia="HY신명조"/>
          <w:b w:val="0"/>
          <w:sz w:val="22"/>
        </w:rPr>
        <w:t xml:space="preserve">   The clock for latency figures is unified to simulation time. When a hardware-death fault is injected, actor destruction causes a processing stall in the simulator (about 1.6 s) during which simulation time stops; since the world (including pedestrians and traffic) stops with it, the correct clock for safety-related latency is simulation time, and wall-clock measurement overestimates latency by including this stall. The adjudicated latency is computed by recording the injection time (injector) and the state-transition time (supervisor) in simulation time to append-only ledgers independent of case termination, and a stop-before-destroy stream halt ensures that residual frames after destruction do not distort the silence onset time.</w:t>
      </w:r>
    </w:p>
    <w:p>
      <w:pPr>
        <w:spacing w:line="501" w:lineRule="exact" w:before="0" w:after="0"/>
      </w:pPr>
    </w:p>
    <w:p>
      <w:pPr>
        <w:spacing w:line="501" w:lineRule="exact" w:before="0" w:after="0"/>
      </w:pPr>
      <w:r>
        <w:rPr>
          <w:rFonts w:ascii="Times New Roman" w:hAnsi="Times New Roman" w:eastAsia="HY신명조"/>
          <w:b/>
          <w:sz w:val="28"/>
        </w:rPr>
        <w:t>6. Distance Ladder and 8 m Encounter Experiment Design</w:t>
      </w:r>
    </w:p>
    <w:p>
      <w:pPr>
        <w:spacing w:line="501" w:lineRule="exact" w:before="0" w:after="0"/>
      </w:pPr>
    </w:p>
    <w:p>
      <w:pPr>
        <w:spacing w:line="501" w:lineRule="exact" w:before="0" w:after="0"/>
        <w:jc w:val="both"/>
      </w:pPr>
      <w:r>
        <w:rPr>
          <w:rFonts w:ascii="Times New Roman" w:hAnsi="Times New Roman" w:eastAsia="HY신명조"/>
          <w:b w:val="0"/>
          <w:sz w:val="22"/>
        </w:rPr>
        <w:t xml:space="preserve">   To measure the avoidance/collision boundary by speed, the pedestrian spawn distance was varied as a ladder. (i) Fault-free ladder: fault-free stock stack, spawn distances {14, 11, 8, 6, 5} m × n=4 per distance at a waypoint during normal driving (4.2 m/s). (ii) Blinded ladder: stock under complete LiDAR degradation (lso-high), same distance set (per-distance n as reported in Table 5-3). (iii) 8 m encounter comparison: comparison of the proposed low-speed MRM and stock against an 8 m dart-out under a gn-mid fault (only the EKF localization input contaminated, perception intact) — cf was excluded because traffic-signal reading is impossible and encounters do not form, and gn-high was excluded because most cases end in comfortable stops (the selection process itself corroborates the behavioral differences across faults). (iv) Low-speed ladder: {8, 7, 6, 5} m at the proposed system's nominal 3.0 m/s low-speed cruise (restart cruise; the explicit cap was later found undelivered in these runs — Chapter 5, Sections 7-8). Since the fault-free ladder and the low-speed ladder use different launch protocols, the comparison axis is the encounter speed of "encounters during constant-speed cruising" (specified in Chapter 5, Section 7). (v) Dose-response experiment: after fixing the cap-delivery defect, caps {4.2, 3.6, 3.0} m/s × spawn distances {6, 7, 8, 9} m × 10 seeds (seeds S12–S21, ten in total, with fault waveform, walking speed, lateral jitter, and pedestrian randomness fixed per seed (Table 4-5); gn-mid, injection fixed at 25 s) = 120 runs. Launch uses a settlement trigger rather than a time trigger — the pedestrian is spawned D m ahead at the moment the supervisor is in MRM_MOVE and the measured speed has stayed within the cap-specific band for 1.0 s continuously (bands in Table 4-5) — so that "an encounter under an actually holding cap" is guaranteed at the trigger level. The three cap arms differ only in the value passed through the identical software path (the external velocity-limit interface) (Chapter 5, Section 6). Adjudication follows the ledger standard of Section 5; the exception for runs predating the ledger is stated in Chapter 5, Section 3.</w:t>
      </w:r>
    </w:p>
    <w:p>
      <w:pPr>
        <w:spacing w:line="501" w:lineRule="exact" w:before="0" w:after="0"/>
      </w:pPr>
    </w:p>
    <w:p>
      <w:pPr>
        <w:spacing w:line="501" w:lineRule="exact" w:before="0" w:after="0"/>
      </w:pPr>
      <w:r>
        <w:rPr>
          <w:rFonts w:ascii="Times New Roman" w:hAnsi="Times New Roman" w:eastAsia="HY신명조"/>
          <w:b/>
          <w:sz w:val="28"/>
        </w:rPr>
        <w:t>7. Metrics and Statistics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primary metric of encounter-level safety is the collision rate, reported up front with Wilson 95% confidence intervals. Inferential testing is pre-specified as the single primary endpoint of the dose-response experiment (Chapter 5, Section 6) — the paired 4.2↔3.0 m/s collision difference at the 8 m spawn (exact McNemar) — with the remaining distance-cap combinations reported only as boundary characterization (in small samples, the p-value of exact McNemar changes discretely: even when discordant pairs occur in only one direction, 5:0 gives p=0.0625, not significant, and 6:0 first falls below 0.05 with p=0.03125). Fisher's exact test is used for unpaired auxiliary comparisons. For the dose-response experiment (Chapter 5, Section 6), a single primary endpoint — the paired collision difference between 4.2 and 3.0 m/s at the 8 m spawn (exact McNemar) — was pre-specified before data collection; the remaining distance-cap combinations are reported only as boundary characterization (descriptive statistics with Wilson CIs). As a precondition check on encounter validity (manipulation check), a run with no launch within 420 s, a first-tick encounter speed outside the band (0.15 m/s tolerance), or a spawn violating the ahead-of-ego geometry is rejected and re-run under identical conditions regardless of its outcome. As the exposure metric, distance traveled in the faulted state, deg_dist (distance moved from fault injection to reaching MRC), is defined. The stop-versus-evacuation trade-off is presented along the two axes of collision rate and lane clearance.</w:t>
      </w:r>
    </w:p>
    <w:p>
      <w:pPr>
        <w:spacing w:line="501" w:lineRule="exact" w:before="0" w:after="0"/>
      </w:pPr>
    </w:p>
    <w:p>
      <w:pPr>
        <w:spacing w:line="501" w:lineRule="exact" w:before="0" w:after="0"/>
      </w:pPr>
      <w:r>
        <w:rPr>
          <w:rFonts w:ascii="Times New Roman" w:hAnsi="Times New Roman" w:eastAsia="HY신명조"/>
          <w:b/>
          <w:sz w:val="28"/>
        </w:rPr>
        <w:t>8. Reproducibility: Key Experimental Parameters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For reproducibility, the key parameters across the experiments are summarized in Table 4-5. All values are exactly the configurations used when the experiments were run, and the supporting section is indicated alongside.</w:t>
      </w:r>
    </w:p>
    <w:p>
      <w:pPr>
        <w:keepNext/>
        <w:spacing w:line="312" w:lineRule="auto" w:before="40" w:after="0"/>
      </w:pPr>
      <w:r>
        <w:rPr>
          <w:rFonts w:ascii="Times New Roman" w:hAnsi="Times New Roman" w:eastAsia="HY신명조"/>
          <w:b/>
          <w:sz w:val="18"/>
        </w:rPr>
        <w:t xml:space="preserve">Table 4-5. </w:t>
      </w:r>
      <w:r>
        <w:rPr>
          <w:rFonts w:ascii="Times New Roman" w:hAnsi="Times New Roman" w:eastAsia="HY신명조"/>
          <w:b w:val="0"/>
          <w:sz w:val="18"/>
        </w:rPr>
        <w:t>Summary of key experimental parameters</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spacing w:line="288" w:lineRule="auto" w:before="20" w:after="20"/>
              <w:jc w:val="center"/>
            </w:pPr>
            <w:r/>
            <w:r>
              <w:rPr>
                <w:rFonts w:ascii="Times New Roman" w:hAnsi="Times New Roman" w:eastAsia="HY신명조"/>
                <w:b/>
                <w:sz w:val="18"/>
              </w:rPr>
              <w:t>Item</w:t>
            </w:r>
          </w:p>
        </w:tc>
        <w:tc>
          <w:tcPr>
            <w:tcW w:type="dxa" w:w="2835"/>
          </w:tcPr>
          <w:p>
            <w:pPr>
              <w:spacing w:line="288" w:lineRule="auto" w:before="20" w:after="20"/>
              <w:jc w:val="center"/>
            </w:pPr>
            <w:r/>
            <w:r>
              <w:rPr>
                <w:rFonts w:ascii="Times New Roman" w:hAnsi="Times New Roman" w:eastAsia="HY신명조"/>
                <w:b/>
                <w:sz w:val="18"/>
              </w:rPr>
              <w:t>Value</w:t>
            </w:r>
          </w:p>
        </w:tc>
        <w:tc>
          <w:tcPr>
            <w:tcW w:type="dxa" w:w="2835"/>
          </w:tcPr>
          <w:p>
            <w:pPr>
              <w:spacing w:line="288" w:lineRule="auto" w:before="20" w:after="20"/>
              <w:jc w:val="center"/>
            </w:pPr>
            <w:r/>
            <w:r>
              <w:rPr>
                <w:rFonts w:ascii="Times New Roman" w:hAnsi="Times New Roman" w:eastAsia="HY신명조"/>
                <w:b/>
                <w:sz w:val="18"/>
              </w:rPr>
              <w:t>Remarks</w:t>
            </w:r>
          </w:p>
        </w:tc>
      </w:tr>
      <w:tr>
        <w:trPr>
          <w:cantSplit/>
        </w:trPr>
        <w:tc>
          <w:tcPr>
            <w:tcW w:type="dxa" w:w="2835"/>
          </w:tcPr>
          <w:p>
            <w:pPr>
              <w:spacing w:line="288" w:lineRule="auto" w:before="20" w:after="20"/>
              <w:jc w:val="left"/>
            </w:pPr>
            <w:r/>
            <w:r>
              <w:rPr>
                <w:rFonts w:ascii="Times New Roman" w:hAnsi="Times New Roman" w:eastAsia="HY신명조"/>
                <w:b w:val="0"/>
                <w:sz w:val="18"/>
              </w:rPr>
              <w:t>State-transition thresholds</w:t>
            </w:r>
          </w:p>
        </w:tc>
        <w:tc>
          <w:tcPr>
            <w:tcW w:type="dxa" w:w="2835"/>
          </w:tcPr>
          <w:p>
            <w:pPr>
              <w:spacing w:line="288" w:lineRule="auto" w:before="20" w:after="20"/>
              <w:jc w:val="left"/>
            </w:pPr>
            <w:r/>
            <w:r>
              <w:rPr>
                <w:rFonts w:ascii="Times New Roman" w:hAnsi="Times New Roman" w:eastAsia="HY신명조"/>
                <w:b w:val="0"/>
                <w:sz w:val="18"/>
              </w:rPr>
              <w:t>upper 0.7 / lower 0.3</w:t>
            </w:r>
          </w:p>
        </w:tc>
        <w:tc>
          <w:tcPr>
            <w:tcW w:type="dxa" w:w="2835"/>
          </w:tcPr>
          <w:p>
            <w:pPr>
              <w:spacing w:line="288" w:lineRule="auto" w:before="20" w:after="20"/>
              <w:jc w:val="left"/>
            </w:pPr>
            <w:r/>
            <w:r>
              <w:rPr>
                <w:rFonts w:ascii="Times New Roman" w:hAnsi="Times New Roman" w:eastAsia="HY신명조"/>
                <w:b w:val="0"/>
                <w:sz w:val="18"/>
              </w:rPr>
              <w:t>Dual thresholds — three bands: normal/evacuation/deferral (Chapter 3, Section 5)</w:t>
            </w:r>
          </w:p>
        </w:tc>
      </w:tr>
      <w:tr>
        <w:trPr>
          <w:cantSplit/>
        </w:trPr>
        <w:tc>
          <w:tcPr>
            <w:tcW w:type="dxa" w:w="2835"/>
          </w:tcPr>
          <w:p>
            <w:pPr>
              <w:spacing w:line="288" w:lineRule="auto" w:before="20" w:after="20"/>
              <w:jc w:val="left"/>
            </w:pPr>
            <w:r/>
            <w:r>
              <w:rPr>
                <w:rFonts w:ascii="Times New Roman" w:hAnsi="Times New Roman" w:eastAsia="HY신명조"/>
                <w:b w:val="0"/>
                <w:sz w:val="18"/>
              </w:rPr>
              <w:t>Freshness deadline τ_fresh</w:t>
            </w:r>
          </w:p>
        </w:tc>
        <w:tc>
          <w:tcPr>
            <w:tcW w:type="dxa" w:w="2835"/>
          </w:tcPr>
          <w:p>
            <w:pPr>
              <w:spacing w:line="288" w:lineRule="auto" w:before="20" w:after="20"/>
              <w:jc w:val="left"/>
            </w:pPr>
            <w:r/>
            <w:r>
              <w:rPr>
                <w:rFonts w:ascii="Times New Roman" w:hAnsi="Times New Roman" w:eastAsia="HY신명조"/>
                <w:b w:val="0"/>
                <w:sz w:val="18"/>
              </w:rPr>
              <w:t>850 ms</w:t>
            </w:r>
          </w:p>
        </w:tc>
        <w:tc>
          <w:tcPr>
            <w:tcW w:type="dxa" w:w="2835"/>
          </w:tcPr>
          <w:p>
            <w:pPr>
              <w:spacing w:line="288" w:lineRule="auto" w:before="20" w:after="20"/>
              <w:jc w:val="left"/>
            </w:pPr>
            <w:r/>
            <w:r>
              <w:rPr>
                <w:rFonts w:ascii="Times New Roman" w:hAnsi="Times New Roman" w:eastAsia="HY신명조"/>
                <w:b w:val="0"/>
                <w:sz w:val="18"/>
              </w:rPr>
              <w:t>Decision criterion of the hard-fail fast path (Chapter 3, Sections 4-5)</w:t>
            </w:r>
          </w:p>
        </w:tc>
      </w:tr>
      <w:tr>
        <w:trPr>
          <w:cantSplit/>
        </w:trPr>
        <w:tc>
          <w:tcPr>
            <w:tcW w:type="dxa" w:w="2835"/>
          </w:tcPr>
          <w:p>
            <w:pPr>
              <w:spacing w:line="288" w:lineRule="auto" w:before="20" w:after="20"/>
              <w:jc w:val="left"/>
            </w:pPr>
            <w:r/>
            <w:r>
              <w:rPr>
                <w:rFonts w:ascii="Times New Roman" w:hAnsi="Times New Roman" w:eastAsia="HY신명조"/>
                <w:b w:val="0"/>
                <w:sz w:val="18"/>
              </w:rPr>
              <w:t>CUSUM parameters</w:t>
            </w:r>
          </w:p>
        </w:tc>
        <w:tc>
          <w:tcPr>
            <w:tcW w:type="dxa" w:w="2835"/>
          </w:tcPr>
          <w:p>
            <w:pPr>
              <w:spacing w:line="288" w:lineRule="auto" w:before="20" w:after="20"/>
              <w:jc w:val="left"/>
            </w:pPr>
            <w:r/>
            <w:r>
              <w:rPr>
                <w:rFonts w:ascii="Times New Roman" w:hAnsi="Times New Roman" w:eastAsia="HY신명조"/>
                <w:b w:val="0"/>
                <w:sz w:val="18"/>
              </w:rPr>
              <w:t>k = 0.5×fault-free baseline (adaptive) ·</w:t>
            </w:r>
          </w:p>
          <w:p>
            <w:pPr>
              <w:spacing w:line="288" w:lineRule="auto" w:before="20" w:after="20"/>
              <w:jc w:val="left"/>
            </w:pPr>
            <w:r>
              <w:rPr>
                <w:rFonts w:ascii="Times New Roman" w:hAnsi="Times New Roman" w:eastAsia="HY신명조"/>
                <w:b w:val="0"/>
                <w:sz w:val="18"/>
              </w:rPr>
              <w:t>h = 0.5 m (LiDAR σ) / 30 (camera σ)</w:t>
            </w:r>
          </w:p>
        </w:tc>
        <w:tc>
          <w:tcPr>
            <w:tcW w:type="dxa" w:w="2835"/>
          </w:tcPr>
          <w:p>
            <w:pPr>
              <w:spacing w:line="288" w:lineRule="auto" w:before="20" w:after="20"/>
              <w:jc w:val="left"/>
            </w:pPr>
            <w:r/>
            <w:r>
              <w:rPr>
                <w:rFonts w:ascii="Times New Roman" w:hAnsi="Times New Roman" w:eastAsia="HY신명조"/>
                <w:b w:val="0"/>
                <w:sz w:val="18"/>
              </w:rPr>
              <w:t>Change test on the quality series (Chapter 3, Section 2)</w:t>
            </w:r>
          </w:p>
        </w:tc>
      </w:tr>
      <w:tr>
        <w:trPr>
          <w:cantSplit/>
        </w:trPr>
        <w:tc>
          <w:tcPr>
            <w:tcW w:type="dxa" w:w="2835"/>
          </w:tcPr>
          <w:p>
            <w:pPr>
              <w:spacing w:line="288" w:lineRule="auto" w:before="20" w:after="20"/>
              <w:jc w:val="left"/>
            </w:pPr>
            <w:r/>
            <w:r>
              <w:rPr>
                <w:rFonts w:ascii="Times New Roman" w:hAnsi="Times New Roman" w:eastAsia="HY신명조"/>
                <w:b w:val="0"/>
                <w:sz w:val="18"/>
              </w:rPr>
              <w:t>Execution environment</w:t>
            </w:r>
          </w:p>
        </w:tc>
        <w:tc>
          <w:tcPr>
            <w:tcW w:type="dxa" w:w="2835"/>
          </w:tcPr>
          <w:p>
            <w:pPr>
              <w:spacing w:line="288" w:lineRule="auto" w:before="20" w:after="20"/>
              <w:jc w:val="left"/>
            </w:pPr>
            <w:r/>
            <w:r>
              <w:rPr>
                <w:rFonts w:ascii="Times New Roman" w:hAnsi="Times New Roman" w:eastAsia="HY신명조"/>
                <w:b w:val="0"/>
                <w:sz w:val="18"/>
              </w:rPr>
              <w:t>Autoware 0.39.0 · CARLA 0.9.16 ·</w:t>
            </w:r>
          </w:p>
          <w:p>
            <w:pPr>
              <w:spacing w:line="288" w:lineRule="auto" w:before="20" w:after="20"/>
              <w:jc w:val="left"/>
            </w:pPr>
            <w:r>
              <w:rPr>
                <w:rFonts w:ascii="Times New Roman" w:hAnsi="Times New Roman" w:eastAsia="HY신명조"/>
                <w:b w:val="0"/>
                <w:sz w:val="18"/>
              </w:rPr>
              <w:t>ROS 2 Humble</w:t>
            </w:r>
          </w:p>
        </w:tc>
        <w:tc>
          <w:tcPr>
            <w:tcW w:type="dxa" w:w="2835"/>
          </w:tcPr>
          <w:p>
            <w:pPr>
              <w:spacing w:line="288" w:lineRule="auto" w:before="20" w:after="20"/>
              <w:jc w:val="left"/>
            </w:pPr>
            <w:r/>
            <w:r>
              <w:rPr>
                <w:rFonts w:ascii="Times New Roman" w:hAnsi="Times New Roman" w:eastAsia="HY신명조"/>
                <w:b w:val="0"/>
                <w:sz w:val="18"/>
              </w:rPr>
              <w:t>Synchronous mode, fixed step 0.05 s, single workstation</w:t>
            </w:r>
          </w:p>
        </w:tc>
      </w:tr>
      <w:tr>
        <w:trPr>
          <w:cantSplit/>
        </w:trPr>
        <w:tc>
          <w:tcPr>
            <w:tcW w:type="dxa" w:w="2835"/>
          </w:tcPr>
          <w:p>
            <w:pPr>
              <w:spacing w:line="288" w:lineRule="auto" w:before="20" w:after="20"/>
              <w:jc w:val="left"/>
            </w:pPr>
            <w:r/>
            <w:r>
              <w:rPr>
                <w:rFonts w:ascii="Times New Roman" w:hAnsi="Times New Roman" w:eastAsia="HY신명조"/>
                <w:b w:val="0"/>
                <w:sz w:val="18"/>
              </w:rPr>
              <w:t>MRM movement speed cap</w:t>
            </w:r>
          </w:p>
        </w:tc>
        <w:tc>
          <w:tcPr>
            <w:tcW w:type="dxa" w:w="2835"/>
          </w:tcPr>
          <w:p>
            <w:pPr>
              <w:spacing w:line="288" w:lineRule="auto" w:before="20" w:after="20"/>
              <w:jc w:val="left"/>
            </w:pPr>
            <w:r/>
            <w:r>
              <w:rPr>
                <w:rFonts w:ascii="Times New Roman" w:hAnsi="Times New Roman" w:eastAsia="HY신명조"/>
                <w:b w:val="0"/>
                <w:sz w:val="18"/>
              </w:rPr>
              <w:t>3.0 m/s (fixed)</w:t>
            </w:r>
          </w:p>
        </w:tc>
        <w:tc>
          <w:tcPr>
            <w:tcW w:type="dxa" w:w="2835"/>
          </w:tcPr>
          <w:p>
            <w:pPr>
              <w:spacing w:line="288" w:lineRule="auto" w:before="20" w:after="20"/>
              <w:jc w:val="left"/>
            </w:pPr>
            <w:r/>
            <w:r>
              <w:rPr>
                <w:rFonts w:ascii="Times New Roman" w:hAnsi="Times New Roman" w:eastAsia="HY신명조"/>
                <w:b w:val="0"/>
                <w:sz w:val="18"/>
              </w:rPr>
              <w:t>Below the analytically back-calculated v_max≈3.89 m/s; a health-score-proportional cap is implemented but unused (Chapter 3, Section 6)</w:t>
            </w:r>
          </w:p>
        </w:tc>
      </w:tr>
      <w:tr>
        <w:trPr>
          <w:cantSplit/>
        </w:trPr>
        <w:tc>
          <w:tcPr>
            <w:tcW w:type="dxa" w:w="2835"/>
          </w:tcPr>
          <w:p>
            <w:pPr>
              <w:spacing w:line="288" w:lineRule="auto" w:before="20" w:after="20"/>
              <w:jc w:val="left"/>
            </w:pPr>
            <w:r/>
            <w:r>
              <w:rPr>
                <w:rFonts w:ascii="Times New Roman" w:hAnsi="Times New Roman" w:eastAsia="HY신명조"/>
                <w:b w:val="0"/>
                <w:sz w:val="18"/>
              </w:rPr>
              <w:t>Stopping-distance model</w:t>
            </w:r>
          </w:p>
        </w:tc>
        <w:tc>
          <w:tcPr>
            <w:tcW w:type="dxa" w:w="2835"/>
          </w:tcPr>
          <w:p>
            <w:pPr>
              <w:spacing w:line="288" w:lineRule="auto" w:before="20" w:after="20"/>
              <w:jc w:val="left"/>
            </w:pPr>
            <w:r/>
            <w:r>
              <w:rPr>
                <w:rFonts w:ascii="Times New Roman" w:hAnsi="Times New Roman" w:eastAsia="HY신명조"/>
                <w:b w:val="0"/>
                <w:sz w:val="18"/>
              </w:rPr>
              <w:t>τ=1.5 s, a=3.5 m/s²</w:t>
            </w:r>
          </w:p>
        </w:tc>
        <w:tc>
          <w:tcPr>
            <w:tcW w:type="dxa" w:w="2835"/>
          </w:tcPr>
          <w:p>
            <w:pPr>
              <w:spacing w:line="288" w:lineRule="auto" w:before="20" w:after="20"/>
              <w:jc w:val="left"/>
            </w:pPr>
            <w:r/>
            <w:r>
              <w:rPr>
                <w:rFonts w:ascii="Times New Roman" w:hAnsi="Times New Roman" w:eastAsia="HY신명조"/>
                <w:b w:val="0"/>
                <w:sz w:val="18"/>
              </w:rPr>
              <w:t>d = vτ + v²/2a (Eq. (3-9)); nominal values calibrated to the ladder boundary — a design approximation (Chapter 3, Section 6)</w:t>
            </w:r>
          </w:p>
        </w:tc>
      </w:tr>
      <w:tr>
        <w:trPr>
          <w:cantSplit/>
        </w:trPr>
        <w:tc>
          <w:tcPr>
            <w:tcW w:type="dxa" w:w="2835"/>
          </w:tcPr>
          <w:p>
            <w:pPr>
              <w:spacing w:line="288" w:lineRule="auto" w:before="20" w:after="20"/>
              <w:jc w:val="left"/>
            </w:pPr>
            <w:r/>
            <w:r>
              <w:rPr>
                <w:rFonts w:ascii="Times New Roman" w:hAnsi="Times New Roman" w:eastAsia="HY신명조"/>
                <w:b w:val="0"/>
                <w:sz w:val="18"/>
              </w:rPr>
              <w:t>Cost-function weights</w:t>
            </w:r>
          </w:p>
        </w:tc>
        <w:tc>
          <w:tcPr>
            <w:tcW w:type="dxa" w:w="2835"/>
          </w:tcPr>
          <w:p>
            <w:pPr>
              <w:spacing w:line="288" w:lineRule="auto" w:before="20" w:after="20"/>
              <w:jc w:val="left"/>
            </w:pPr>
            <w:r/>
            <w:r>
              <w:rPr>
                <w:rFonts w:ascii="Times New Roman" w:hAnsi="Times New Roman" w:eastAsia="HY신명조"/>
                <w:b w:val="0"/>
                <w:sz w:val="18"/>
              </w:rPr>
              <w:t>w_t=7.0/s · w_tl=200 · w_sec=500 · w_loc=14/s</w:t>
            </w:r>
          </w:p>
        </w:tc>
        <w:tc>
          <w:tcPr>
            <w:tcW w:type="dxa" w:w="2835"/>
          </w:tcPr>
          <w:p>
            <w:pPr>
              <w:spacing w:line="288" w:lineRule="auto" w:before="20" w:after="20"/>
              <w:jc w:val="left"/>
            </w:pPr>
            <w:r/>
            <w:r>
              <w:rPr>
                <w:rFonts w:ascii="Times New Roman" w:hAnsi="Times New Roman" w:eastAsia="HY신명조"/>
                <w:b w:val="0"/>
                <w:sz w:val="18"/>
              </w:rPr>
              <w:t>Eq. (3-8); expected wait 15 s per traffic light, shoulder MRC penalty 175 (≈25 s of degraded driving)</w:t>
            </w:r>
          </w:p>
        </w:tc>
      </w:tr>
      <w:tr>
        <w:trPr>
          <w:cantSplit/>
        </w:trPr>
        <w:tc>
          <w:tcPr>
            <w:tcW w:type="dxa" w:w="2835"/>
          </w:tcPr>
          <w:p>
            <w:pPr>
              <w:spacing w:line="288" w:lineRule="auto" w:before="20" w:after="20"/>
              <w:jc w:val="left"/>
            </w:pPr>
            <w:r/>
            <w:r>
              <w:rPr>
                <w:rFonts w:ascii="Times New Roman" w:hAnsi="Times New Roman" w:eastAsia="HY신명조"/>
                <w:b w:val="0"/>
                <w:sz w:val="18"/>
              </w:rPr>
              <w:t>Candidate hard constraints</w:t>
            </w:r>
          </w:p>
        </w:tc>
        <w:tc>
          <w:tcPr>
            <w:tcW w:type="dxa" w:w="2835"/>
          </w:tcPr>
          <w:p>
            <w:pPr>
              <w:spacing w:line="288" w:lineRule="auto" w:before="20" w:after="20"/>
              <w:jc w:val="left"/>
            </w:pPr>
            <w:r/>
            <w:r>
              <w:rPr>
                <w:rFonts w:ascii="Times New Roman" w:hAnsi="Times New Roman" w:eastAsia="HY신명조"/>
                <w:b w:val="0"/>
                <w:sz w:val="18"/>
              </w:rPr>
              <w:t>min approach 25 m · min shoulder length 7.0 m</w:t>
            </w:r>
          </w:p>
        </w:tc>
        <w:tc>
          <w:tcPr>
            <w:tcW w:type="dxa" w:w="2835"/>
          </w:tcPr>
          <w:p>
            <w:pPr>
              <w:spacing w:line="288" w:lineRule="auto" w:before="20" w:after="20"/>
              <w:jc w:val="left"/>
            </w:pPr>
            <w:r/>
            <w:r>
              <w:rPr>
                <w:rFonts w:ascii="Times New Roman" w:hAnsi="Times New Roman" w:eastAsia="HY신명조"/>
                <w:b w:val="0"/>
                <w:sz w:val="18"/>
              </w:rPr>
              <w:t>candidates below these are assigned infinite cost (Chapter 3, Section 5)</w:t>
            </w:r>
          </w:p>
        </w:tc>
      </w:tr>
      <w:tr>
        <w:trPr>
          <w:cantSplit/>
        </w:trPr>
        <w:tc>
          <w:tcPr>
            <w:tcW w:type="dxa" w:w="2835"/>
          </w:tcPr>
          <w:p>
            <w:pPr>
              <w:spacing w:line="288" w:lineRule="auto" w:before="20" w:after="20"/>
              <w:jc w:val="left"/>
            </w:pPr>
            <w:r/>
            <w:r>
              <w:rPr>
                <w:rFonts w:ascii="Times New Roman" w:hAnsi="Times New Roman" w:eastAsia="HY신명조"/>
                <w:b w:val="0"/>
                <w:sz w:val="18"/>
              </w:rPr>
              <w:t>Pedestrian launch time</w:t>
            </w:r>
          </w:p>
        </w:tc>
        <w:tc>
          <w:tcPr>
            <w:tcW w:type="dxa" w:w="2835"/>
          </w:tcPr>
          <w:p>
            <w:pPr>
              <w:spacing w:line="288" w:lineRule="auto" w:before="20" w:after="20"/>
              <w:jc w:val="left"/>
            </w:pPr>
            <w:r/>
            <w:r>
              <w:rPr>
                <w:rFonts w:ascii="Times New Roman" w:hAnsi="Times New Roman" w:eastAsia="HY신명조"/>
                <w:b w:val="0"/>
                <w:sz w:val="18"/>
              </w:rPr>
              <w:t>t_detect + 3.0 s</w:t>
            </w:r>
          </w:p>
        </w:tc>
        <w:tc>
          <w:tcPr>
            <w:tcW w:type="dxa" w:w="2835"/>
          </w:tcPr>
          <w:p>
            <w:pPr>
              <w:spacing w:line="288" w:lineRule="auto" w:before="20" w:after="20"/>
              <w:jc w:val="left"/>
            </w:pPr>
            <w:r/>
            <w:r>
              <w:rPr>
                <w:rFonts w:ascii="Times New Roman" w:hAnsi="Times New Roman" w:eastAsia="HY신명조"/>
                <w:b w:val="0"/>
                <w:sz w:val="18"/>
              </w:rPr>
              <w:t>Ablation study, behavior-independent time trigger (Chapter 4, Section 7)</w:t>
            </w:r>
          </w:p>
        </w:tc>
      </w:tr>
      <w:tr>
        <w:trPr>
          <w:cantSplit/>
        </w:trPr>
        <w:tc>
          <w:tcPr>
            <w:tcW w:type="dxa" w:w="2835"/>
          </w:tcPr>
          <w:p>
            <w:pPr>
              <w:spacing w:line="288" w:lineRule="auto" w:before="20" w:after="20"/>
              <w:jc w:val="left"/>
            </w:pPr>
            <w:r/>
            <w:r>
              <w:rPr>
                <w:rFonts w:ascii="Times New Roman" w:hAnsi="Times New Roman" w:eastAsia="HY신명조"/>
                <w:b w:val="0"/>
                <w:sz w:val="18"/>
              </w:rPr>
              <w:t>Launch geometry</w:t>
            </w:r>
          </w:p>
        </w:tc>
        <w:tc>
          <w:tcPr>
            <w:tcW w:type="dxa" w:w="2835"/>
          </w:tcPr>
          <w:p>
            <w:pPr>
              <w:spacing w:line="288" w:lineRule="auto" w:before="20" w:after="20"/>
              <w:jc w:val="left"/>
            </w:pPr>
            <w:r/>
            <w:r>
              <w:rPr>
                <w:rFonts w:ascii="Times New Roman" w:hAnsi="Times New Roman" w:eastAsia="HY신명조"/>
                <w:b w:val="0"/>
                <w:sz w:val="18"/>
              </w:rPr>
              <w:t>8 m ahead, lateral jitter ±0.2 m</w:t>
            </w:r>
          </w:p>
        </w:tc>
        <w:tc>
          <w:tcPr>
            <w:tcW w:type="dxa" w:w="2835"/>
          </w:tcPr>
          <w:p>
            <w:pPr>
              <w:spacing w:line="288" w:lineRule="auto" w:before="20" w:after="20"/>
              <w:jc w:val="left"/>
            </w:pPr>
            <w:r/>
            <w:r>
              <w:rPr>
                <w:rFonts w:ascii="Times New Roman" w:hAnsi="Times New Roman" w:eastAsia="HY신명조"/>
                <w:b w:val="0"/>
                <w:sz w:val="18"/>
              </w:rPr>
              <w:t>Crossing starts at the right edge of the driving lane +0.5 m</w:t>
            </w:r>
          </w:p>
        </w:tc>
      </w:tr>
      <w:tr>
        <w:trPr>
          <w:cantSplit/>
        </w:trPr>
        <w:tc>
          <w:tcPr>
            <w:tcW w:type="dxa" w:w="2835"/>
          </w:tcPr>
          <w:p>
            <w:pPr>
              <w:spacing w:line="288" w:lineRule="auto" w:before="20" w:after="20"/>
              <w:jc w:val="left"/>
            </w:pPr>
            <w:r/>
            <w:r>
              <w:rPr>
                <w:rFonts w:ascii="Times New Roman" w:hAnsi="Times New Roman" w:eastAsia="HY신명조"/>
                <w:b w:val="0"/>
                <w:sz w:val="18"/>
              </w:rPr>
              <w:t>Commanded walking speed</w:t>
            </w:r>
          </w:p>
        </w:tc>
        <w:tc>
          <w:tcPr>
            <w:tcW w:type="dxa" w:w="2835"/>
          </w:tcPr>
          <w:p>
            <w:pPr>
              <w:spacing w:line="288" w:lineRule="auto" w:before="20" w:after="20"/>
              <w:jc w:val="left"/>
            </w:pPr>
            <w:r/>
            <w:r>
              <w:rPr>
                <w:rFonts w:ascii="Times New Roman" w:hAnsi="Times New Roman" w:eastAsia="HY신명조"/>
                <w:b w:val="0"/>
                <w:sz w:val="18"/>
              </w:rPr>
              <w:t>{2.5, 3.0} m/s (blocked by seed)</w:t>
            </w:r>
          </w:p>
        </w:tc>
        <w:tc>
          <w:tcPr>
            <w:tcW w:type="dxa" w:w="2835"/>
          </w:tcPr>
          <w:p>
            <w:pPr>
              <w:spacing w:line="288" w:lineRule="auto" w:before="20" w:after="20"/>
              <w:jc w:val="left"/>
            </w:pPr>
            <w:r/>
            <w:r>
              <w:rPr>
                <w:rFonts w:ascii="Times New Roman" w:hAnsi="Times New Roman" w:eastAsia="HY신명조"/>
                <w:b w:val="0"/>
                <w:sz w:val="18"/>
              </w:rPr>
              <w:t>Measured (tick-instrumented encounter runs, n=90): median 2.46 m/s in the 0.5 s window (1.2–3.0) and 2.50 m/s in the 1 s window — the acceleration transient is discussed in Chapter 6, Section 6</w:t>
            </w:r>
          </w:p>
        </w:tc>
      </w:tr>
      <w:tr>
        <w:trPr>
          <w:cantSplit/>
        </w:trPr>
        <w:tc>
          <w:tcPr>
            <w:tcW w:type="dxa" w:w="2835"/>
          </w:tcPr>
          <w:p>
            <w:pPr>
              <w:spacing w:line="288" w:lineRule="auto" w:before="20" w:after="20"/>
              <w:jc w:val="left"/>
            </w:pPr>
            <w:r/>
            <w:r>
              <w:rPr>
                <w:rFonts w:ascii="Times New Roman" w:hAnsi="Times New Roman" w:eastAsia="HY신명조"/>
                <w:b w:val="0"/>
                <w:sz w:val="18"/>
              </w:rPr>
              <w:t>Ablation seeds</w:t>
            </w:r>
          </w:p>
        </w:tc>
        <w:tc>
          <w:tcPr>
            <w:tcW w:type="dxa" w:w="2835"/>
          </w:tcPr>
          <w:p>
            <w:pPr>
              <w:spacing w:line="288" w:lineRule="auto" w:before="20" w:after="20"/>
              <w:jc w:val="left"/>
            </w:pPr>
            <w:r/>
            <w:r>
              <w:rPr>
                <w:rFonts w:ascii="Times New Roman" w:hAnsi="Times New Roman" w:eastAsia="HY신명조"/>
                <w:b w:val="0"/>
                <w:sz w:val="18"/>
              </w:rPr>
              <w:t>S02–S21 (20 seeds, shared pairwise across the 3 arms;</w:t>
            </w:r>
          </w:p>
          <w:p>
            <w:pPr>
              <w:spacing w:line="288" w:lineRule="auto" w:before="20" w:after="20"/>
              <w:jc w:val="left"/>
            </w:pPr>
            <w:r>
              <w:rPr>
                <w:rFonts w:ascii="Times New Roman" w:hAnsi="Times New Roman" w:eastAsia="HY신명조"/>
                <w:b w:val="0"/>
                <w:sz w:val="18"/>
              </w:rPr>
              <w:t>S01 excluded as development seed)</w:t>
            </w:r>
          </w:p>
        </w:tc>
        <w:tc>
          <w:tcPr>
            <w:tcW w:type="dxa" w:w="2835"/>
          </w:tcPr>
          <w:p>
            <w:pPr>
              <w:spacing w:line="288" w:lineRule="auto" w:before="20" w:after="20"/>
              <w:jc w:val="left"/>
            </w:pPr>
            <w:r/>
            <w:r>
              <w:rPr>
                <w:rFonts w:ascii="Times New Roman" w:hAnsi="Times New Roman" w:eastAsia="HY신명조"/>
                <w:b w:val="0"/>
                <w:sz w:val="18"/>
              </w:rPr>
              <w:t>Fixed: fault onset 11–44 s, walking 2.5/3.0 m/s blocks, lateral jitter,</w:t>
            </w:r>
          </w:p>
          <w:p>
            <w:pPr>
              <w:spacing w:line="288" w:lineRule="auto" w:before="20" w:after="20"/>
              <w:jc w:val="left"/>
            </w:pPr>
            <w:r>
              <w:rPr>
                <w:rFonts w:ascii="Times New Roman" w:hAnsi="Times New Roman" w:eastAsia="HY신명조"/>
                <w:b w:val="0"/>
                <w:sz w:val="18"/>
              </w:rPr>
              <w:t>CARLA, fault waveform (FAULT_SEED), pedestrian random numbers (Chapter 4, Section 7)</w:t>
            </w:r>
          </w:p>
        </w:tc>
      </w:tr>
      <w:tr>
        <w:trPr>
          <w:cantSplit/>
        </w:trPr>
        <w:tc>
          <w:tcPr>
            <w:tcW w:type="dxa" w:w="2835"/>
          </w:tcPr>
          <w:p>
            <w:pPr>
              <w:spacing w:line="288" w:lineRule="auto" w:before="20" w:after="20"/>
              <w:jc w:val="left"/>
            </w:pPr>
            <w:r/>
            <w:r>
              <w:rPr>
                <w:rFonts w:ascii="Times New Roman" w:hAnsi="Times New Roman" w:eastAsia="HY신명조"/>
                <w:b w:val="0"/>
                <w:sz w:val="18"/>
              </w:rPr>
              <w:t>Fault intensity (SEVERITY, mid/high)</w:t>
            </w:r>
          </w:p>
        </w:tc>
        <w:tc>
          <w:tcPr>
            <w:tcW w:type="dxa" w:w="2835"/>
          </w:tcPr>
          <w:p>
            <w:pPr>
              <w:spacing w:line="288" w:lineRule="auto" w:before="20" w:after="20"/>
              <w:jc w:val="left"/>
            </w:pPr>
            <w:r/>
            <w:r>
              <w:rPr>
                <w:rFonts w:ascii="Times New Roman" w:hAnsi="Times New Roman" w:eastAsia="HY신명조"/>
                <w:b w:val="0"/>
                <w:sz w:val="18"/>
              </w:rPr>
              <w:t>cn 15/30, imn 0.5/1.5, gn 1.0/2.5,</w:t>
            </w:r>
          </w:p>
          <w:p>
            <w:pPr>
              <w:spacing w:line="288" w:lineRule="auto" w:before="20" w:after="20"/>
              <w:jc w:val="left"/>
            </w:pPr>
            <w:r>
              <w:rPr>
                <w:rFonts w:ascii="Times New Roman" w:hAnsi="Times New Roman" w:eastAsia="HY신명조"/>
                <w:b w:val="0"/>
                <w:sz w:val="18"/>
              </w:rPr>
              <w:t>lso "0.33:90"/"0.07:150", lcl "5:1500"/"25:4000"</w:t>
            </w:r>
          </w:p>
        </w:tc>
        <w:tc>
          <w:tcPr>
            <w:tcW w:type="dxa" w:w="2835"/>
          </w:tcPr>
          <w:p>
            <w:pPr>
              <w:spacing w:line="288" w:lineRule="auto" w:before="20" w:after="20"/>
              <w:jc w:val="left"/>
            </w:pPr>
            <w:r/>
            <w:r>
              <w:rPr>
                <w:rFonts w:ascii="Times New Roman" w:hAnsi="Times New Roman" w:eastAsia="HY신명조"/>
                <w:b w:val="0"/>
                <w:sz w:val="18"/>
              </w:rPr>
              <w:t>Raw injector parameter values (cn pixel σ, imn gyro σ,</w:t>
            </w:r>
          </w:p>
          <w:p>
            <w:pPr>
              <w:spacing w:line="288" w:lineRule="auto" w:before="20" w:after="20"/>
              <w:jc w:val="left"/>
            </w:pPr>
            <w:r>
              <w:rPr>
                <w:rFonts w:ascii="Times New Roman" w:hAnsi="Times New Roman" w:eastAsia="HY신명조"/>
                <w:b w:val="0"/>
                <w:sz w:val="18"/>
              </w:rPr>
              <w:t>gn position σ[m], lso/lcl physical parameter pairs)</w:t>
            </w:r>
          </w:p>
        </w:tc>
      </w:tr>
      <w:tr>
        <w:trPr>
          <w:cantSplit/>
        </w:trPr>
        <w:tc>
          <w:tcPr>
            <w:tcW w:type="dxa" w:w="2835"/>
          </w:tcPr>
          <w:p>
            <w:pPr>
              <w:spacing w:line="288" w:lineRule="auto" w:before="20" w:after="20"/>
              <w:jc w:val="left"/>
            </w:pPr>
            <w:r/>
            <w:r>
              <w:rPr>
                <w:rFonts w:ascii="Times New Roman" w:hAnsi="Times New Roman" w:eastAsia="HY신명조"/>
                <w:b w:val="0"/>
                <w:sz w:val="18"/>
              </w:rPr>
              <w:t>Simulator lifetime</w:t>
            </w:r>
          </w:p>
        </w:tc>
        <w:tc>
          <w:tcPr>
            <w:tcW w:type="dxa" w:w="2835"/>
          </w:tcPr>
          <w:p>
            <w:pPr>
              <w:spacing w:line="288" w:lineRule="auto" w:before="20" w:after="20"/>
              <w:jc w:val="left"/>
            </w:pPr>
            <w:r/>
            <w:r>
              <w:rPr>
                <w:rFonts w:ascii="Times New Roman" w:hAnsi="Times New Roman" w:eastAsia="HY신명조"/>
                <w:b w:val="0"/>
                <w:sz w:val="18"/>
              </w:rPr>
              <w:t>CARLA_RESTART_EVERY=1</w:t>
            </w:r>
          </w:p>
        </w:tc>
        <w:tc>
          <w:tcPr>
            <w:tcW w:type="dxa" w:w="2835"/>
          </w:tcPr>
          <w:p>
            <w:pPr>
              <w:spacing w:line="288" w:lineRule="auto" w:before="20" w:after="20"/>
              <w:jc w:val="left"/>
            </w:pPr>
            <w:r/>
            <w:r>
              <w:rPr>
                <w:rFonts w:ascii="Times New Roman" w:hAnsi="Times New Roman" w:eastAsia="HY신명조"/>
                <w:b w:val="0"/>
                <w:sz w:val="18"/>
              </w:rPr>
              <w:t>Full restart for every case — blocks state accumulation</w:t>
            </w:r>
          </w:p>
        </w:tc>
      </w:tr>
      <w:tr>
        <w:trPr>
          <w:cantSplit/>
        </w:trPr>
        <w:tc>
          <w:tcPr>
            <w:tcW w:type="dxa" w:w="2835"/>
          </w:tcPr>
          <w:p>
            <w:pPr>
              <w:spacing w:line="288" w:lineRule="auto" w:before="20" w:after="20"/>
              <w:jc w:val="left"/>
            </w:pPr>
            <w:r/>
            <w:r>
              <w:rPr>
                <w:rFonts w:ascii="Times New Roman" w:hAnsi="Times New Roman" w:eastAsia="HY신명조"/>
                <w:b w:val="0"/>
                <w:sz w:val="18"/>
              </w:rPr>
              <w:t>Dose-response launch bands</w:t>
            </w:r>
          </w:p>
        </w:tc>
        <w:tc>
          <w:tcPr>
            <w:tcW w:type="dxa" w:w="2835"/>
          </w:tcPr>
          <w:p>
            <w:pPr>
              <w:spacing w:line="288" w:lineRule="auto" w:before="20" w:after="20"/>
              <w:jc w:val="left"/>
            </w:pPr>
            <w:r/>
            <w:r>
              <w:rPr>
                <w:rFonts w:ascii="Times New Roman" w:hAnsi="Times New Roman" w:eastAsia="HY신명조"/>
                <w:b w:val="0"/>
                <w:sz w:val="18"/>
              </w:rPr>
              <w:t>4.2→[3.85, 4.45] · 3.6→[3.25, 3.75] ·</w:t>
            </w:r>
          </w:p>
          <w:p>
            <w:pPr>
              <w:spacing w:line="288" w:lineRule="auto" w:before="20" w:after="20"/>
              <w:jc w:val="left"/>
            </w:pPr>
            <w:r>
              <w:rPr>
                <w:rFonts w:ascii="Times New Roman" w:hAnsi="Times New Roman" w:eastAsia="HY신명조"/>
                <w:b w:val="0"/>
                <w:sz w:val="18"/>
              </w:rPr>
              <w:t>3.0→[2.65, 3.15] m/s, 1.0 s continuous, spread ≤0.25</w:t>
            </w:r>
          </w:p>
        </w:tc>
        <w:tc>
          <w:tcPr>
            <w:tcW w:type="dxa" w:w="2835"/>
          </w:tcPr>
          <w:p>
            <w:pPr>
              <w:spacing w:line="288" w:lineRule="auto" w:before="20" w:after="20"/>
              <w:jc w:val="left"/>
            </w:pPr>
            <w:r/>
            <w:r>
              <w:rPr>
                <w:rFonts w:ascii="Times New Roman" w:hAnsi="Times New Roman" w:eastAsia="HY신명조"/>
                <w:b w:val="0"/>
                <w:sz w:val="18"/>
              </w:rPr>
              <w:t>Settlement trigger; reflects the smoother tracking offset (about −0.2), mutually disjoint (Chapter 5, Section 6)</w:t>
            </w:r>
          </w:p>
        </w:tc>
      </w:tr>
      <w:tr>
        <w:trPr>
          <w:cantSplit/>
        </w:trPr>
        <w:tc>
          <w:tcPr>
            <w:tcW w:type="dxa" w:w="2835"/>
          </w:tcPr>
          <w:p>
            <w:pPr>
              <w:spacing w:line="288" w:lineRule="auto" w:before="20" w:after="20"/>
              <w:jc w:val="left"/>
            </w:pPr>
            <w:r/>
            <w:r>
              <w:rPr>
                <w:rFonts w:ascii="Times New Roman" w:hAnsi="Times New Roman" w:eastAsia="HY신명조"/>
                <w:b w:val="0"/>
                <w:sz w:val="18"/>
              </w:rPr>
              <w:t>Traffic-light control</w:t>
            </w:r>
          </w:p>
        </w:tc>
        <w:tc>
          <w:tcPr>
            <w:tcW w:type="dxa" w:w="2835"/>
          </w:tcPr>
          <w:p>
            <w:pPr>
              <w:spacing w:line="288" w:lineRule="auto" w:before="20" w:after="20"/>
              <w:jc w:val="left"/>
            </w:pPr>
            <w:r/>
            <w:r>
              <w:rPr>
                <w:rFonts w:ascii="Times New Roman" w:hAnsi="Times New Roman" w:eastAsia="HY신명조"/>
                <w:b w:val="0"/>
                <w:sz w:val="18"/>
              </w:rPr>
              <w:t>All frozen green</w:t>
            </w:r>
          </w:p>
        </w:tc>
        <w:tc>
          <w:tcPr>
            <w:tcW w:type="dxa" w:w="2835"/>
          </w:tcPr>
          <w:p>
            <w:pPr>
              <w:spacing w:line="288" w:lineRule="auto" w:before="20" w:after="20"/>
              <w:jc w:val="left"/>
            </w:pPr>
            <w:r/>
            <w:r>
              <w:rPr>
                <w:rFonts w:ascii="Times New Roman" w:hAnsi="Times New Roman" w:eastAsia="HY신명조"/>
                <w:b w:val="0"/>
                <w:sz w:val="18"/>
              </w:rPr>
              <w:t>Removes signal-wait confounds in the encounter experiments (experimental control setting)</w:t>
            </w:r>
          </w:p>
        </w:tc>
      </w:tr>
    </w:tbl>
    <w:p>
      <w:pPr>
        <w:pageBreakBefore/>
        <w:spacing w:line="501" w:lineRule="exact" w:before="0" w:after="0"/>
        <w:jc w:val="center"/>
      </w:pPr>
      <w:r>
        <w:rPr>
          <w:rFonts w:ascii="Times New Roman" w:hAnsi="Times New Roman" w:eastAsia="HY신명조"/>
          <w:b/>
          <w:sz w:val="32"/>
        </w:rPr>
        <w:t>Chapter 5. Experimental Results</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Main Campaign: Detection Performance and Per-Fault Monitoring and Evacuation Behavior</w:t>
      </w:r>
    </w:p>
    <w:p>
      <w:pPr>
        <w:spacing w:line="501" w:lineRule="exact" w:before="0" w:after="0"/>
      </w:pPr>
    </w:p>
    <w:p>
      <w:pPr>
        <w:spacing w:line="501" w:lineRule="exact" w:before="0" w:after="0"/>
        <w:jc w:val="both"/>
      </w:pPr>
      <w:r>
        <w:rPr>
          <w:rFonts w:ascii="Times New Roman" w:hAnsi="Times New Roman" w:eastAsia="HY신명조"/>
          <w:b w:val="0"/>
          <w:sz w:val="22"/>
        </w:rPr>
        <w:t xml:space="preserve">   We begin with detection performance (the premise of RQ1). Table 5-1 summarizes the detection rate and median detection latency for each fault type × severity condition of the main campaign. The proposed detectors achieved detection rates of 96–100% in 11 of the 12 fault conditions — median detection latencies of about 1.0 s for hard fails (cf/lf, ledger re-measurement, simulation time) and 2.1–5.0 s for degradation faults (wall clock — different clock domains, not directly compared), with zero false activations across the 45 fault-free (nf) control cases. The sole exception, mid-severity LiDAR sparsification (lso-mid, detection rate 0.02), falls by design within the tolerated (normal) band above the threshold — even after point dropout at this level, an effective detection range of roughly 55 m remains, the health score does not reach the intervention condition, and the supervisor chooses deliberate non-intervention (continued driving) (Table 5-2). With the present data, however, "tolerance as designed" cannot be separated from "insensitivity of the quality channel," so the detection rate of Table 5-1 should be read as an indicator of intervention eligibility rather than of fault-existence detection. We do not, however, describe this non-intervention purely as a "precise judgment": it overlaps with a detection limitation — the valid-point-ratio channel is insensitive to sparsification at this level — and separating the tolerance judgment from the detection limitation is explicitly stated as future work. The four navigation faults not included in the main campaign (gb correlated bias, gf outage, imb gyro bias, imd bias ramp) were evaluated in a navigation-extension matrix with the same matrix structure (45 cases per condition and method, identical seed pairing): the detection rate was 100% in every condition across the 611/630 valid cases (Table 5-1, bottom, †), and every case converged to localization-confidence-based deferral, exhibiting the same design manifestation as gn-high. We note three observations. (i) The detection latency of imd is inversely related to the ramp slope (median 8.6 s vs. 5.4 s) — an empirical extension of the formulation that small faults are caught later but also become dangerous later. (ii) The detection latency of gf is bimodal: outages while driving are caught at a median of about 3 s, whereas outages coinciding with a stop at a red light are caught only after restarting (21–40 s). This is an intended delay produced by the speed condition of the silence-decay mechanism, which does not treat loss of localization while stationary as an immediate hazard; since the vehicle is stopped, it is not a risk exposure — however, reporting the median alone for a bimodal distribution would be misleading, so we report the two modes separately. (iii) The manner of the deferral stop split along fault type: the GNSS family produced comfortable stops, whereas the IMU family produced hard stops in every case — since even a comfortable stop is trajectory following, the execution layer demotes it to a hard stop when the rotational sense is corrupted.</w:t>
      </w:r>
    </w:p>
    <w:p>
      <w:pPr>
        <w:keepNext/>
        <w:spacing w:line="312" w:lineRule="auto" w:before="40" w:after="0"/>
      </w:pPr>
      <w:r>
        <w:rPr>
          <w:rFonts w:ascii="Times New Roman" w:hAnsi="Times New Roman" w:eastAsia="HY신명조"/>
          <w:b/>
          <w:sz w:val="18"/>
        </w:rPr>
        <w:t xml:space="preserve">Table 5-1. </w:t>
      </w:r>
      <w:r>
        <w:rPr>
          <w:rFonts w:ascii="Times New Roman" w:hAnsi="Times New Roman" w:eastAsia="HY신명조"/>
          <w:b w:val="0"/>
          <w:sz w:val="18"/>
        </w:rPr>
        <w:t>Detection performance: detection rate and median detection latency per fault condition (full campaign; † navigation extension — proposed detectors)</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Times New Roman" w:hAnsi="Times New Roman" w:eastAsia="HY신명조"/>
                <w:b/>
                <w:sz w:val="18"/>
              </w:rPr>
              <w:t>Fault</w:t>
            </w:r>
          </w:p>
        </w:tc>
        <w:tc>
          <w:tcPr>
            <w:tcW w:type="dxa" w:w="1701"/>
          </w:tcPr>
          <w:p>
            <w:pPr>
              <w:spacing w:line="288" w:lineRule="auto" w:before="20" w:after="20"/>
              <w:jc w:val="center"/>
            </w:pPr>
            <w:r/>
            <w:r>
              <w:rPr>
                <w:rFonts w:ascii="Times New Roman" w:hAnsi="Times New Roman" w:eastAsia="HY신명조"/>
                <w:b/>
                <w:sz w:val="18"/>
              </w:rPr>
              <w:t>Severity</w:t>
            </w:r>
          </w:p>
        </w:tc>
        <w:tc>
          <w:tcPr>
            <w:tcW w:type="dxa" w:w="1701"/>
          </w:tcPr>
          <w:p>
            <w:pPr>
              <w:spacing w:line="288" w:lineRule="auto" w:before="20" w:after="20"/>
              <w:jc w:val="center"/>
            </w:pPr>
            <w:r/>
            <w:r>
              <w:rPr>
                <w:rFonts w:ascii="Times New Roman" w:hAnsi="Times New Roman" w:eastAsia="HY신명조"/>
                <w:b/>
                <w:sz w:val="18"/>
              </w:rPr>
              <w:t>n</w:t>
            </w:r>
          </w:p>
        </w:tc>
        <w:tc>
          <w:tcPr>
            <w:tcW w:type="dxa" w:w="1701"/>
          </w:tcPr>
          <w:p>
            <w:pPr>
              <w:spacing w:line="288" w:lineRule="auto" w:before="20" w:after="20"/>
              <w:jc w:val="center"/>
            </w:pPr>
            <w:r/>
            <w:r>
              <w:rPr>
                <w:rFonts w:ascii="Times New Roman" w:hAnsi="Times New Roman" w:eastAsia="HY신명조"/>
                <w:b/>
                <w:sz w:val="18"/>
              </w:rPr>
              <w:t>Detection rate</w:t>
            </w:r>
          </w:p>
        </w:tc>
        <w:tc>
          <w:tcPr>
            <w:tcW w:type="dxa" w:w="1701"/>
          </w:tcPr>
          <w:p>
            <w:pPr>
              <w:spacing w:line="288" w:lineRule="auto" w:before="20" w:after="20"/>
              <w:jc w:val="center"/>
            </w:pPr>
            <w:r/>
            <w:r>
              <w:rPr>
                <w:rFonts w:ascii="Times New Roman" w:hAnsi="Times New Roman" w:eastAsia="HY신명조"/>
                <w:b/>
                <w:sz w:val="18"/>
              </w:rPr>
              <w:t>Median detection latency (s)</w:t>
            </w:r>
          </w:p>
        </w:tc>
      </w:tr>
      <w:tr>
        <w:trPr>
          <w:cantSplit/>
        </w:trPr>
        <w:tc>
          <w:tcPr>
            <w:tcW w:type="dxa" w:w="1701"/>
          </w:tcPr>
          <w:p>
            <w:pPr>
              <w:spacing w:line="288" w:lineRule="auto" w:before="20" w:after="20"/>
              <w:jc w:val="left"/>
            </w:pPr>
            <w:r/>
            <w:r>
              <w:rPr>
                <w:rFonts w:ascii="Times New Roman" w:hAnsi="Times New Roman" w:eastAsia="HY신명조"/>
                <w:b w:val="0"/>
                <w:sz w:val="18"/>
              </w:rPr>
              <w:t>cf camera death</w:t>
            </w:r>
          </w:p>
        </w:tc>
        <w:tc>
          <w:tcPr>
            <w:tcW w:type="dxa" w:w="1701"/>
          </w:tcPr>
          <w:p>
            <w:pPr>
              <w:spacing w:line="288" w:lineRule="auto" w:before="20" w:after="20"/>
              <w:jc w:val="left"/>
            </w:pPr>
            <w:r/>
            <w:r>
              <w:rPr>
                <w:rFonts w:ascii="Times New Roman" w:hAnsi="Times New Roman" w:eastAsia="HY신명조"/>
                <w:b w:val="0"/>
                <w:sz w:val="18"/>
              </w:rPr>
              <w:t>-</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0.98*</w:t>
            </w:r>
          </w:p>
        </w:tc>
      </w:tr>
      <w:tr>
        <w:trPr>
          <w:cantSplit/>
        </w:trPr>
        <w:tc>
          <w:tcPr>
            <w:tcW w:type="dxa" w:w="1701"/>
          </w:tcPr>
          <w:p>
            <w:pPr>
              <w:spacing w:line="288" w:lineRule="auto" w:before="20" w:after="20"/>
              <w:jc w:val="left"/>
            </w:pPr>
            <w:r/>
            <w:r>
              <w:rPr>
                <w:rFonts w:ascii="Times New Roman" w:hAnsi="Times New Roman" w:eastAsia="HY신명조"/>
                <w:b w:val="0"/>
                <w:sz w:val="18"/>
              </w:rPr>
              <w:t>cn camera noise</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3.2</w:t>
            </w:r>
          </w:p>
        </w:tc>
      </w:tr>
      <w:tr>
        <w:trPr>
          <w:cantSplit/>
        </w:trPr>
        <w:tc>
          <w:tcPr>
            <w:tcW w:type="dxa" w:w="1701"/>
          </w:tcPr>
          <w:p>
            <w:pPr>
              <w:spacing w:line="288" w:lineRule="auto" w:before="20" w:after="20"/>
              <w:jc w:val="left"/>
            </w:pPr>
            <w:r/>
            <w:r>
              <w:rPr>
                <w:rFonts w:ascii="Times New Roman" w:hAnsi="Times New Roman" w:eastAsia="HY신명조"/>
                <w:b w:val="0"/>
                <w:sz w:val="18"/>
              </w:rPr>
              <w:t>cn camera noise</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0.98</w:t>
            </w:r>
          </w:p>
        </w:tc>
        <w:tc>
          <w:tcPr>
            <w:tcW w:type="dxa" w:w="1701"/>
          </w:tcPr>
          <w:p>
            <w:pPr>
              <w:spacing w:line="288" w:lineRule="auto" w:before="20" w:after="20"/>
              <w:jc w:val="left"/>
            </w:pPr>
            <w:r/>
            <w:r>
              <w:rPr>
                <w:rFonts w:ascii="Times New Roman" w:hAnsi="Times New Roman" w:eastAsia="HY신명조"/>
                <w:b w:val="0"/>
                <w:sz w:val="18"/>
              </w:rPr>
              <w:t>3.3</w:t>
            </w:r>
          </w:p>
        </w:tc>
      </w:tr>
      <w:tr>
        <w:trPr>
          <w:cantSplit/>
        </w:trPr>
        <w:tc>
          <w:tcPr>
            <w:tcW w:type="dxa" w:w="1701"/>
          </w:tcPr>
          <w:p>
            <w:pPr>
              <w:spacing w:line="288" w:lineRule="auto" w:before="20" w:after="20"/>
              <w:jc w:val="left"/>
            </w:pPr>
            <w:r/>
            <w:r>
              <w:rPr>
                <w:rFonts w:ascii="Times New Roman" w:hAnsi="Times New Roman" w:eastAsia="HY신명조"/>
                <w:b w:val="0"/>
                <w:sz w:val="18"/>
              </w:rPr>
              <w:t>gn GNSS position noise</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4.4</w:t>
            </w:r>
          </w:p>
        </w:tc>
      </w:tr>
      <w:tr>
        <w:trPr>
          <w:cantSplit/>
        </w:trPr>
        <w:tc>
          <w:tcPr>
            <w:tcW w:type="dxa" w:w="1701"/>
          </w:tcPr>
          <w:p>
            <w:pPr>
              <w:spacing w:line="288" w:lineRule="auto" w:before="20" w:after="20"/>
              <w:jc w:val="left"/>
            </w:pPr>
            <w:r/>
            <w:r>
              <w:rPr>
                <w:rFonts w:ascii="Times New Roman" w:hAnsi="Times New Roman" w:eastAsia="HY신명조"/>
                <w:b w:val="0"/>
                <w:sz w:val="18"/>
              </w:rPr>
              <w:t>gn GNSS position noise</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2.1</w:t>
            </w:r>
          </w:p>
        </w:tc>
      </w:tr>
      <w:tr>
        <w:trPr>
          <w:cantSplit/>
        </w:trPr>
        <w:tc>
          <w:tcPr>
            <w:tcW w:type="dxa" w:w="1701"/>
          </w:tcPr>
          <w:p>
            <w:pPr>
              <w:spacing w:line="288" w:lineRule="auto" w:before="20" w:after="20"/>
              <w:jc w:val="left"/>
            </w:pPr>
            <w:r/>
            <w:r>
              <w:rPr>
                <w:rFonts w:ascii="Times New Roman" w:hAnsi="Times New Roman" w:eastAsia="HY신명조"/>
                <w:b w:val="0"/>
                <w:sz w:val="18"/>
              </w:rPr>
              <w:t>imn IMU gyro noise</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0.98</w:t>
            </w:r>
          </w:p>
        </w:tc>
        <w:tc>
          <w:tcPr>
            <w:tcW w:type="dxa" w:w="1701"/>
          </w:tcPr>
          <w:p>
            <w:pPr>
              <w:spacing w:line="288" w:lineRule="auto" w:before="20" w:after="20"/>
              <w:jc w:val="left"/>
            </w:pPr>
            <w:r/>
            <w:r>
              <w:rPr>
                <w:rFonts w:ascii="Times New Roman" w:hAnsi="Times New Roman" w:eastAsia="HY신명조"/>
                <w:b w:val="0"/>
                <w:sz w:val="18"/>
              </w:rPr>
              <w:t>3.7</w:t>
            </w:r>
          </w:p>
        </w:tc>
      </w:tr>
      <w:tr>
        <w:trPr>
          <w:cantSplit/>
        </w:trPr>
        <w:tc>
          <w:tcPr>
            <w:tcW w:type="dxa" w:w="1701"/>
          </w:tcPr>
          <w:p>
            <w:pPr>
              <w:spacing w:line="288" w:lineRule="auto" w:before="20" w:after="20"/>
              <w:jc w:val="left"/>
            </w:pPr>
            <w:r/>
            <w:r>
              <w:rPr>
                <w:rFonts w:ascii="Times New Roman" w:hAnsi="Times New Roman" w:eastAsia="HY신명조"/>
                <w:b w:val="0"/>
                <w:sz w:val="18"/>
              </w:rPr>
              <w:t>imn IMU gyro noise</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4.8</w:t>
            </w:r>
          </w:p>
        </w:tc>
      </w:tr>
      <w:tr>
        <w:trPr>
          <w:cantSplit/>
        </w:trPr>
        <w:tc>
          <w:tcPr>
            <w:tcW w:type="dxa" w:w="1701"/>
          </w:tcPr>
          <w:p>
            <w:pPr>
              <w:spacing w:line="288" w:lineRule="auto" w:before="20" w:after="20"/>
              <w:jc w:val="left"/>
            </w:pPr>
            <w:r/>
            <w:r>
              <w:rPr>
                <w:rFonts w:ascii="Times New Roman" w:hAnsi="Times New Roman" w:eastAsia="HY신명조"/>
                <w:b w:val="0"/>
                <w:sz w:val="18"/>
              </w:rPr>
              <w:t>lcl LiDAR clutter</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26</w:t>
            </w:r>
          </w:p>
        </w:tc>
        <w:tc>
          <w:tcPr>
            <w:tcW w:type="dxa" w:w="1701"/>
          </w:tcPr>
          <w:p>
            <w:pPr>
              <w:spacing w:line="288" w:lineRule="auto" w:before="20" w:after="20"/>
              <w:jc w:val="left"/>
            </w:pPr>
            <w:r/>
            <w:r>
              <w:rPr>
                <w:rFonts w:ascii="Times New Roman" w:hAnsi="Times New Roman" w:eastAsia="HY신명조"/>
                <w:b w:val="0"/>
                <w:sz w:val="18"/>
              </w:rPr>
              <w:t>0.96</w:t>
            </w:r>
          </w:p>
        </w:tc>
        <w:tc>
          <w:tcPr>
            <w:tcW w:type="dxa" w:w="1701"/>
          </w:tcPr>
          <w:p>
            <w:pPr>
              <w:spacing w:line="288" w:lineRule="auto" w:before="20" w:after="20"/>
              <w:jc w:val="left"/>
            </w:pPr>
            <w:r/>
            <w:r>
              <w:rPr>
                <w:rFonts w:ascii="Times New Roman" w:hAnsi="Times New Roman" w:eastAsia="HY신명조"/>
                <w:b w:val="0"/>
                <w:sz w:val="18"/>
              </w:rPr>
              <w:t>4.5</w:t>
            </w:r>
          </w:p>
        </w:tc>
      </w:tr>
      <w:tr>
        <w:trPr>
          <w:cantSplit/>
        </w:trPr>
        <w:tc>
          <w:tcPr>
            <w:tcW w:type="dxa" w:w="1701"/>
          </w:tcPr>
          <w:p>
            <w:pPr>
              <w:spacing w:line="288" w:lineRule="auto" w:before="20" w:after="20"/>
              <w:jc w:val="left"/>
            </w:pPr>
            <w:r/>
            <w:r>
              <w:rPr>
                <w:rFonts w:ascii="Times New Roman" w:hAnsi="Times New Roman" w:eastAsia="HY신명조"/>
                <w:b w:val="0"/>
                <w:sz w:val="18"/>
              </w:rPr>
              <w:t>lcl LiDAR clutter</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4.8</w:t>
            </w:r>
          </w:p>
        </w:tc>
      </w:tr>
      <w:tr>
        <w:trPr>
          <w:cantSplit/>
        </w:trPr>
        <w:tc>
          <w:tcPr>
            <w:tcW w:type="dxa" w:w="1701"/>
          </w:tcPr>
          <w:p>
            <w:pPr>
              <w:spacing w:line="288" w:lineRule="auto" w:before="20" w:after="20"/>
              <w:jc w:val="left"/>
            </w:pPr>
            <w:r/>
            <w:r>
              <w:rPr>
                <w:rFonts w:ascii="Times New Roman" w:hAnsi="Times New Roman" w:eastAsia="HY신명조"/>
                <w:b w:val="0"/>
                <w:sz w:val="18"/>
              </w:rPr>
              <w:t>lf LiDAR death</w:t>
            </w:r>
          </w:p>
        </w:tc>
        <w:tc>
          <w:tcPr>
            <w:tcW w:type="dxa" w:w="1701"/>
          </w:tcPr>
          <w:p>
            <w:pPr>
              <w:spacing w:line="288" w:lineRule="auto" w:before="20" w:after="20"/>
              <w:jc w:val="left"/>
            </w:pPr>
            <w:r/>
            <w:r>
              <w:rPr>
                <w:rFonts w:ascii="Times New Roman" w:hAnsi="Times New Roman" w:eastAsia="HY신명조"/>
                <w:b w:val="0"/>
                <w:sz w:val="18"/>
              </w:rPr>
              <w:t>-</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1.00*</w:t>
            </w:r>
          </w:p>
        </w:tc>
      </w:tr>
      <w:tr>
        <w:trPr>
          <w:cantSplit/>
        </w:trPr>
        <w:tc>
          <w:tcPr>
            <w:tcW w:type="dxa" w:w="1701"/>
          </w:tcPr>
          <w:p>
            <w:pPr>
              <w:spacing w:line="288" w:lineRule="auto" w:before="20" w:after="20"/>
              <w:jc w:val="left"/>
            </w:pPr>
            <w:r/>
            <w:r>
              <w:rPr>
                <w:rFonts w:ascii="Times New Roman" w:hAnsi="Times New Roman" w:eastAsia="HY신명조"/>
                <w:b w:val="0"/>
                <w:sz w:val="18"/>
              </w:rPr>
              <w:t>lso LiDAR sparsification</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0.98</w:t>
            </w:r>
          </w:p>
        </w:tc>
        <w:tc>
          <w:tcPr>
            <w:tcW w:type="dxa" w:w="1701"/>
          </w:tcPr>
          <w:p>
            <w:pPr>
              <w:spacing w:line="288" w:lineRule="auto" w:before="20" w:after="20"/>
              <w:jc w:val="left"/>
            </w:pPr>
            <w:r/>
            <w:r>
              <w:rPr>
                <w:rFonts w:ascii="Times New Roman" w:hAnsi="Times New Roman" w:eastAsia="HY신명조"/>
                <w:b w:val="0"/>
                <w:sz w:val="18"/>
              </w:rPr>
              <w:t>5.0</w:t>
            </w:r>
          </w:p>
        </w:tc>
      </w:tr>
      <w:tr>
        <w:trPr>
          <w:cantSplit/>
        </w:trPr>
        <w:tc>
          <w:tcPr>
            <w:tcW w:type="dxa" w:w="1701"/>
          </w:tcPr>
          <w:p>
            <w:pPr>
              <w:spacing w:line="288" w:lineRule="auto" w:before="20" w:after="20"/>
              <w:jc w:val="left"/>
            </w:pPr>
            <w:r/>
            <w:r>
              <w:rPr>
                <w:rFonts w:ascii="Times New Roman" w:hAnsi="Times New Roman" w:eastAsia="HY신명조"/>
                <w:b w:val="0"/>
                <w:sz w:val="18"/>
              </w:rPr>
              <w:t>lso LiDAR sparsification</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0.02</w:t>
            </w:r>
          </w:p>
        </w:tc>
        <w:tc>
          <w:tcPr>
            <w:tcW w:type="dxa" w:w="1701"/>
          </w:tcPr>
          <w:p>
            <w:pPr>
              <w:spacing w:line="288" w:lineRule="auto" w:before="20" w:after="20"/>
              <w:jc w:val="left"/>
            </w:pPr>
            <w:r/>
            <w:r>
              <w:rPr>
                <w:rFonts w:ascii="Times New Roman" w:hAnsi="Times New Roman" w:eastAsia="HY신명조"/>
                <w:b w:val="0"/>
                <w:sz w:val="18"/>
              </w:rPr>
              <w:t>- (tolerated band; deliberate non-intervention)</w:t>
            </w:r>
          </w:p>
        </w:tc>
      </w:tr>
      <w:tr>
        <w:trPr>
          <w:cantSplit/>
        </w:trPr>
        <w:tc>
          <w:tcPr>
            <w:tcW w:type="dxa" w:w="1701"/>
          </w:tcPr>
          <w:p>
            <w:pPr>
              <w:spacing w:line="288" w:lineRule="auto" w:before="20" w:after="20"/>
              <w:jc w:val="left"/>
            </w:pPr>
            <w:r/>
            <w:r>
              <w:rPr>
                <w:rFonts w:ascii="Times New Roman" w:hAnsi="Times New Roman" w:eastAsia="HY신명조"/>
                <w:b w:val="0"/>
                <w:sz w:val="18"/>
              </w:rPr>
              <w:t>gb† GNSS correlated bias</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2.3</w:t>
            </w:r>
          </w:p>
        </w:tc>
      </w:tr>
      <w:tr>
        <w:trPr>
          <w:cantSplit/>
        </w:trPr>
        <w:tc>
          <w:tcPr>
            <w:tcW w:type="dxa" w:w="1701"/>
          </w:tcPr>
          <w:p>
            <w:pPr>
              <w:spacing w:line="288" w:lineRule="auto" w:before="20" w:after="20"/>
              <w:jc w:val="left"/>
            </w:pPr>
            <w:r/>
            <w:r>
              <w:rPr>
                <w:rFonts w:ascii="Times New Roman" w:hAnsi="Times New Roman" w:eastAsia="HY신명조"/>
                <w:b w:val="0"/>
                <w:sz w:val="18"/>
              </w:rPr>
              <w:t>gb† GNSS correlated bias</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3.0</w:t>
            </w:r>
          </w:p>
        </w:tc>
      </w:tr>
      <w:tr>
        <w:trPr>
          <w:cantSplit/>
        </w:trPr>
        <w:tc>
          <w:tcPr>
            <w:tcW w:type="dxa" w:w="1701"/>
          </w:tcPr>
          <w:p>
            <w:pPr>
              <w:spacing w:line="288" w:lineRule="auto" w:before="20" w:after="20"/>
              <w:jc w:val="left"/>
            </w:pPr>
            <w:r/>
            <w:r>
              <w:rPr>
                <w:rFonts w:ascii="Times New Roman" w:hAnsi="Times New Roman" w:eastAsia="HY신명조"/>
                <w:b w:val="0"/>
                <w:sz w:val="18"/>
              </w:rPr>
              <w:t>gf† GNSS outage</w:t>
            </w:r>
          </w:p>
        </w:tc>
        <w:tc>
          <w:tcPr>
            <w:tcW w:type="dxa" w:w="1701"/>
          </w:tcPr>
          <w:p>
            <w:pPr>
              <w:spacing w:line="288" w:lineRule="auto" w:before="20" w:after="20"/>
              <w:jc w:val="left"/>
            </w:pPr>
            <w:r/>
            <w:r>
              <w:rPr>
                <w:rFonts w:ascii="Times New Roman" w:hAnsi="Times New Roman" w:eastAsia="HY신명조"/>
                <w:b w:val="0"/>
                <w:sz w:val="18"/>
              </w:rPr>
              <w:t>-</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3.2 (while driving; bimodal — see text)</w:t>
            </w:r>
          </w:p>
        </w:tc>
      </w:tr>
      <w:tr>
        <w:trPr>
          <w:cantSplit/>
        </w:trPr>
        <w:tc>
          <w:tcPr>
            <w:tcW w:type="dxa" w:w="1701"/>
          </w:tcPr>
          <w:p>
            <w:pPr>
              <w:spacing w:line="288" w:lineRule="auto" w:before="20" w:after="20"/>
              <w:jc w:val="left"/>
            </w:pPr>
            <w:r/>
            <w:r>
              <w:rPr>
                <w:rFonts w:ascii="Times New Roman" w:hAnsi="Times New Roman" w:eastAsia="HY신명조"/>
                <w:b w:val="0"/>
                <w:sz w:val="18"/>
              </w:rPr>
              <w:t>imb† IMU gyro bias</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3.2</w:t>
            </w:r>
          </w:p>
        </w:tc>
      </w:tr>
      <w:tr>
        <w:trPr>
          <w:cantSplit/>
        </w:trPr>
        <w:tc>
          <w:tcPr>
            <w:tcW w:type="dxa" w:w="1701"/>
          </w:tcPr>
          <w:p>
            <w:pPr>
              <w:spacing w:line="288" w:lineRule="auto" w:before="20" w:after="20"/>
              <w:jc w:val="left"/>
            </w:pPr>
            <w:r/>
            <w:r>
              <w:rPr>
                <w:rFonts w:ascii="Times New Roman" w:hAnsi="Times New Roman" w:eastAsia="HY신명조"/>
                <w:b w:val="0"/>
                <w:sz w:val="18"/>
              </w:rPr>
              <w:t>imb† IMU gyro bias</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43</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3.6</w:t>
            </w:r>
          </w:p>
        </w:tc>
      </w:tr>
      <w:tr>
        <w:trPr>
          <w:cantSplit/>
        </w:trPr>
        <w:tc>
          <w:tcPr>
            <w:tcW w:type="dxa" w:w="1701"/>
          </w:tcPr>
          <w:p>
            <w:pPr>
              <w:spacing w:line="288" w:lineRule="auto" w:before="20" w:after="20"/>
              <w:jc w:val="left"/>
            </w:pPr>
            <w:r/>
            <w:r>
              <w:rPr>
                <w:rFonts w:ascii="Times New Roman" w:hAnsi="Times New Roman" w:eastAsia="HY신명조"/>
                <w:b w:val="0"/>
                <w:sz w:val="18"/>
              </w:rPr>
              <w:t>imd† IMU bias ramp</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44</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5.4</w:t>
            </w:r>
          </w:p>
        </w:tc>
      </w:tr>
      <w:tr>
        <w:trPr>
          <w:cantSplit/>
        </w:trPr>
        <w:tc>
          <w:tcPr>
            <w:tcW w:type="dxa" w:w="1701"/>
          </w:tcPr>
          <w:p>
            <w:pPr>
              <w:spacing w:line="288" w:lineRule="auto" w:before="20" w:after="20"/>
              <w:jc w:val="left"/>
            </w:pPr>
            <w:r/>
            <w:r>
              <w:rPr>
                <w:rFonts w:ascii="Times New Roman" w:hAnsi="Times New Roman" w:eastAsia="HY신명조"/>
                <w:b w:val="0"/>
                <w:sz w:val="18"/>
              </w:rPr>
              <w:t>imd† IMU bias ramp</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43</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8.6</w:t>
            </w:r>
          </w:p>
        </w:tc>
      </w:tr>
    </w:tbl>
    <w:p>
      <w:pPr>
        <w:spacing w:line="312" w:lineRule="auto" w:before="0" w:after="0"/>
      </w:pPr>
      <w:r>
        <w:rPr>
          <w:rFonts w:ascii="Times New Roman" w:hAnsi="Times New Roman" w:eastAsia="HY신명조"/>
          <w:b w:val="0"/>
          <w:sz w:val="18"/>
        </w:rPr>
        <w:t>Zero false activations in the 45 fault-free (nf) control cases (0/45). The "-" for lso-mid indicates that no median latency is reported due to an insufficient detection sample (1/45). †Navigation-extension matrix (four navigation faults, same matrix structure and identical seed pairing; valid n based on the proposed arm — the baseline arm also achieved 100% detection in all conditions). *Latencies for cf and lf (hard fails) are ledger-based, in simulation time; detailed distributions are reported in Table 5-6, Section 7. Latencies for the other conditions are wall-clock based.</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4320000" cy="4942641"/>
            <wp:docPr id="8" name="Picture 8"/>
            <wp:cNvGraphicFramePr>
              <a:graphicFrameLocks noChangeAspect="1"/>
            </wp:cNvGraphicFramePr>
            <a:graphic>
              <a:graphicData uri="http://schemas.openxmlformats.org/drawingml/2006/picture">
                <pic:pic>
                  <pic:nvPicPr>
                    <pic:cNvPr id="0" name="fig7_latency.png"/>
                    <pic:cNvPicPr/>
                  </pic:nvPicPr>
                  <pic:blipFill>
                    <a:blip r:embed="rId22"/>
                    <a:stretch>
                      <a:fillRect/>
                    </a:stretch>
                  </pic:blipFill>
                  <pic:spPr>
                    <a:xfrm>
                      <a:off x="0" y="0"/>
                      <a:ext cx="4320000" cy="4942641"/>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5-1. </w:t>
      </w:r>
      <w:r>
        <w:rPr>
          <w:rFonts w:ascii="Times New Roman" w:hAnsi="Times New Roman" w:eastAsia="HY신명조"/>
          <w:b w:val="0"/>
          <w:sz w:val="18"/>
        </w:rPr>
        <w:t>Detection latency distributions per fault condition (proposed arm, measured from injection time). The upper panel shows the main campaign and the lower panel the navigation-extension matrix (navigation extension, Table 5-1 †); camera and LiDAR death (*) are ledger-based simulation-time re-measurements of the hard-fail fast path (Chapter 5, Section 7). Thick horizontal bars are medians, and the right tail of GNSS outage (gf) corresponds to cases injected during a red-light stop and detected after restart. The hard-fail rows (simulation time) and the remaining rows (wall clock) live in different clock domains; absolute latency values must not be compared directly across them.</w:t>
      </w:r>
    </w:p>
    <w:p>
      <w:pPr>
        <w:spacing w:line="501" w:lineRule="exact" w:before="0" w:after="0"/>
      </w:pPr>
    </w:p>
    <w:p>
      <w:pPr>
        <w:spacing w:line="501" w:lineRule="exact" w:before="0" w:after="0"/>
        <w:jc w:val="both"/>
      </w:pPr>
      <w:r>
        <w:rPr>
          <w:rFonts w:ascii="Times New Roman" w:hAnsi="Times New Roman" w:eastAsia="HY신명조"/>
          <w:b w:val="0"/>
          <w:sz w:val="22"/>
        </w:rPr>
        <w:t xml:space="preserve">   Behind the binary detection rates in the table lies a continuous health-score signal (Figure 5-2). What actually feeds the supervisor's state transitions (0.7/0.3) is the perception channel — under LiDAR degradation the localization capability remains intact, so the decision variable of health = min(perception, cap_loc) is perception. This decision variable separates into distinct bands by fault intensity: fault-free runs stay in the normal band and do not drop below the upper threshold of 0.7 after warm-up (measured minimum 0.71 — consistent with zero false activations in the 45 fault-free cases); mid severity stays in the tolerated (normal) band above the threshold (the intended non-intervention of lso-mid rests on this); and high severity departs into a low band below the threshold immediately after fault injection, triggering intervention. This band separation is the basis of the low/mid/high grading and the three-regime state transition (normal/evacuation/deferral). The obstacle channel is dedicated to the MRM movement gate and is not a state-transition trigger channel; its fluctuations below 0.7 (sector-coverage changes in open terrain and during turns) are not triggering events and therefore do not contradict the zero false activations. Note, however, that the health score for the navigation family (gn, imn) is produced not from the /monitor/scores topic but by the localization channels of the monitoring layer (the residual detectors loc_meas/loc_jump, which reside in the supervisor process as an implementation matter), so this observation applies to the LiDAR-degradation channels of /monitor/scores.</w:t>
      </w:r>
    </w:p>
    <w:p>
      <w:pPr>
        <w:keepNext/>
        <w:spacing w:line="240" w:lineRule="auto"/>
        <w:jc w:val="center"/>
      </w:pPr>
      <w:r>
        <w:drawing>
          <wp:inline xmlns:a="http://schemas.openxmlformats.org/drawingml/2006/main" xmlns:pic="http://schemas.openxmlformats.org/drawingml/2006/picture">
            <wp:extent cx="5220000" cy="3132678"/>
            <wp:docPr id="9" name="Picture 9"/>
            <wp:cNvGraphicFramePr>
              <a:graphicFrameLocks noChangeAspect="1"/>
            </wp:cNvGraphicFramePr>
            <a:graphic>
              <a:graphicData uri="http://schemas.openxmlformats.org/drawingml/2006/picture">
                <pic:pic>
                  <pic:nvPicPr>
                    <pic:cNvPr id="0" name="fig12_health.png"/>
                    <pic:cNvPicPr/>
                  </pic:nvPicPr>
                  <pic:blipFill>
                    <a:blip r:embed="rId23"/>
                    <a:stretch>
                      <a:fillRect/>
                    </a:stretch>
                  </pic:blipFill>
                  <pic:spPr>
                    <a:xfrm>
                      <a:off x="0" y="0"/>
                      <a:ext cx="5220000" cy="3132678"/>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5-2. </w:t>
      </w:r>
      <w:r>
        <w:rPr>
          <w:rFonts w:ascii="Times New Roman" w:hAnsi="Times New Roman" w:eastAsia="HY신명조"/>
          <w:b w:val="0"/>
          <w:sz w:val="18"/>
        </w:rPr>
        <w:t>Injection-aligned continuous health traces — (top) the perception capability score that feeds the state transitions (dual thresholds 0.7/0.3) and (bottom) the affected sensor's raw score: (a) LiDAR sparsification (lso), (b) camera pixel noise (cn). Time zero is the fault-injection instant (simulation time of the ledger's FAULT_ACTIVE event); the injection schedule is identical across runs. The shaded band is the P5–P95 range of the fault-free run's settled interval (fault-free runs have no injection anchor, so a range replaces a time-aligned curve). One representative run per condition. lso-mid is tolerated — despite the level drop of the raw score, capability never crosses the upper threshold, and the run continues to route completion — whereas lso-high and both cn severities cross the threshold and trigger intervention. The navigation family (gn, imn) is out of scope by design — its decision variables come from the localization channels of the monitoring layer (outside the /monitor/scores topic).</w:t>
      </w:r>
    </w:p>
    <w:p>
      <w:pPr>
        <w:spacing w:line="501" w:lineRule="exact" w:before="0" w:after="0"/>
      </w:pPr>
    </w:p>
    <w:p>
      <w:pPr>
        <w:spacing w:line="501" w:lineRule="exact" w:before="0" w:after="0"/>
        <w:jc w:val="both"/>
      </w:pPr>
      <w:r>
        <w:rPr>
          <w:rFonts w:ascii="Times New Roman" w:hAnsi="Times New Roman" w:eastAsia="HY신명조"/>
          <w:b w:val="0"/>
          <w:sz w:val="22"/>
        </w:rPr>
        <w:t xml:space="preserve">   We turn next to evacuation behavior. Table 5-2 summarizes the evacuation behavior of the 1,131 valid cases of the main matrix (all combinations: fault-severity × method). For faults that preserve the capability to move, the proposed method performed shoulder evacuation while the baseline came to an in-lane stop in every case — the baseline's zero evacuations are not failures but the definitional consequence of its in-lane stop policy by design. Under camera death (cf), the proposed method completed shoulder evacuation in 16 of 45 cases; the remaining 29 comprise 27 stop deferrals (MRM_DEFER) in which no evacuation was attempted and 2 incompletions during the evacuation maneuver — deferral is not a system failure but the supervisor's intended policy choice that "moving in this state is dangerous," and the actual maneuver incompletions are the 2 cases above. One factor lowering the evacuation completion rate is the reduction of candidates due to the intended conservatism of the traffic-light observability gate. For camera noise (cn), 25 of 90 cases reached the shoulder.</w:t>
      </w:r>
    </w:p>
    <w:p>
      <w:pPr>
        <w:keepNext/>
        <w:spacing w:line="312" w:lineRule="auto" w:before="40" w:after="0"/>
      </w:pPr>
      <w:r>
        <w:rPr>
          <w:rFonts w:ascii="Times New Roman" w:hAnsi="Times New Roman" w:eastAsia="HY신명조"/>
          <w:b/>
          <w:sz w:val="18"/>
        </w:rPr>
        <w:t xml:space="preserve">Table 5-2. </w:t>
      </w:r>
      <w:r>
        <w:rPr>
          <w:rFonts w:ascii="Times New Roman" w:hAnsi="Times New Roman" w:eastAsia="HY신명조"/>
          <w:b w:val="0"/>
          <w:sz w:val="18"/>
        </w:rPr>
        <w:t>Summary of evacuation behavior in the main campaign (proposed method)</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Fault</w:t>
            </w:r>
          </w:p>
        </w:tc>
        <w:tc>
          <w:tcPr>
            <w:tcW w:type="dxa" w:w="2126"/>
          </w:tcPr>
          <w:p>
            <w:pPr>
              <w:keepNext/>
              <w:spacing w:line="288" w:lineRule="auto" w:before="20" w:after="20"/>
              <w:jc w:val="center"/>
            </w:pPr>
            <w:r/>
            <w:r>
              <w:rPr>
                <w:rFonts w:ascii="Times New Roman" w:hAnsi="Times New Roman" w:eastAsia="HY신명조"/>
                <w:b/>
                <w:sz w:val="18"/>
              </w:rPr>
              <w:t>Cases</w:t>
            </w:r>
          </w:p>
        </w:tc>
        <w:tc>
          <w:tcPr>
            <w:tcW w:type="dxa" w:w="2126"/>
          </w:tcPr>
          <w:p>
            <w:pPr>
              <w:keepNext/>
              <w:spacing w:line="288" w:lineRule="auto" w:before="20" w:after="20"/>
              <w:jc w:val="center"/>
            </w:pPr>
            <w:r/>
            <w:r>
              <w:rPr>
                <w:rFonts w:ascii="Times New Roman" w:hAnsi="Times New Roman" w:eastAsia="HY신명조"/>
                <w:b/>
                <w:sz w:val="18"/>
              </w:rPr>
              <w:t>Shoulder/parking reached</w:t>
            </w:r>
          </w:p>
        </w:tc>
        <w:tc>
          <w:tcPr>
            <w:tcW w:type="dxa" w:w="2126"/>
          </w:tcPr>
          <w:p>
            <w:pPr>
              <w:keepNext/>
              <w:spacing w:line="288" w:lineRule="auto" w:before="20" w:after="20"/>
              <w:jc w:val="center"/>
            </w:pPr>
            <w:r/>
            <w:r>
              <w:rPr>
                <w:rFonts w:ascii="Times New Roman" w:hAnsi="Times New Roman" w:eastAsia="HY신명조"/>
                <w:b/>
                <w:sz w:val="18"/>
              </w:rPr>
              <w:t>Notes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cf camera death</w:t>
            </w:r>
          </w:p>
        </w:tc>
        <w:tc>
          <w:tcPr>
            <w:tcW w:type="dxa" w:w="2126"/>
          </w:tcPr>
          <w:p>
            <w:pPr>
              <w:keepNext/>
              <w:spacing w:line="288" w:lineRule="auto" w:before="20" w:after="20"/>
              <w:jc w:val="left"/>
            </w:pPr>
            <w:r/>
            <w:r>
              <w:rPr>
                <w:rFonts w:ascii="Times New Roman" w:hAnsi="Times New Roman" w:eastAsia="HY신명조"/>
                <w:b w:val="0"/>
                <w:sz w:val="18"/>
              </w:rPr>
              <w:t>45</w:t>
            </w:r>
          </w:p>
        </w:tc>
        <w:tc>
          <w:tcPr>
            <w:tcW w:type="dxa" w:w="2126"/>
          </w:tcPr>
          <w:p>
            <w:pPr>
              <w:keepNext/>
              <w:spacing w:line="288" w:lineRule="auto" w:before="20" w:after="20"/>
              <w:jc w:val="left"/>
            </w:pPr>
            <w:r/>
            <w:r>
              <w:rPr>
                <w:rFonts w:ascii="Times New Roman" w:hAnsi="Times New Roman" w:eastAsia="HY신명조"/>
                <w:b w:val="0"/>
                <w:sz w:val="18"/>
              </w:rPr>
              <w:t>Shoulder 16</w:t>
            </w:r>
          </w:p>
        </w:tc>
        <w:tc>
          <w:tcPr>
            <w:tcW w:type="dxa" w:w="2126"/>
          </w:tcPr>
          <w:p>
            <w:pPr>
              <w:keepNext/>
              <w:spacing w:line="288" w:lineRule="auto" w:before="20" w:after="20"/>
              <w:jc w:val="left"/>
            </w:pPr>
            <w:r/>
            <w:r>
              <w:rPr>
                <w:rFonts w:ascii="Times New Roman" w:hAnsi="Times New Roman" w:eastAsia="HY신명조"/>
                <w:b w:val="0"/>
                <w:sz w:val="18"/>
              </w:rPr>
              <w:t>baseline: in-lane stop in all cases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cn camera noise</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Shoulder 25</w:t>
            </w:r>
          </w:p>
        </w:tc>
        <w:tc>
          <w:tcPr>
            <w:tcW w:type="dxa" w:w="2126"/>
          </w:tcPr>
          <w:p>
            <w:pPr>
              <w:keepNext/>
              <w:spacing w:line="288" w:lineRule="auto" w:before="20" w:after="20"/>
              <w:jc w:val="left"/>
            </w:pPr>
            <w:r/>
            <w:r>
              <w:rPr>
                <w:rFonts w:ascii="Times New Roman" w:hAnsi="Times New Roman" w:eastAsia="HY신명조"/>
                <w:b w:val="0"/>
                <w:sz w:val="18"/>
              </w:rPr>
            </w:r>
          </w:p>
        </w:tc>
      </w:tr>
      <w:tr>
        <w:trPr>
          <w:cantSplit/>
        </w:trPr>
        <w:tc>
          <w:tcPr>
            <w:tcW w:type="dxa" w:w="2126"/>
          </w:tcPr>
          <w:p>
            <w:pPr>
              <w:keepNext/>
              <w:spacing w:line="288" w:lineRule="auto" w:before="20" w:after="20"/>
              <w:jc w:val="left"/>
            </w:pPr>
            <w:r/>
            <w:r>
              <w:rPr>
                <w:rFonts w:ascii="Times New Roman" w:hAnsi="Times New Roman" w:eastAsia="HY신명조"/>
                <w:b w:val="0"/>
                <w:sz w:val="18"/>
              </w:rPr>
              <w:t>gn GNSS position noise</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Shoulder 41 + parking 1</w:t>
            </w:r>
          </w:p>
        </w:tc>
        <w:tc>
          <w:tcPr>
            <w:tcW w:type="dxa" w:w="2126"/>
          </w:tcPr>
          <w:p>
            <w:pPr>
              <w:keepNext/>
              <w:spacing w:line="288" w:lineRule="auto" w:before="20" w:after="20"/>
              <w:jc w:val="left"/>
            </w:pPr>
            <w:r/>
            <w:r>
              <w:rPr>
                <w:rFonts w:ascii="Times New Roman" w:hAnsi="Times New Roman" w:eastAsia="HY신명조"/>
                <w:b w:val="0"/>
                <w:sz w:val="18"/>
              </w:rPr>
              <w:t>Severity determines behavior (see text)</w:t>
            </w:r>
          </w:p>
        </w:tc>
      </w:tr>
      <w:tr>
        <w:trPr>
          <w:cantSplit/>
        </w:trPr>
        <w:tc>
          <w:tcPr>
            <w:tcW w:type="dxa" w:w="2126"/>
          </w:tcPr>
          <w:p>
            <w:pPr>
              <w:spacing w:line="288" w:lineRule="auto" w:before="20" w:after="20"/>
              <w:jc w:val="left"/>
            </w:pPr>
            <w:r/>
            <w:r>
              <w:rPr>
                <w:rFonts w:ascii="Times New Roman" w:hAnsi="Times New Roman" w:eastAsia="HY신명조"/>
                <w:b w:val="0"/>
                <w:sz w:val="18"/>
              </w:rPr>
              <w:t>lso-mid LiDAR sparsification (mid)</w:t>
            </w:r>
          </w:p>
        </w:tc>
        <w:tc>
          <w:tcPr>
            <w:tcW w:type="dxa" w:w="2126"/>
          </w:tcPr>
          <w:p>
            <w:pPr>
              <w:spacing w:line="288" w:lineRule="auto" w:before="20" w:after="20"/>
              <w:jc w:val="left"/>
            </w:pPr>
            <w:r/>
            <w:r>
              <w:rPr>
                <w:rFonts w:ascii="Times New Roman" w:hAnsi="Times New Roman" w:eastAsia="HY신명조"/>
                <w:b w:val="0"/>
                <w:sz w:val="18"/>
              </w:rPr>
              <w:t>-</w:t>
            </w:r>
          </w:p>
        </w:tc>
        <w:tc>
          <w:tcPr>
            <w:tcW w:type="dxa" w:w="2126"/>
          </w:tcPr>
          <w:p>
            <w:pPr>
              <w:spacing w:line="288" w:lineRule="auto" w:before="20" w:after="20"/>
              <w:jc w:val="left"/>
            </w:pPr>
            <w:r/>
            <w:r>
              <w:rPr>
                <w:rFonts w:ascii="Times New Roman" w:hAnsi="Times New Roman" w:eastAsia="HY신명조"/>
                <w:b w:val="0"/>
                <w:sz w:val="18"/>
              </w:rPr>
              <w:t>Deliberate continued driving</w:t>
            </w:r>
          </w:p>
        </w:tc>
        <w:tc>
          <w:tcPr>
            <w:tcW w:type="dxa" w:w="2126"/>
          </w:tcPr>
          <w:p>
            <w:pPr>
              <w:spacing w:line="288" w:lineRule="auto" w:before="20" w:after="20"/>
              <w:jc w:val="left"/>
            </w:pPr>
            <w:r/>
            <w:r>
              <w:rPr>
                <w:rFonts w:ascii="Times New Roman" w:hAnsi="Times New Roman" w:eastAsia="HY신명조"/>
                <w:b w:val="0"/>
                <w:sz w:val="18"/>
              </w:rPr>
              <w:t>Judged not hazardous; deg_dist 255 m</w:t>
            </w:r>
          </w:p>
        </w:tc>
      </w:tr>
    </w:tbl>
    <w:p>
      <w:pPr>
        <w:spacing w:line="501" w:lineRule="exact" w:before="0" w:after="0"/>
      </w:pPr>
    </w:p>
    <w:p>
      <w:pPr>
        <w:spacing w:line="501" w:lineRule="exact" w:before="0" w:after="0"/>
        <w:jc w:val="both"/>
      </w:pPr>
      <w:r>
        <w:rPr>
          <w:rFonts w:ascii="Times New Roman" w:hAnsi="Times New Roman" w:eastAsia="HY신명조"/>
          <w:b w:val="0"/>
          <w:sz w:val="22"/>
        </w:rPr>
        <w:t xml:space="preserve">   The graded response in which severity determines behavior was most pronounced in the navigation family. Mid-severity GNSS position noise (gn-mid) accounted for the bulk of shoulder evacuations with 40 of 45 cases, whereas high severity (gn-high) converged to a comfort stop (deferral) in 42 of 45 cases — a manifestation of the design that abandons movement when localization confidence falls below the minimum required for motion. Conversely, under mid-severity LiDAR sparsification (lso-mid), the supervisor chose to continue driving without intervention because the health score did not enter the hazard band (degraded-state driving distance 255 m) — "response proportional to degree," not "stop at every anomaly." As an honest caveat, the main-matrix cases contain no pedestrian dart-out injections, and the case-level "zero collisions" claim rests on data predating the ledger introduced in Chapter 4, Section 5, so we do not use it as evidence for a safety claim (Chapter 6, Section 6).</w:t>
      </w:r>
    </w:p>
    <w:p>
      <w:pPr>
        <w:spacing w:line="501" w:lineRule="exact" w:before="0" w:after="0"/>
      </w:pPr>
    </w:p>
    <w:p>
      <w:pPr>
        <w:spacing w:line="501" w:lineRule="exact" w:before="0" w:after="0"/>
      </w:pPr>
      <w:r>
        <w:rPr>
          <w:rFonts w:ascii="Times New Roman" w:hAnsi="Times New Roman" w:eastAsia="HY신명조"/>
          <w:b/>
          <w:sz w:val="28"/>
        </w:rPr>
        <w:t>2. Exposure Metric: Degraded-State Driving Distance</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primary utility of monitoring is shortening the exposure of driving in a degraded state. In the non-intervention (mrm-off) observations (one run per fault type), the stock stack effectively completed the route without detecting the injected fault: degraded-state driving distances were 238 m for camera death, 240 m for camera noise, 251 m for GNSS position noise, 264 m for LiDAR sparsification, and 275 m for LiDAR clutter (only under IMU noise did the stack stop on its own, at 71 m). Excluding lso-mid, the deliberate non-intervention case, the degraded-state driving distance in the camera and navigation families was 32–58 m for the proposed method (detection + evacuation) and 9–18 m for detection + in-lane stop; for LiDAR clutter and IMU noise it was 11–12 m and 8–9 m, respectively. In short, without monitoring the exposure is "the entire route," whereas with monitoring the exposure becomes a choice variable of the response strategy — the in-lane stop minimizes exposure at the cost of leaving lane occupancy behind, while evacuation accepts tens of meters of controlled exposure in exchange for the possibility of lane clearance and reaching a safe position. The safety-side cost of this trade-off is quantified by the encounter experiments in Sections 4–6.</w:t>
      </w:r>
    </w:p>
    <w:p>
      <w:pPr>
        <w:spacing w:line="501" w:lineRule="exact" w:before="0" w:after="0"/>
      </w:pPr>
    </w:p>
    <w:p>
      <w:pPr>
        <w:spacing w:line="501" w:lineRule="exact" w:before="0" w:after="0"/>
      </w:pPr>
      <w:r>
        <w:rPr>
          <w:rFonts w:ascii="Times New Roman" w:hAnsi="Times New Roman" w:eastAsia="HY신명조"/>
          <w:b/>
          <w:sz w:val="28"/>
        </w:rPr>
        <w:t>3. Distance Ladder: Measuring the Avoidance/Collision Boundary</w:t>
      </w:r>
    </w:p>
    <w:p>
      <w:pPr>
        <w:spacing w:line="501" w:lineRule="exact" w:before="0" w:after="0"/>
      </w:pPr>
    </w:p>
    <w:p>
      <w:pPr>
        <w:spacing w:line="501" w:lineRule="exact" w:before="0" w:after="0"/>
        <w:jc w:val="both"/>
      </w:pPr>
      <w:r>
        <w:rPr>
          <w:rFonts w:ascii="Times New Roman" w:hAnsi="Times New Roman" w:eastAsia="HY신명조"/>
          <w:b w:val="0"/>
          <w:sz w:val="22"/>
        </w:rPr>
        <w:t xml:space="preserve">   With the fault-free stock stack driving at 4.2 m/s, the results by pedestrian dart-out spawn distance showed a clear staircase: at 14 m and 11 m, all 4/4 per distance were avoided (of each 4, 2 are post-ledger runs adjudicated by the ledger and physics oracle, and the other 2 are pre-ledger runs adjudicated by the runner and video), while at 8, 6, and 5 m all 4/4 at each distance collided (Table 5-3, Figure 5-3). The avoidance/collision boundary thus lies in the 8–11 m interval. This agrees with the stopping-distance model d = vτ + v²/2a (τ≈1.5 s, a≈3.5 m/s²), which predicts d(4.2)=8.8 m, and establishes two things: (i) the choice of 8 m as the dart-out distance in subsequent experiments is a grounded choice of "just below the boundary where avoidance becomes physically impossible," and (ii) the speed→boundary design approximation is self-consistent in the near-boundary regime (same data as its calibration source — not an independent validation; Chapter 3, Section 6), so the effect of the speed cap can be interpreted within the same approximation.</w:t>
      </w:r>
    </w:p>
    <w:p>
      <w:pPr>
        <w:keepNext/>
        <w:spacing w:line="312" w:lineRule="auto" w:before="40" w:after="0"/>
      </w:pPr>
      <w:r>
        <w:rPr>
          <w:rFonts w:ascii="Times New Roman" w:hAnsi="Times New Roman" w:eastAsia="HY신명조"/>
          <w:b/>
          <w:sz w:val="18"/>
        </w:rPr>
        <w:t xml:space="preserve">Table 5-3. </w:t>
      </w:r>
      <w:r>
        <w:rPr>
          <w:rFonts w:ascii="Times New Roman" w:hAnsi="Times New Roman" w:eastAsia="HY신명조"/>
          <w:b w:val="0"/>
          <w:sz w:val="18"/>
        </w:rPr>
        <w:t>Distance ladder results (ledger and video adjudication)</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keepNext/>
              <w:spacing w:line="288" w:lineRule="auto" w:before="20" w:after="20"/>
              <w:jc w:val="center"/>
            </w:pPr>
            <w:r/>
            <w:r>
              <w:rPr>
                <w:rFonts w:ascii="Times New Roman" w:hAnsi="Times New Roman" w:eastAsia="HY신명조"/>
                <w:b/>
                <w:sz w:val="18"/>
              </w:rPr>
              <w:t>Spawn distance</w:t>
            </w:r>
          </w:p>
        </w:tc>
        <w:tc>
          <w:tcPr>
            <w:tcW w:type="dxa" w:w="2835"/>
          </w:tcPr>
          <w:p>
            <w:pPr>
              <w:keepNext/>
              <w:spacing w:line="288" w:lineRule="auto" w:before="20" w:after="20"/>
              <w:jc w:val="center"/>
            </w:pPr>
            <w:r/>
            <w:r>
              <w:rPr>
                <w:rFonts w:ascii="Times New Roman" w:hAnsi="Times New Roman" w:eastAsia="HY신명조"/>
                <w:b/>
                <w:sz w:val="18"/>
              </w:rPr>
              <w:t>Fault-free stock 4.2 m/s (n=4/distance)</w:t>
            </w:r>
          </w:p>
        </w:tc>
        <w:tc>
          <w:tcPr>
            <w:tcW w:type="dxa" w:w="2835"/>
          </w:tcPr>
          <w:p>
            <w:pPr>
              <w:keepNext/>
              <w:spacing w:line="288" w:lineRule="auto" w:before="20" w:after="20"/>
              <w:jc w:val="center"/>
            </w:pPr>
            <w:r/>
            <w:r>
              <w:rPr>
                <w:rFonts w:ascii="Times New Roman" w:hAnsi="Times New Roman" w:eastAsia="HY신명조"/>
                <w:b/>
                <w:sz w:val="18"/>
              </w:rPr>
              <w:t>Blinded (lso-high) stock</w:t>
            </w:r>
          </w:p>
        </w:tc>
      </w:tr>
      <w:tr>
        <w:trPr>
          <w:cantSplit/>
        </w:trPr>
        <w:tc>
          <w:tcPr>
            <w:tcW w:type="dxa" w:w="2835"/>
          </w:tcPr>
          <w:p>
            <w:pPr>
              <w:keepNext/>
              <w:spacing w:line="288" w:lineRule="auto" w:before="20" w:after="20"/>
              <w:jc w:val="left"/>
            </w:pPr>
            <w:r/>
            <w:r>
              <w:rPr>
                <w:rFonts w:ascii="Times New Roman" w:hAnsi="Times New Roman" w:eastAsia="HY신명조"/>
                <w:b w:val="0"/>
                <w:sz w:val="18"/>
              </w:rPr>
              <w:t>14 m</w:t>
            </w:r>
          </w:p>
        </w:tc>
        <w:tc>
          <w:tcPr>
            <w:tcW w:type="dxa" w:w="2835"/>
          </w:tcPr>
          <w:p>
            <w:pPr>
              <w:keepNext/>
              <w:spacing w:line="288" w:lineRule="auto" w:before="20" w:after="20"/>
              <w:jc w:val="left"/>
            </w:pPr>
            <w:r/>
            <w:r>
              <w:rPr>
                <w:rFonts w:ascii="Times New Roman" w:hAnsi="Times New Roman" w:eastAsia="HY신명조"/>
                <w:b w:val="0"/>
                <w:sz w:val="18"/>
              </w:rPr>
              <w:t>Avoided 4/4</w:t>
            </w:r>
          </w:p>
        </w:tc>
        <w:tc>
          <w:tcPr>
            <w:tcW w:type="dxa" w:w="2835"/>
          </w:tcPr>
          <w:p>
            <w:pPr>
              <w:keepNext/>
              <w:spacing w:line="288" w:lineRule="auto" w:before="20" w:after="20"/>
              <w:jc w:val="left"/>
            </w:pPr>
            <w:r/>
            <w:r>
              <w:rPr>
                <w:rFonts w:ascii="Times New Roman" w:hAnsi="Times New Roman" w:eastAsia="HY신명조"/>
                <w:b w:val="0"/>
                <w:sz w:val="18"/>
              </w:rPr>
              <w:t>Frozen before encounter (occupying the road)</w:t>
            </w:r>
          </w:p>
        </w:tc>
      </w:tr>
      <w:tr>
        <w:trPr>
          <w:cantSplit/>
        </w:trPr>
        <w:tc>
          <w:tcPr>
            <w:tcW w:type="dxa" w:w="2835"/>
          </w:tcPr>
          <w:p>
            <w:pPr>
              <w:keepNext/>
              <w:spacing w:line="288" w:lineRule="auto" w:before="20" w:after="20"/>
              <w:jc w:val="left"/>
            </w:pPr>
            <w:r/>
            <w:r>
              <w:rPr>
                <w:rFonts w:ascii="Times New Roman" w:hAnsi="Times New Roman" w:eastAsia="HY신명조"/>
                <w:b w:val="0"/>
                <w:sz w:val="18"/>
              </w:rPr>
              <w:t>11 m</w:t>
            </w:r>
          </w:p>
        </w:tc>
        <w:tc>
          <w:tcPr>
            <w:tcW w:type="dxa" w:w="2835"/>
          </w:tcPr>
          <w:p>
            <w:pPr>
              <w:keepNext/>
              <w:spacing w:line="288" w:lineRule="auto" w:before="20" w:after="20"/>
              <w:jc w:val="left"/>
            </w:pPr>
            <w:r/>
            <w:r>
              <w:rPr>
                <w:rFonts w:ascii="Times New Roman" w:hAnsi="Times New Roman" w:eastAsia="HY신명조"/>
                <w:b w:val="0"/>
                <w:sz w:val="18"/>
              </w:rPr>
              <w:t>Avoided 4/4</w:t>
            </w:r>
          </w:p>
        </w:tc>
        <w:tc>
          <w:tcPr>
            <w:tcW w:type="dxa" w:w="2835"/>
          </w:tcPr>
          <w:p>
            <w:pPr>
              <w:keepNext/>
              <w:spacing w:line="288" w:lineRule="auto" w:before="20" w:after="20"/>
              <w:jc w:val="left"/>
            </w:pPr>
            <w:r/>
            <w:r>
              <w:rPr>
                <w:rFonts w:ascii="Times New Roman" w:hAnsi="Times New Roman" w:eastAsia="HY신명조"/>
                <w:b w:val="0"/>
                <w:sz w:val="18"/>
              </w:rPr>
              <w:t>Frozen before encounter (occupying the road)</w:t>
            </w:r>
          </w:p>
        </w:tc>
      </w:tr>
      <w:tr>
        <w:trPr>
          <w:cantSplit/>
        </w:trPr>
        <w:tc>
          <w:tcPr>
            <w:tcW w:type="dxa" w:w="2835"/>
          </w:tcPr>
          <w:p>
            <w:pPr>
              <w:keepNext/>
              <w:spacing w:line="288" w:lineRule="auto" w:before="20" w:after="20"/>
              <w:jc w:val="left"/>
            </w:pPr>
            <w:r/>
            <w:r>
              <w:rPr>
                <w:rFonts w:ascii="Times New Roman" w:hAnsi="Times New Roman" w:eastAsia="HY신명조"/>
                <w:b w:val="0"/>
                <w:sz w:val="18"/>
              </w:rPr>
              <w:t>8 m</w:t>
            </w:r>
          </w:p>
        </w:tc>
        <w:tc>
          <w:tcPr>
            <w:tcW w:type="dxa" w:w="2835"/>
          </w:tcPr>
          <w:p>
            <w:pPr>
              <w:keepNext/>
              <w:spacing w:line="288" w:lineRule="auto" w:before="20" w:after="20"/>
              <w:jc w:val="left"/>
            </w:pPr>
            <w:r/>
            <w:r>
              <w:rPr>
                <w:rFonts w:ascii="Times New Roman" w:hAnsi="Times New Roman" w:eastAsia="HY신명조"/>
                <w:b w:val="0"/>
                <w:sz w:val="18"/>
              </w:rPr>
              <w:t>Collision 4/4</w:t>
            </w:r>
          </w:p>
        </w:tc>
        <w:tc>
          <w:tcPr>
            <w:tcW w:type="dxa" w:w="2835"/>
          </w:tcPr>
          <w:p>
            <w:pPr>
              <w:keepNext/>
              <w:spacing w:line="288" w:lineRule="auto" w:before="20" w:after="20"/>
              <w:jc w:val="left"/>
            </w:pPr>
            <w:r/>
            <w:r>
              <w:rPr>
                <w:rFonts w:ascii="Times New Roman" w:hAnsi="Times New Roman" w:eastAsia="HY신명조"/>
                <w:b w:val="0"/>
                <w:sz w:val="18"/>
              </w:rPr>
              <w:t>Collision</w:t>
            </w:r>
          </w:p>
        </w:tc>
      </w:tr>
      <w:tr>
        <w:trPr>
          <w:cantSplit/>
        </w:trPr>
        <w:tc>
          <w:tcPr>
            <w:tcW w:type="dxa" w:w="2835"/>
          </w:tcPr>
          <w:p>
            <w:pPr>
              <w:keepNext/>
              <w:spacing w:line="288" w:lineRule="auto" w:before="20" w:after="20"/>
              <w:jc w:val="left"/>
            </w:pPr>
            <w:r/>
            <w:r>
              <w:rPr>
                <w:rFonts w:ascii="Times New Roman" w:hAnsi="Times New Roman" w:eastAsia="HY신명조"/>
                <w:b w:val="0"/>
                <w:sz w:val="18"/>
              </w:rPr>
              <w:t>6 m</w:t>
            </w:r>
          </w:p>
        </w:tc>
        <w:tc>
          <w:tcPr>
            <w:tcW w:type="dxa" w:w="2835"/>
          </w:tcPr>
          <w:p>
            <w:pPr>
              <w:keepNext/>
              <w:spacing w:line="288" w:lineRule="auto" w:before="20" w:after="20"/>
              <w:jc w:val="left"/>
            </w:pPr>
            <w:r/>
            <w:r>
              <w:rPr>
                <w:rFonts w:ascii="Times New Roman" w:hAnsi="Times New Roman" w:eastAsia="HY신명조"/>
                <w:b w:val="0"/>
                <w:sz w:val="18"/>
              </w:rPr>
              <w:t>Collision 4/4</w:t>
            </w:r>
          </w:p>
        </w:tc>
        <w:tc>
          <w:tcPr>
            <w:tcW w:type="dxa" w:w="2835"/>
          </w:tcPr>
          <w:p>
            <w:pPr>
              <w:keepNext/>
              <w:spacing w:line="288" w:lineRule="auto" w:before="20" w:after="20"/>
              <w:jc w:val="left"/>
            </w:pPr>
            <w:r/>
            <w:r>
              <w:rPr>
                <w:rFonts w:ascii="Times New Roman" w:hAnsi="Times New Roman" w:eastAsia="HY신명조"/>
                <w:b w:val="0"/>
                <w:sz w:val="18"/>
              </w:rPr>
              <w:t>Collision</w:t>
            </w:r>
          </w:p>
        </w:tc>
      </w:tr>
      <w:tr>
        <w:trPr>
          <w:cantSplit/>
        </w:trPr>
        <w:tc>
          <w:tcPr>
            <w:tcW w:type="dxa" w:w="2835"/>
          </w:tcPr>
          <w:p>
            <w:pPr>
              <w:spacing w:line="288" w:lineRule="auto" w:before="20" w:after="20"/>
              <w:jc w:val="left"/>
            </w:pPr>
            <w:r/>
            <w:r>
              <w:rPr>
                <w:rFonts w:ascii="Times New Roman" w:hAnsi="Times New Roman" w:eastAsia="HY신명조"/>
                <w:b w:val="0"/>
                <w:sz w:val="18"/>
              </w:rPr>
              <w:t>5 m</w:t>
            </w:r>
          </w:p>
        </w:tc>
        <w:tc>
          <w:tcPr>
            <w:tcW w:type="dxa" w:w="2835"/>
          </w:tcPr>
          <w:p>
            <w:pPr>
              <w:spacing w:line="288" w:lineRule="auto" w:before="20" w:after="20"/>
              <w:jc w:val="left"/>
            </w:pPr>
            <w:r/>
            <w:r>
              <w:rPr>
                <w:rFonts w:ascii="Times New Roman" w:hAnsi="Times New Roman" w:eastAsia="HY신명조"/>
                <w:b w:val="0"/>
                <w:sz w:val="18"/>
              </w:rPr>
              <w:t>Collision 4/4</w:t>
            </w:r>
          </w:p>
        </w:tc>
        <w:tc>
          <w:tcPr>
            <w:tcW w:type="dxa" w:w="2835"/>
          </w:tcPr>
          <w:p>
            <w:pPr>
              <w:spacing w:line="288" w:lineRule="auto" w:before="20" w:after="20"/>
              <w:jc w:val="left"/>
            </w:pPr>
            <w:r/>
            <w:r>
              <w:rPr>
                <w:rFonts w:ascii="Times New Roman" w:hAnsi="Times New Roman" w:eastAsia="HY신명조"/>
                <w:b w:val="0"/>
                <w:sz w:val="18"/>
              </w:rPr>
              <w:t>Collision (6/6 total at 8 m and below)</w:t>
            </w:r>
          </w:p>
        </w:tc>
      </w:tr>
    </w:tbl>
    <w:p>
      <w:pPr>
        <w:spacing w:line="501" w:lineRule="exact" w:before="0" w:after="0"/>
      </w:pPr>
    </w:p>
    <w:p>
      <w:pPr>
        <w:keepNext/>
        <w:spacing w:line="240" w:lineRule="auto"/>
        <w:jc w:val="center"/>
      </w:pPr>
      <w:r>
        <w:drawing>
          <wp:inline xmlns:a="http://schemas.openxmlformats.org/drawingml/2006/main" xmlns:pic="http://schemas.openxmlformats.org/drawingml/2006/picture">
            <wp:extent cx="4140000" cy="3272984"/>
            <wp:docPr id="10" name="Picture 10"/>
            <wp:cNvGraphicFramePr>
              <a:graphicFrameLocks noChangeAspect="1"/>
            </wp:cNvGraphicFramePr>
            <a:graphic>
              <a:graphicData uri="http://schemas.openxmlformats.org/drawingml/2006/picture">
                <pic:pic>
                  <pic:nvPicPr>
                    <pic:cNvPr id="0" name="fig8_stopdist.png"/>
                    <pic:cNvPicPr/>
                  </pic:nvPicPr>
                  <pic:blipFill>
                    <a:blip r:embed="rId24"/>
                    <a:stretch>
                      <a:fillRect/>
                    </a:stretch>
                  </pic:blipFill>
                  <pic:spPr>
                    <a:xfrm>
                      <a:off x="0" y="0"/>
                      <a:ext cx="4140000" cy="3272984"/>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5-3. </w:t>
      </w:r>
      <w:r>
        <w:rPr>
          <w:rFonts w:ascii="Times New Roman" w:hAnsi="Times New Roman" w:eastAsia="HY신명조"/>
          <w:b w:val="0"/>
          <w:sz w:val="18"/>
        </w:rPr>
        <w:t>Stopping-distance model d = vτ + v²/2a (τ=1.5 s, a=3.5 m/s²) and the measured avoidance/collision boundaries from the distance ladder (shaded bands). The measured boundary at 4.2 m/s (8–11 m) matches the model prediction of 8.8 m, and at 3.0 m/s the model is optimistic — the prediction of 5.79 m underestimates the measured boundary of 7–8 m (planner reaction variance), consistent with reading the 3.0 m/s cap as a conservative policy value below the model bound (3.89 m/s). The dashed line marks the dart-out spawn distance of 8 m used in subsequent experiments.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same ladder with the stock stack under complete LiDAR degradation (lso-high) showed a different form of failure. At the 14 and 11 m conditions, a freeze caused by empty point clouds occurred before reaching the encounter point, leaving the vehicle stopped in the middle of the road (4/4), and at 8 m and below every case collided (6/6). In summary, "a blinded vehicle either stands still or strikes" — unmonitored driving in a degraded state resolves into a binary choice between collision and lane blocking, and neither is an MRC.</w:t>
      </w:r>
    </w:p>
    <w:p>
      <w:pPr>
        <w:spacing w:line="501" w:lineRule="exact" w:before="0" w:after="0"/>
      </w:pPr>
    </w:p>
    <w:p>
      <w:pPr>
        <w:spacing w:line="501" w:lineRule="exact" w:before="0" w:after="0"/>
      </w:pPr>
      <w:r>
        <w:rPr>
          <w:rFonts w:ascii="Times New Roman" w:hAnsi="Times New Roman" w:eastAsia="HY신명조"/>
          <w:b/>
          <w:sz w:val="28"/>
        </w:rPr>
        <w:t>4. The 8 m Encounter: Low-Speed MRM versus Stock</w:t>
      </w:r>
    </w:p>
    <w:p>
      <w:pPr>
        <w:spacing w:line="501" w:lineRule="exact" w:before="0" w:after="0"/>
      </w:pPr>
    </w:p>
    <w:p>
      <w:pPr>
        <w:spacing w:line="501" w:lineRule="exact" w:before="0" w:after="0"/>
        <w:jc w:val="both"/>
      </w:pPr>
      <w:r>
        <w:rPr>
          <w:rFonts w:ascii="Times New Roman" w:hAnsi="Times New Roman" w:eastAsia="HY신명조"/>
          <w:b w:val="0"/>
          <w:sz w:val="22"/>
        </w:rPr>
        <w:t xml:space="preserve">   We now present the comparison for a pedestrian dart-out 8 m ahead under the GNSS position noise (gn-mid) fault state. Since gn is a navigation fault that corrupts the EKF localization input while the perception sensors (LiDAR, camera) remain intact, all three conditions share the same pedestrian-detection capability, and only the effects of speed and policy are compared. The stock stack (holding 4.2 m/s) collided in all 10 runs (0/10 avoided). In contrast, the condition in which the proposed system was in low-speed settled cruise (measured encounter speed about 3.0 m/s; Section 6) avoided the pedestrian in all 8 runs and subsequently completed shoulder evacuation (8/8; auxiliary Fisher's exact test p=2.3×10⁻⁵). Because 8 m is shorter than the required stopping distance at 4.2 m/s (8.8 m) — an unavoidable region — but longer than that at 3.0 m/s (5.79 m) — an avoidable region — not outside the required stopping distance at 3.0 m/s (5.79 m), this outcome is exactly what the physics model of Section 3 predicts. The important finding is the third condition: even the same proposed system collided in both of its runs during the transient immediately after fault detection, while deceleration was still in progress (speed at encounter 3.5–3.8 m/s). That is, the protection of the low-speed MRM is effective only after deceleration completes, and residual risk concentrates in the post-detection transient from detection to reaching the settled speed. This transient observation is the starting point of the discussion in Chapter 6, Section 2.</w:t>
      </w:r>
    </w:p>
    <w:p>
      <w:pPr>
        <w:spacing w:line="501" w:lineRule="exact" w:before="0" w:after="0"/>
      </w:pPr>
    </w:p>
    <w:p>
      <w:pPr>
        <w:spacing w:line="501" w:lineRule="exact" w:before="0" w:after="0"/>
      </w:pPr>
      <w:r>
        <w:rPr>
          <w:rFonts w:ascii="Times New Roman" w:hAnsi="Times New Roman" w:eastAsia="HY신명조"/>
          <w:b/>
          <w:sz w:val="28"/>
        </w:rPr>
        <w:t>5. Low-Speed Ladder: Shift of the Boundary</w:t>
      </w:r>
    </w:p>
    <w:p>
      <w:pPr>
        <w:spacing w:line="501" w:lineRule="exact" w:before="0" w:after="0"/>
      </w:pPr>
    </w:p>
    <w:p>
      <w:pPr>
        <w:spacing w:line="501" w:lineRule="exact" w:before="0" w:after="0"/>
        <w:jc w:val="both"/>
      </w:pPr>
      <w:r>
        <w:rPr>
          <w:rFonts w:ascii="Times New Roman" w:hAnsi="Times New Roman" w:eastAsia="HY신명조"/>
          <w:b w:val="0"/>
          <w:sz w:val="22"/>
        </w:rPr>
        <w:t xml:space="preserve">   In low-speed settled cruise (nominal 3.0 m/s cap configured), the boundary was measured empirically by lowering the spawn distance (Table 5-4). At 8 m the outcome was 8/8 avoidance (Section 4), while at 7, 6, and 5 m the vehicle collided in 2/2 runs at each distance, so the avoidance/collision boundary at 3.0 m/s lies in the 7–8 m interval. Compared with the 8–11 m boundary at 4.2 m/s, the measurements confirm that the reduction of encounter speed moved the boundary inward. Three points are stated explicitly, however. First, the low speed of this ladder stems from the restart profile rather than the explicit cap (Section 6), and the comparison axis is the measured encounter speed. Second, the launch protocols differ — the 4.2 ladder launches into the path of normal driving, whereas the 3.0 ladder launches during restart cruise, and the axis of comparison is the encounter speed of an "encounter during constant-speed cruise." Third, the measured boundary (7–8 m) lies farther out than the pure prediction of the physics model (5.79 m). The difference is explained by the margin required against a moving target and by the off-nominal segment of the acceleration profile immediately after restart, and the model should be interpreted as a lower-bound approximation. Taken together, the per-speed boundaries are 4.2 m/s → 8–11 m and 3.0 m/s → 7–8 m: low-speed encounters physically narrow the range of "unavoidable dart-outs," and its effect and its limit (the transient) are consistently explained by stopping-distance physics.</w:t>
      </w:r>
    </w:p>
    <w:p>
      <w:pPr>
        <w:keepNext/>
        <w:spacing w:line="312" w:lineRule="auto" w:before="40" w:after="0"/>
      </w:pPr>
      <w:r>
        <w:rPr>
          <w:rFonts w:ascii="Times New Roman" w:hAnsi="Times New Roman" w:eastAsia="HY신명조"/>
          <w:b/>
          <w:sz w:val="18"/>
        </w:rPr>
        <w:t xml:space="preserve">Table 5-4. </w:t>
      </w:r>
      <w:r>
        <w:rPr>
          <w:rFonts w:ascii="Times New Roman" w:hAnsi="Times New Roman" w:eastAsia="HY신명조"/>
          <w:b w:val="0"/>
          <w:sz w:val="18"/>
        </w:rPr>
        <w:t>Low-speed (3.0 m/s) ladder results (ledger adjudication)</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Times New Roman" w:hAnsi="Times New Roman" w:eastAsia="HY신명조"/>
                <w:b/>
                <w:sz w:val="18"/>
              </w:rPr>
              <w:t>Spawn distance</w:t>
            </w:r>
          </w:p>
        </w:tc>
        <w:tc>
          <w:tcPr>
            <w:tcW w:type="dxa" w:w="4252"/>
          </w:tcPr>
          <w:p>
            <w:pPr>
              <w:keepNext/>
              <w:spacing w:line="288" w:lineRule="auto" w:before="20" w:after="20"/>
              <w:jc w:val="center"/>
            </w:pPr>
            <w:r/>
            <w:r>
              <w:rPr>
                <w:rFonts w:ascii="Times New Roman" w:hAnsi="Times New Roman" w:eastAsia="HY신명조"/>
                <w:b/>
                <w:sz w:val="18"/>
              </w:rPr>
              <w:t>Outcome</w:t>
            </w:r>
          </w:p>
        </w:tc>
      </w:tr>
      <w:tr>
        <w:trPr>
          <w:cantSplit/>
        </w:trPr>
        <w:tc>
          <w:tcPr>
            <w:tcW w:type="dxa" w:w="4252"/>
          </w:tcPr>
          <w:p>
            <w:pPr>
              <w:keepNext/>
              <w:spacing w:line="288" w:lineRule="auto" w:before="20" w:after="20"/>
              <w:jc w:val="left"/>
            </w:pPr>
            <w:r/>
            <w:r>
              <w:rPr>
                <w:rFonts w:ascii="Times New Roman" w:hAnsi="Times New Roman" w:eastAsia="HY신명조"/>
                <w:b w:val="0"/>
                <w:sz w:val="18"/>
              </w:rPr>
              <w:t>8 m</w:t>
            </w:r>
          </w:p>
        </w:tc>
        <w:tc>
          <w:tcPr>
            <w:tcW w:type="dxa" w:w="4252"/>
          </w:tcPr>
          <w:p>
            <w:pPr>
              <w:keepNext/>
              <w:spacing w:line="288" w:lineRule="auto" w:before="20" w:after="20"/>
              <w:jc w:val="left"/>
            </w:pPr>
            <w:r/>
            <w:r>
              <w:rPr>
                <w:rFonts w:ascii="Times New Roman" w:hAnsi="Times New Roman" w:eastAsia="HY신명조"/>
                <w:b w:val="0"/>
                <w:sz w:val="18"/>
              </w:rPr>
              <w:t>Avoidance 8/8 (settled cruise, Section 6)</w:t>
            </w:r>
          </w:p>
        </w:tc>
      </w:tr>
      <w:tr>
        <w:trPr>
          <w:cantSplit/>
        </w:trPr>
        <w:tc>
          <w:tcPr>
            <w:tcW w:type="dxa" w:w="4252"/>
          </w:tcPr>
          <w:p>
            <w:pPr>
              <w:keepNext/>
              <w:spacing w:line="288" w:lineRule="auto" w:before="20" w:after="20"/>
              <w:jc w:val="left"/>
            </w:pPr>
            <w:r/>
            <w:r>
              <w:rPr>
                <w:rFonts w:ascii="Times New Roman" w:hAnsi="Times New Roman" w:eastAsia="HY신명조"/>
                <w:b w:val="0"/>
                <w:sz w:val="18"/>
              </w:rPr>
              <w:t>7 m</w:t>
            </w:r>
          </w:p>
        </w:tc>
        <w:tc>
          <w:tcPr>
            <w:tcW w:type="dxa" w:w="4252"/>
          </w:tcPr>
          <w:p>
            <w:pPr>
              <w:keepNext/>
              <w:spacing w:line="288" w:lineRule="auto" w:before="20" w:after="20"/>
              <w:jc w:val="left"/>
            </w:pPr>
            <w:r/>
            <w:r>
              <w:rPr>
                <w:rFonts w:ascii="Times New Roman" w:hAnsi="Times New Roman" w:eastAsia="HY신명조"/>
                <w:b w:val="0"/>
                <w:sz w:val="18"/>
              </w:rPr>
              <w:t>Collision 2/2</w:t>
            </w:r>
          </w:p>
        </w:tc>
      </w:tr>
      <w:tr>
        <w:trPr>
          <w:cantSplit/>
        </w:trPr>
        <w:tc>
          <w:tcPr>
            <w:tcW w:type="dxa" w:w="4252"/>
          </w:tcPr>
          <w:p>
            <w:pPr>
              <w:keepNext/>
              <w:spacing w:line="288" w:lineRule="auto" w:before="20" w:after="20"/>
              <w:jc w:val="left"/>
            </w:pPr>
            <w:r/>
            <w:r>
              <w:rPr>
                <w:rFonts w:ascii="Times New Roman" w:hAnsi="Times New Roman" w:eastAsia="HY신명조"/>
                <w:b w:val="0"/>
                <w:sz w:val="18"/>
              </w:rPr>
              <w:t>6 m</w:t>
            </w:r>
          </w:p>
        </w:tc>
        <w:tc>
          <w:tcPr>
            <w:tcW w:type="dxa" w:w="4252"/>
          </w:tcPr>
          <w:p>
            <w:pPr>
              <w:keepNext/>
              <w:spacing w:line="288" w:lineRule="auto" w:before="20" w:after="20"/>
              <w:jc w:val="left"/>
            </w:pPr>
            <w:r/>
            <w:r>
              <w:rPr>
                <w:rFonts w:ascii="Times New Roman" w:hAnsi="Times New Roman" w:eastAsia="HY신명조"/>
                <w:b w:val="0"/>
                <w:sz w:val="18"/>
              </w:rPr>
              <w:t>Collision 2/2</w:t>
            </w:r>
          </w:p>
        </w:tc>
      </w:tr>
      <w:tr>
        <w:trPr>
          <w:cantSplit/>
        </w:trPr>
        <w:tc>
          <w:tcPr>
            <w:tcW w:type="dxa" w:w="4252"/>
          </w:tcPr>
          <w:p>
            <w:pPr>
              <w:spacing w:line="288" w:lineRule="auto" w:before="20" w:after="20"/>
              <w:jc w:val="left"/>
            </w:pPr>
            <w:r/>
            <w:r>
              <w:rPr>
                <w:rFonts w:ascii="Times New Roman" w:hAnsi="Times New Roman" w:eastAsia="HY신명조"/>
                <w:b w:val="0"/>
                <w:sz w:val="18"/>
              </w:rPr>
              <w:t>5 m</w:t>
            </w:r>
          </w:p>
        </w:tc>
        <w:tc>
          <w:tcPr>
            <w:tcW w:type="dxa" w:w="4252"/>
          </w:tcPr>
          <w:p>
            <w:pPr>
              <w:spacing w:line="288" w:lineRule="auto" w:before="20" w:after="20"/>
              <w:jc w:val="left"/>
            </w:pPr>
            <w:r/>
            <w:r>
              <w:rPr>
                <w:rFonts w:ascii="Times New Roman" w:hAnsi="Times New Roman" w:eastAsia="HY신명조"/>
                <w:b w:val="0"/>
                <w:sz w:val="18"/>
              </w:rPr>
              <w:t>Collision 2/2</w:t>
            </w:r>
          </w:p>
        </w:tc>
      </w:tr>
    </w:tbl>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6. Causal Verification of the Speed Cap: A Dose-Response Experiment on Settled Encounters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two ladders of Sections 3 and 5 used different launch protocols, limiting direct cross-speed comparison. A controlled dose-response experiment was therefore performed, on the corrected implementation, exclusively on settled-state encounters in which the cap actually held.</w:t>
      </w:r>
    </w:p>
    <w:p>
      <w:pPr>
        <w:spacing w:line="501" w:lineRule="exact" w:before="0" w:after="0"/>
        <w:jc w:val="both"/>
      </w:pPr>
      <w:r>
        <w:rPr>
          <w:rFonts w:ascii="Times New Roman" w:hAnsi="Times New Roman" w:eastAsia="HY신명조"/>
          <w:b w:val="0"/>
          <w:sz w:val="22"/>
        </w:rPr>
        <w:t xml:space="preserve">   The design is a paired matrix of caps {4.2, 3.6, 3.0} m/s × spawn distances {6, 7, 8, 9} m × 10 seeds = 120 runs (Chapter 4, Section 6 (v)). The 4.2 m/s arm is a high-cap control practically equivalent to the road speed limit (15 km/h ≈ 4.17 m/s), and the three arms use the identical external velocity-limit interface differing only in the value, so there is no software-path difference. Launch uses the settlement trigger — the pedestrian is spawned D m ahead at the moment the supervisor is in MRM_MOVE and the measured speed has stayed within the cap-specific band for 1.0 s continuously (spread ≤ 0.25 m/s) — which, unlike time-based launching, guarantees at the trigger level that the cap holds at the encounter. The primary endpoint (8 m, paired 4.2 vs 3.0 exact McNemar) and the manipulation-check adoption rule were pre-specified in a plan before data collection (Chapter 4, Section 7). The 120 runs passing the manipulation check are analyzed (5 failing runs were rejected before their outcomes were examined and replaced by identical-condition re-runs); adjudication is based on the ego ledger (RAW-HIT).</w:t>
      </w:r>
    </w:p>
    <w:p>
      <w:pPr>
        <w:keepNext/>
        <w:spacing w:line="312" w:lineRule="auto" w:before="40" w:after="0"/>
      </w:pPr>
      <w:r>
        <w:rPr>
          <w:rFonts w:ascii="Times New Roman" w:hAnsi="Times New Roman" w:eastAsia="HY신명조"/>
          <w:b/>
          <w:sz w:val="18"/>
        </w:rPr>
        <w:t xml:space="preserve">Table 5-5. </w:t>
      </w:r>
      <w:r>
        <w:rPr>
          <w:rFonts w:ascii="Times New Roman" w:hAnsi="Times New Roman" w:eastAsia="HY신명조"/>
          <w:b w:val="0"/>
          <w:sz w:val="18"/>
        </w:rPr>
        <w:t>Dose-response experiment — collisions in settled encounters (n=10 seeds per cell, ledger adjudication)</w:t>
      </w:r>
    </w:p>
    <w:tbl>
      <w:tblPr>
        <w:tblStyle w:val="ac"/>
        <w:tblW w:type="auto" w:w="0"/>
        <w:jc w:val="center"/>
        <w:tblLook w:firstColumn="1" w:firstRow="1" w:lastColumn="0" w:lastRow="0" w:noHBand="0" w:noVBand="1" w:val="04A0"/>
      </w:tblPr>
      <w:tblGrid>
        <w:gridCol w:w="1417"/>
        <w:gridCol w:w="1417"/>
        <w:gridCol w:w="1417"/>
        <w:gridCol w:w="1417"/>
        <w:gridCol w:w="1417"/>
        <w:gridCol w:w="1417"/>
      </w:tblGrid>
      <w:tr>
        <w:trPr>
          <w:cantSplit/>
          <w:tblHeader/>
        </w:trPr>
        <w:tc>
          <w:tcPr>
            <w:tcW w:type="dxa" w:w="1417"/>
          </w:tcPr>
          <w:p>
            <w:pPr>
              <w:keepNext/>
              <w:spacing w:line="288" w:lineRule="auto" w:before="20" w:after="20"/>
              <w:jc w:val="center"/>
            </w:pPr>
            <w:r/>
            <w:r>
              <w:rPr>
                <w:rFonts w:ascii="Times New Roman" w:hAnsi="Times New Roman" w:eastAsia="HY신명조"/>
                <w:b/>
                <w:sz w:val="18"/>
              </w:rPr>
              <w:t>Speed cap</w:t>
            </w:r>
          </w:p>
        </w:tc>
        <w:tc>
          <w:tcPr>
            <w:tcW w:type="dxa" w:w="1417"/>
          </w:tcPr>
          <w:p>
            <w:pPr>
              <w:keepNext/>
              <w:spacing w:line="288" w:lineRule="auto" w:before="20" w:after="20"/>
              <w:jc w:val="center"/>
            </w:pPr>
            <w:r/>
            <w:r>
              <w:rPr>
                <w:rFonts w:ascii="Times New Roman" w:hAnsi="Times New Roman" w:eastAsia="HY신명조"/>
                <w:b/>
                <w:sz w:val="18"/>
              </w:rPr>
              <w:t>6 m</w:t>
            </w:r>
          </w:p>
        </w:tc>
        <w:tc>
          <w:tcPr>
            <w:tcW w:type="dxa" w:w="1417"/>
          </w:tcPr>
          <w:p>
            <w:pPr>
              <w:keepNext/>
              <w:spacing w:line="288" w:lineRule="auto" w:before="20" w:after="20"/>
              <w:jc w:val="center"/>
            </w:pPr>
            <w:r/>
            <w:r>
              <w:rPr>
                <w:rFonts w:ascii="Times New Roman" w:hAnsi="Times New Roman" w:eastAsia="HY신명조"/>
                <w:b/>
                <w:sz w:val="18"/>
              </w:rPr>
              <w:t>7 m</w:t>
            </w:r>
          </w:p>
        </w:tc>
        <w:tc>
          <w:tcPr>
            <w:tcW w:type="dxa" w:w="1417"/>
          </w:tcPr>
          <w:p>
            <w:pPr>
              <w:keepNext/>
              <w:spacing w:line="288" w:lineRule="auto" w:before="20" w:after="20"/>
              <w:jc w:val="center"/>
            </w:pPr>
            <w:r/>
            <w:r>
              <w:rPr>
                <w:rFonts w:ascii="Times New Roman" w:hAnsi="Times New Roman" w:eastAsia="HY신명조"/>
                <w:b/>
                <w:sz w:val="18"/>
              </w:rPr>
              <w:t>8 m</w:t>
            </w:r>
          </w:p>
        </w:tc>
        <w:tc>
          <w:tcPr>
            <w:tcW w:type="dxa" w:w="1417"/>
          </w:tcPr>
          <w:p>
            <w:pPr>
              <w:keepNext/>
              <w:spacing w:line="288" w:lineRule="auto" w:before="20" w:after="20"/>
              <w:jc w:val="center"/>
            </w:pPr>
            <w:r/>
            <w:r>
              <w:rPr>
                <w:rFonts w:ascii="Times New Roman" w:hAnsi="Times New Roman" w:eastAsia="HY신명조"/>
                <w:b/>
                <w:sz w:val="18"/>
              </w:rPr>
              <w:t>9 m</w:t>
            </w:r>
          </w:p>
        </w:tc>
        <w:tc>
          <w:tcPr>
            <w:tcW w:type="dxa" w:w="1417"/>
          </w:tcPr>
          <w:p>
            <w:pPr>
              <w:keepNext/>
              <w:spacing w:line="288" w:lineRule="auto" w:before="20" w:after="20"/>
              <w:jc w:val="center"/>
            </w:pPr>
            <w:r/>
            <w:r>
              <w:rPr>
                <w:rFonts w:ascii="Times New Roman" w:hAnsi="Times New Roman" w:eastAsia="HY신명조"/>
                <w:b/>
                <w:sz w:val="18"/>
              </w:rPr>
              <w:t>Estimated boundary</w:t>
            </w:r>
          </w:p>
        </w:tc>
      </w:tr>
      <w:tr>
        <w:trPr>
          <w:cantSplit/>
        </w:trPr>
        <w:tc>
          <w:tcPr>
            <w:tcW w:type="dxa" w:w="1417"/>
          </w:tcPr>
          <w:p>
            <w:pPr>
              <w:keepNext/>
              <w:spacing w:line="288" w:lineRule="auto" w:before="20" w:after="20"/>
              <w:jc w:val="left"/>
            </w:pPr>
            <w:r/>
            <w:r>
              <w:rPr>
                <w:rFonts w:ascii="Times New Roman" w:hAnsi="Times New Roman" w:eastAsia="HY신명조"/>
                <w:b w:val="0"/>
                <w:sz w:val="18"/>
              </w:rPr>
              <w:t>4.2 m/s (high-cap control)</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beyond 9 m</w:t>
            </w:r>
          </w:p>
        </w:tc>
      </w:tr>
      <w:tr>
        <w:trPr>
          <w:cantSplit/>
        </w:trPr>
        <w:tc>
          <w:tcPr>
            <w:tcW w:type="dxa" w:w="1417"/>
          </w:tcPr>
          <w:p>
            <w:pPr>
              <w:keepNext/>
              <w:spacing w:line="288" w:lineRule="auto" w:before="20" w:after="20"/>
              <w:jc w:val="left"/>
            </w:pPr>
            <w:r/>
            <w:r>
              <w:rPr>
                <w:rFonts w:ascii="Times New Roman" w:hAnsi="Times New Roman" w:eastAsia="HY신명조"/>
                <w:b w:val="0"/>
                <w:sz w:val="18"/>
              </w:rPr>
              <w:t>3.6 m/s</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2/10</w:t>
            </w:r>
          </w:p>
        </w:tc>
        <w:tc>
          <w:tcPr>
            <w:tcW w:type="dxa" w:w="1417"/>
          </w:tcPr>
          <w:p>
            <w:pPr>
              <w:keepNext/>
              <w:spacing w:line="288" w:lineRule="auto" w:before="20" w:after="20"/>
              <w:jc w:val="left"/>
            </w:pPr>
            <w:r/>
            <w:r>
              <w:rPr>
                <w:rFonts w:ascii="Times New Roman" w:hAnsi="Times New Roman" w:eastAsia="HY신명조"/>
                <w:b w:val="0"/>
                <w:sz w:val="18"/>
              </w:rPr>
              <w:t>about 9 m</w:t>
            </w:r>
          </w:p>
        </w:tc>
      </w:tr>
      <w:tr>
        <w:trPr>
          <w:cantSplit/>
        </w:trPr>
        <w:tc>
          <w:tcPr>
            <w:tcW w:type="dxa" w:w="1417"/>
          </w:tcPr>
          <w:p>
            <w:pPr>
              <w:spacing w:line="288" w:lineRule="auto" w:before="20" w:after="20"/>
              <w:jc w:val="left"/>
            </w:pPr>
            <w:r/>
            <w:r>
              <w:rPr>
                <w:rFonts w:ascii="Times New Roman" w:hAnsi="Times New Roman" w:eastAsia="HY신명조"/>
                <w:b w:val="0"/>
                <w:sz w:val="18"/>
              </w:rPr>
              <w:t>3.0 m/s (policy value)</w:t>
            </w:r>
          </w:p>
        </w:tc>
        <w:tc>
          <w:tcPr>
            <w:tcW w:type="dxa" w:w="1417"/>
          </w:tcPr>
          <w:p>
            <w:pPr>
              <w:spacing w:line="288" w:lineRule="auto" w:before="20" w:after="20"/>
              <w:jc w:val="left"/>
            </w:pPr>
            <w:r/>
            <w:r>
              <w:rPr>
                <w:rFonts w:ascii="Times New Roman" w:hAnsi="Times New Roman" w:eastAsia="HY신명조"/>
                <w:b w:val="0"/>
                <w:sz w:val="18"/>
              </w:rPr>
              <w:t>8/10</w:t>
            </w:r>
          </w:p>
        </w:tc>
        <w:tc>
          <w:tcPr>
            <w:tcW w:type="dxa" w:w="1417"/>
          </w:tcPr>
          <w:p>
            <w:pPr>
              <w:spacing w:line="288" w:lineRule="auto" w:before="20" w:after="20"/>
              <w:jc w:val="left"/>
            </w:pPr>
            <w:r/>
            <w:r>
              <w:rPr>
                <w:rFonts w:ascii="Times New Roman" w:hAnsi="Times New Roman" w:eastAsia="HY신명조"/>
                <w:b w:val="0"/>
                <w:sz w:val="18"/>
              </w:rPr>
              <w:t>5/10</w:t>
            </w:r>
          </w:p>
        </w:tc>
        <w:tc>
          <w:tcPr>
            <w:tcW w:type="dxa" w:w="1417"/>
          </w:tcPr>
          <w:p>
            <w:pPr>
              <w:spacing w:line="288" w:lineRule="auto" w:before="20" w:after="20"/>
              <w:jc w:val="left"/>
            </w:pPr>
            <w:r/>
            <w:r>
              <w:rPr>
                <w:rFonts w:ascii="Times New Roman" w:hAnsi="Times New Roman" w:eastAsia="HY신명조"/>
                <w:b w:val="0"/>
                <w:sz w:val="18"/>
              </w:rPr>
              <w:t>0/10</w:t>
            </w:r>
          </w:p>
        </w:tc>
        <w:tc>
          <w:tcPr>
            <w:tcW w:type="dxa" w:w="1417"/>
          </w:tcPr>
          <w:p>
            <w:pPr>
              <w:spacing w:line="288" w:lineRule="auto" w:before="20" w:after="20"/>
              <w:jc w:val="left"/>
            </w:pPr>
            <w:r/>
            <w:r>
              <w:rPr>
                <w:rFonts w:ascii="Times New Roman" w:hAnsi="Times New Roman" w:eastAsia="HY신명조"/>
                <w:b w:val="0"/>
                <w:sz w:val="18"/>
              </w:rPr>
              <w:t>0/10</w:t>
            </w:r>
          </w:p>
        </w:tc>
        <w:tc>
          <w:tcPr>
            <w:tcW w:type="dxa" w:w="1417"/>
          </w:tcPr>
          <w:p>
            <w:pPr>
              <w:spacing w:line="288" w:lineRule="auto" w:before="20" w:after="20"/>
              <w:jc w:val="left"/>
            </w:pPr>
            <w:r/>
            <w:r>
              <w:rPr>
                <w:rFonts w:ascii="Times New Roman" w:hAnsi="Times New Roman" w:eastAsia="HY신명조"/>
                <w:b w:val="0"/>
                <w:sz w:val="18"/>
              </w:rPr>
              <w:t>about 7 m</w:t>
            </w:r>
          </w:p>
        </w:tc>
      </w:tr>
    </w:tbl>
    <w:p>
      <w:pPr>
        <w:spacing w:line="312" w:lineRule="auto" w:before="0" w:after="0"/>
      </w:pPr>
      <w:r>
        <w:rPr>
          <w:rFonts w:ascii="Times New Roman" w:hAnsi="Times New Roman" w:eastAsia="HY신명조"/>
          <w:b w:val="0"/>
          <w:sz w:val="18"/>
        </w:rPr>
        <w:t>Manipulation check (measured speed at the first encounter tick): 4.2 arm 4.05–4.13 (median 4.08), 3.6 arm 3.37–3.58 (median 3.52), 3.0 arm 2.60–3.07 (median 2.81) m/s — every run within the required band ± 0.15 m/s tolerance. Minimum pedestrian gaps in avoidance runs are 1.8–5.4 m, i.e., all genuine encounters.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results are monotone along both axes (Table 5-5, Figure 5-4). At the pre-specified primary endpoint — the 8 m encounter — cap 4.2 collided in all ten seeds and cap 3.0 avoided in all ten, giving discordant pairs 10:0 and an exact McNemar two-sided p=0.002: the collision-reduction effect of the explicit cap is detected with unanimous seed-level directionality once the cap actually holds at the encounter. In the boundary characterization, the avoid/collide boundary is beyond 9 m at 4.2 m/s (consistent with the 8–11 m ladder of Section 3), about 9 m at 3.6 m/s (2/10 at 9 m), and about 7 m at 3.0 m/s (5/10 at 7 m, 0/10 at 8 m and beyond) — moving inward monotonically as the cap is lowered. In particular, the 5/10 of the 3.0 arm at 7 m falls at the lower end of the boundary interval (7–8 m) estimated by the Section 5 low-speed ladder (about 7 m as the 50% collision point), a mutual corroboration.</w:t>
      </w:r>
    </w:p>
    <w:p>
      <w:pPr>
        <w:keepNext/>
        <w:spacing w:line="240" w:lineRule="auto"/>
        <w:jc w:val="center"/>
      </w:pPr>
      <w:r>
        <w:drawing>
          <wp:inline xmlns:a="http://schemas.openxmlformats.org/drawingml/2006/main" xmlns:pic="http://schemas.openxmlformats.org/drawingml/2006/picture">
            <wp:extent cx="5040000" cy="2072027"/>
            <wp:docPr id="11" name="Picture 11"/>
            <wp:cNvGraphicFramePr>
              <a:graphicFrameLocks noChangeAspect="1"/>
            </wp:cNvGraphicFramePr>
            <a:graphic>
              <a:graphicData uri="http://schemas.openxmlformats.org/drawingml/2006/picture">
                <pic:pic>
                  <pic:nvPicPr>
                    <pic:cNvPr id="0" name="fig13_speeddose.png"/>
                    <pic:cNvPicPr/>
                  </pic:nvPicPr>
                  <pic:blipFill>
                    <a:blip r:embed="rId25"/>
                    <a:stretch>
                      <a:fillRect/>
                    </a:stretch>
                  </pic:blipFill>
                  <pic:spPr>
                    <a:xfrm>
                      <a:off x="0" y="0"/>
                      <a:ext cx="5040000" cy="2072027"/>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5-4. </w:t>
      </w:r>
      <w:r>
        <w:rPr>
          <w:rFonts w:ascii="Times New Roman" w:hAnsi="Times New Roman" w:eastAsia="HY신명조"/>
          <w:b w:val="0"/>
          <w:sz w:val="18"/>
        </w:rPr>
        <w:t>Dose-response experiment (120 runs, ledger adjudication). (a) Collision rate vs spawn distance per cap (Wilson 95% CI) — the avoid/collide boundary moves inward monotonically as the cap is lowered. (b) Pre-specified primary contrast (8 m): cap 4.2 m/s collided in 10/10, cap 3.0 m/s in 0/10 — discordant pairs 10:0, exact McNemar p=0.002.</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limits of interpretation are stated explicitly. This causal conclusion is restricted to the settled regime in which the cap holds; the transient risk before deceleration completes (the transient-encounter observation of Section 4) is outside the scope of this experiment — the cap does not remove the transient, it creates the physical safety margin after settling. No optimality claim is made for the 3.0 m/s value (the onset of collapse of the 3.6 arm at 9 m only locates the boundary of an intermediate dose), and the restrictions of n=10 per cell and a single fault (gn-mid) on a single evacuation corridor also remain.</w:t>
      </w:r>
    </w:p>
    <w:p>
      <w:pPr>
        <w:spacing w:line="501" w:lineRule="exact" w:before="0" w:after="0"/>
      </w:pPr>
    </w:p>
    <w:p>
      <w:pPr>
        <w:spacing w:line="501" w:lineRule="exact" w:before="0" w:after="0"/>
      </w:pPr>
      <w:r>
        <w:rPr>
          <w:rFonts w:ascii="Times New Roman" w:hAnsi="Times New Roman" w:eastAsia="HY신명조"/>
          <w:b/>
          <w:sz w:val="28"/>
        </w:rPr>
        <w:t>7. Hard-Fail Decision Latency: Verifying the 1.5 s Deadline</w:t>
      </w:r>
    </w:p>
    <w:p>
      <w:pPr>
        <w:spacing w:line="501" w:lineRule="exact" w:before="0" w:after="0"/>
      </w:pPr>
    </w:p>
    <w:p>
      <w:pPr>
        <w:spacing w:line="501" w:lineRule="exact" w:before="0" w:after="0"/>
        <w:jc w:val="both"/>
      </w:pPr>
      <w:r>
        <w:rPr>
          <w:rFonts w:ascii="Times New Roman" w:hAnsi="Times New Roman" w:eastAsia="HY신명조"/>
          <w:b w:val="0"/>
          <w:sz w:val="22"/>
        </w:rPr>
        <w:t xml:space="preserve">   For the detection and decision of hard fails (signal loss), a 1.5 s deadline is set as the design specification (an internal requirement) — not a claim of FTTI compliance for a specific safety goal (Chapter 3, Section 4). The latency budget consists of the freshness deadline of 0.85 s and roughly 0.15 s for score propagation and state transition (the fast decision path of Chapter 3, Section 5: skipping persistence confirmation once death is confirmed, skipping grace and retry for unrecoverable conditions, pre-computing candidate paths), for a budget total of about 1.0 s, leaving margin against the deadline. Compliance was verified in ledger-based simulation time over the full cf and lf matrices (90 executed cases each, same structure as the main campaign; the latency n counts runs with parsable ledger latencies and the MRM denominators count runs judgeable after the ledger introduction, both below 90 after simulator-failure exclusion) (Table 5-6, Figure 5-1): across all subtypes the median was about 1.0 s and the maximum 1.20 s with no violations, and MRM attainment was maintained in full. This deadline is limited to hard fails — the decision for degradation-type faults is inherently a matter of statistical evidence accumulation and thus follows the severity-proportional principle (Chapter 3, Section 4).</w:t>
      </w:r>
    </w:p>
    <w:p>
      <w:pPr>
        <w:keepNext/>
        <w:spacing w:line="312" w:lineRule="auto" w:before="40" w:after="0"/>
      </w:pPr>
      <w:r>
        <w:rPr>
          <w:rFonts w:ascii="Times New Roman" w:hAnsi="Times New Roman" w:eastAsia="HY신명조"/>
          <w:b/>
          <w:sz w:val="18"/>
        </w:rPr>
        <w:t xml:space="preserve">Table 5-6. </w:t>
      </w:r>
      <w:r>
        <w:rPr>
          <w:rFonts w:ascii="Times New Roman" w:hAnsi="Times New Roman" w:eastAsia="HY신명조"/>
          <w:b w:val="0"/>
          <w:sz w:val="18"/>
        </w:rPr>
        <w:t>Hard-fail detection and decision latency (simulation time, ledger basis) and 1.5 s deadline compliance</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keepNext/>
              <w:spacing w:line="288" w:lineRule="auto" w:before="20" w:after="20"/>
              <w:jc w:val="center"/>
            </w:pPr>
            <w:r/>
            <w:r>
              <w:rPr>
                <w:rFonts w:ascii="Times New Roman" w:hAnsi="Times New Roman" w:eastAsia="HY신명조"/>
                <w:b/>
                <w:sz w:val="18"/>
              </w:rPr>
              <w:t>Subtype</w:t>
            </w:r>
          </w:p>
        </w:tc>
        <w:tc>
          <w:tcPr>
            <w:tcW w:type="dxa" w:w="1215"/>
          </w:tcPr>
          <w:p>
            <w:pPr>
              <w:keepNext/>
              <w:spacing w:line="288" w:lineRule="auto" w:before="20" w:after="20"/>
              <w:jc w:val="center"/>
            </w:pPr>
            <w:r/>
            <w:r>
              <w:rPr>
                <w:rFonts w:ascii="Times New Roman" w:hAnsi="Times New Roman" w:eastAsia="HY신명조"/>
                <w:b/>
                <w:sz w:val="18"/>
              </w:rPr>
              <w:t>n</w:t>
            </w:r>
          </w:p>
        </w:tc>
        <w:tc>
          <w:tcPr>
            <w:tcW w:type="dxa" w:w="1215"/>
          </w:tcPr>
          <w:p>
            <w:pPr>
              <w:keepNext/>
              <w:spacing w:line="288" w:lineRule="auto" w:before="20" w:after="20"/>
              <w:jc w:val="center"/>
            </w:pPr>
            <w:r/>
            <w:r>
              <w:rPr>
                <w:rFonts w:ascii="Times New Roman" w:hAnsi="Times New Roman" w:eastAsia="HY신명조"/>
                <w:b/>
                <w:sz w:val="18"/>
              </w:rPr>
              <w:t>Median [s]</w:t>
            </w:r>
          </w:p>
        </w:tc>
        <w:tc>
          <w:tcPr>
            <w:tcW w:type="dxa" w:w="1215"/>
          </w:tcPr>
          <w:p>
            <w:pPr>
              <w:keepNext/>
              <w:spacing w:line="288" w:lineRule="auto" w:before="20" w:after="20"/>
              <w:jc w:val="center"/>
            </w:pPr>
            <w:r/>
            <w:r>
              <w:rPr>
                <w:rFonts w:ascii="Times New Roman" w:hAnsi="Times New Roman" w:eastAsia="HY신명조"/>
                <w:b/>
                <w:sz w:val="18"/>
              </w:rPr>
              <w:t>P95 [s]</w:t>
            </w:r>
          </w:p>
        </w:tc>
        <w:tc>
          <w:tcPr>
            <w:tcW w:type="dxa" w:w="1215"/>
          </w:tcPr>
          <w:p>
            <w:pPr>
              <w:keepNext/>
              <w:spacing w:line="288" w:lineRule="auto" w:before="20" w:after="20"/>
              <w:jc w:val="center"/>
            </w:pPr>
            <w:r/>
            <w:r>
              <w:rPr>
                <w:rFonts w:ascii="Times New Roman" w:hAnsi="Times New Roman" w:eastAsia="HY신명조"/>
                <w:b/>
                <w:sz w:val="18"/>
              </w:rPr>
              <w:t>Max [s]</w:t>
            </w:r>
          </w:p>
        </w:tc>
        <w:tc>
          <w:tcPr>
            <w:tcW w:type="dxa" w:w="1215"/>
          </w:tcPr>
          <w:p>
            <w:pPr>
              <w:keepNext/>
              <w:spacing w:line="288" w:lineRule="auto" w:before="20" w:after="20"/>
              <w:jc w:val="center"/>
            </w:pPr>
            <w:r/>
            <w:r>
              <w:rPr>
                <w:rFonts w:ascii="Times New Roman" w:hAnsi="Times New Roman" w:eastAsia="HY신명조"/>
                <w:b/>
                <w:sz w:val="18"/>
              </w:rPr>
              <w:t>&gt;1.5 s</w:t>
            </w:r>
          </w:p>
        </w:tc>
        <w:tc>
          <w:tcPr>
            <w:tcW w:type="dxa" w:w="1215"/>
          </w:tcPr>
          <w:p>
            <w:pPr>
              <w:keepNext/>
              <w:spacing w:line="288" w:lineRule="auto" w:before="20" w:after="20"/>
              <w:jc w:val="center"/>
            </w:pPr>
            <w:r/>
            <w:r>
              <w:rPr>
                <w:rFonts w:ascii="Times New Roman" w:hAnsi="Times New Roman" w:eastAsia="HY신명조"/>
                <w:b/>
                <w:sz w:val="18"/>
              </w:rPr>
              <w:t>MRM reached</w:t>
            </w:r>
          </w:p>
        </w:tc>
      </w:tr>
      <w:tr>
        <w:trPr>
          <w:cantSplit/>
        </w:trPr>
        <w:tc>
          <w:tcPr>
            <w:tcW w:type="dxa" w:w="1215"/>
          </w:tcPr>
          <w:p>
            <w:pPr>
              <w:keepNext/>
              <w:spacing w:line="288" w:lineRule="auto" w:before="20" w:after="20"/>
              <w:jc w:val="left"/>
            </w:pPr>
            <w:r/>
            <w:r>
              <w:rPr>
                <w:rFonts w:ascii="Times New Roman" w:hAnsi="Times New Roman" w:eastAsia="HY신명조"/>
                <w:b w:val="0"/>
                <w:sz w:val="18"/>
              </w:rPr>
              <w:t>cf-proposed</w:t>
            </w:r>
          </w:p>
        </w:tc>
        <w:tc>
          <w:tcPr>
            <w:tcW w:type="dxa" w:w="1215"/>
          </w:tcPr>
          <w:p>
            <w:pPr>
              <w:keepNext/>
              <w:spacing w:line="288" w:lineRule="auto" w:before="20" w:after="20"/>
              <w:jc w:val="left"/>
            </w:pPr>
            <w:r/>
            <w:r>
              <w:rPr>
                <w:rFonts w:ascii="Times New Roman" w:hAnsi="Times New Roman" w:eastAsia="HY신명조"/>
                <w:b w:val="0"/>
                <w:sz w:val="18"/>
              </w:rPr>
              <w:t>38</w:t>
            </w:r>
          </w:p>
        </w:tc>
        <w:tc>
          <w:tcPr>
            <w:tcW w:type="dxa" w:w="1215"/>
          </w:tcPr>
          <w:p>
            <w:pPr>
              <w:keepNext/>
              <w:spacing w:line="288" w:lineRule="auto" w:before="20" w:after="20"/>
              <w:jc w:val="left"/>
            </w:pPr>
            <w:r/>
            <w:r>
              <w:rPr>
                <w:rFonts w:ascii="Times New Roman" w:hAnsi="Times New Roman" w:eastAsia="HY신명조"/>
                <w:b w:val="0"/>
                <w:sz w:val="18"/>
              </w:rPr>
              <w:t>0.98</w:t>
            </w:r>
          </w:p>
        </w:tc>
        <w:tc>
          <w:tcPr>
            <w:tcW w:type="dxa" w:w="1215"/>
          </w:tcPr>
          <w:p>
            <w:pPr>
              <w:keepNext/>
              <w:spacing w:line="288" w:lineRule="auto" w:before="20" w:after="20"/>
              <w:jc w:val="left"/>
            </w:pPr>
            <w:r/>
            <w:r>
              <w:rPr>
                <w:rFonts w:ascii="Times New Roman" w:hAnsi="Times New Roman" w:eastAsia="HY신명조"/>
                <w:b w:val="0"/>
                <w:sz w:val="18"/>
              </w:rPr>
              <w:t>1.05</w:t>
            </w:r>
          </w:p>
        </w:tc>
        <w:tc>
          <w:tcPr>
            <w:tcW w:type="dxa" w:w="1215"/>
          </w:tcPr>
          <w:p>
            <w:pPr>
              <w:keepNext/>
              <w:spacing w:line="288" w:lineRule="auto" w:before="20" w:after="20"/>
              <w:jc w:val="left"/>
            </w:pPr>
            <w:r/>
            <w:r>
              <w:rPr>
                <w:rFonts w:ascii="Times New Roman" w:hAnsi="Times New Roman" w:eastAsia="HY신명조"/>
                <w:b w:val="0"/>
                <w:sz w:val="18"/>
              </w:rPr>
              <w:t>1.10</w:t>
            </w:r>
          </w:p>
        </w:tc>
        <w:tc>
          <w:tcPr>
            <w:tcW w:type="dxa" w:w="1215"/>
          </w:tcPr>
          <w:p>
            <w:pPr>
              <w:keepNext/>
              <w:spacing w:line="288" w:lineRule="auto" w:before="20" w:after="20"/>
              <w:jc w:val="left"/>
            </w:pPr>
            <w:r/>
            <w:r>
              <w:rPr>
                <w:rFonts w:ascii="Times New Roman" w:hAnsi="Times New Roman" w:eastAsia="HY신명조"/>
                <w:b w:val="0"/>
                <w:sz w:val="18"/>
              </w:rPr>
              <w:t>0 cases</w:t>
            </w:r>
          </w:p>
        </w:tc>
        <w:tc>
          <w:tcPr>
            <w:tcW w:type="dxa" w:w="1215"/>
          </w:tcPr>
          <w:p>
            <w:pPr>
              <w:keepNext/>
              <w:spacing w:line="288" w:lineRule="auto" w:before="20" w:after="20"/>
              <w:jc w:val="left"/>
            </w:pPr>
            <w:r/>
            <w:r>
              <w:rPr>
                <w:rFonts w:ascii="Times New Roman" w:hAnsi="Times New Roman" w:eastAsia="HY신명조"/>
                <w:b w:val="0"/>
                <w:sz w:val="18"/>
              </w:rPr>
              <w:t>44/44</w:t>
            </w:r>
          </w:p>
        </w:tc>
      </w:tr>
      <w:tr>
        <w:trPr>
          <w:cantSplit/>
        </w:trPr>
        <w:tc>
          <w:tcPr>
            <w:tcW w:type="dxa" w:w="1215"/>
          </w:tcPr>
          <w:p>
            <w:pPr>
              <w:keepNext/>
              <w:spacing w:line="288" w:lineRule="auto" w:before="20" w:after="20"/>
              <w:jc w:val="left"/>
            </w:pPr>
            <w:r/>
            <w:r>
              <w:rPr>
                <w:rFonts w:ascii="Times New Roman" w:hAnsi="Times New Roman" w:eastAsia="HY신명조"/>
                <w:b w:val="0"/>
                <w:sz w:val="18"/>
              </w:rPr>
              <w:t>cf-baseline</w:t>
            </w:r>
          </w:p>
        </w:tc>
        <w:tc>
          <w:tcPr>
            <w:tcW w:type="dxa" w:w="1215"/>
          </w:tcPr>
          <w:p>
            <w:pPr>
              <w:keepNext/>
              <w:spacing w:line="288" w:lineRule="auto" w:before="20" w:after="20"/>
              <w:jc w:val="left"/>
            </w:pPr>
            <w:r/>
            <w:r>
              <w:rPr>
                <w:rFonts w:ascii="Times New Roman" w:hAnsi="Times New Roman" w:eastAsia="HY신명조"/>
                <w:b w:val="0"/>
                <w:sz w:val="18"/>
              </w:rPr>
              <w:t>40</w:t>
            </w:r>
          </w:p>
        </w:tc>
        <w:tc>
          <w:tcPr>
            <w:tcW w:type="dxa" w:w="1215"/>
          </w:tcPr>
          <w:p>
            <w:pPr>
              <w:keepNext/>
              <w:spacing w:line="288" w:lineRule="auto" w:before="20" w:after="20"/>
              <w:jc w:val="left"/>
            </w:pPr>
            <w:r/>
            <w:r>
              <w:rPr>
                <w:rFonts w:ascii="Times New Roman" w:hAnsi="Times New Roman" w:eastAsia="HY신명조"/>
                <w:b w:val="0"/>
                <w:sz w:val="18"/>
              </w:rPr>
              <w:t>1.00</w:t>
            </w:r>
          </w:p>
        </w:tc>
        <w:tc>
          <w:tcPr>
            <w:tcW w:type="dxa" w:w="1215"/>
          </w:tcPr>
          <w:p>
            <w:pPr>
              <w:keepNext/>
              <w:spacing w:line="288" w:lineRule="auto" w:before="20" w:after="20"/>
              <w:jc w:val="left"/>
            </w:pPr>
            <w:r/>
            <w:r>
              <w:rPr>
                <w:rFonts w:ascii="Times New Roman" w:hAnsi="Times New Roman" w:eastAsia="HY신명조"/>
                <w:b w:val="0"/>
                <w:sz w:val="18"/>
              </w:rPr>
              <w:t>1.05</w:t>
            </w:r>
          </w:p>
        </w:tc>
        <w:tc>
          <w:tcPr>
            <w:tcW w:type="dxa" w:w="1215"/>
          </w:tcPr>
          <w:p>
            <w:pPr>
              <w:keepNext/>
              <w:spacing w:line="288" w:lineRule="auto" w:before="20" w:after="20"/>
              <w:jc w:val="left"/>
            </w:pPr>
            <w:r/>
            <w:r>
              <w:rPr>
                <w:rFonts w:ascii="Times New Roman" w:hAnsi="Times New Roman" w:eastAsia="HY신명조"/>
                <w:b w:val="0"/>
                <w:sz w:val="18"/>
              </w:rPr>
              <w:t>1.10</w:t>
            </w:r>
          </w:p>
        </w:tc>
        <w:tc>
          <w:tcPr>
            <w:tcW w:type="dxa" w:w="1215"/>
          </w:tcPr>
          <w:p>
            <w:pPr>
              <w:keepNext/>
              <w:spacing w:line="288" w:lineRule="auto" w:before="20" w:after="20"/>
              <w:jc w:val="left"/>
            </w:pPr>
            <w:r/>
            <w:r>
              <w:rPr>
                <w:rFonts w:ascii="Times New Roman" w:hAnsi="Times New Roman" w:eastAsia="HY신명조"/>
                <w:b w:val="0"/>
                <w:sz w:val="18"/>
              </w:rPr>
              <w:t>0 cases</w:t>
            </w:r>
          </w:p>
        </w:tc>
        <w:tc>
          <w:tcPr>
            <w:tcW w:type="dxa" w:w="1215"/>
          </w:tcPr>
          <w:p>
            <w:pPr>
              <w:keepNext/>
              <w:spacing w:line="288" w:lineRule="auto" w:before="20" w:after="20"/>
              <w:jc w:val="left"/>
            </w:pPr>
            <w:r/>
            <w:r>
              <w:rPr>
                <w:rFonts w:ascii="Times New Roman" w:hAnsi="Times New Roman" w:eastAsia="HY신명조"/>
                <w:b w:val="0"/>
                <w:sz w:val="18"/>
              </w:rPr>
              <w:t>44/44</w:t>
            </w:r>
          </w:p>
        </w:tc>
      </w:tr>
      <w:tr>
        <w:trPr>
          <w:cantSplit/>
        </w:trPr>
        <w:tc>
          <w:tcPr>
            <w:tcW w:type="dxa" w:w="1215"/>
          </w:tcPr>
          <w:p>
            <w:pPr>
              <w:keepNext/>
              <w:spacing w:line="288" w:lineRule="auto" w:before="20" w:after="20"/>
              <w:jc w:val="left"/>
            </w:pPr>
            <w:r/>
            <w:r>
              <w:rPr>
                <w:rFonts w:ascii="Times New Roman" w:hAnsi="Times New Roman" w:eastAsia="HY신명조"/>
                <w:b w:val="0"/>
                <w:sz w:val="18"/>
              </w:rPr>
              <w:t>lf-proposed</w:t>
            </w:r>
          </w:p>
        </w:tc>
        <w:tc>
          <w:tcPr>
            <w:tcW w:type="dxa" w:w="1215"/>
          </w:tcPr>
          <w:p>
            <w:pPr>
              <w:keepNext/>
              <w:spacing w:line="288" w:lineRule="auto" w:before="20" w:after="20"/>
              <w:jc w:val="left"/>
            </w:pPr>
            <w:r/>
            <w:r>
              <w:rPr>
                <w:rFonts w:ascii="Times New Roman" w:hAnsi="Times New Roman" w:eastAsia="HY신명조"/>
                <w:b w:val="0"/>
                <w:sz w:val="18"/>
              </w:rPr>
              <w:t>41</w:t>
            </w:r>
          </w:p>
        </w:tc>
        <w:tc>
          <w:tcPr>
            <w:tcW w:type="dxa" w:w="1215"/>
          </w:tcPr>
          <w:p>
            <w:pPr>
              <w:keepNext/>
              <w:spacing w:line="288" w:lineRule="auto" w:before="20" w:after="20"/>
              <w:jc w:val="left"/>
            </w:pPr>
            <w:r/>
            <w:r>
              <w:rPr>
                <w:rFonts w:ascii="Times New Roman" w:hAnsi="Times New Roman" w:eastAsia="HY신명조"/>
                <w:b w:val="0"/>
                <w:sz w:val="18"/>
              </w:rPr>
              <w:t>1.00</w:t>
            </w:r>
          </w:p>
        </w:tc>
        <w:tc>
          <w:tcPr>
            <w:tcW w:type="dxa" w:w="1215"/>
          </w:tcPr>
          <w:p>
            <w:pPr>
              <w:keepNext/>
              <w:spacing w:line="288" w:lineRule="auto" w:before="20" w:after="20"/>
              <w:jc w:val="left"/>
            </w:pPr>
            <w:r/>
            <w:r>
              <w:rPr>
                <w:rFonts w:ascii="Times New Roman" w:hAnsi="Times New Roman" w:eastAsia="HY신명조"/>
                <w:b w:val="0"/>
                <w:sz w:val="18"/>
              </w:rPr>
              <w:t>1.15</w:t>
            </w:r>
          </w:p>
        </w:tc>
        <w:tc>
          <w:tcPr>
            <w:tcW w:type="dxa" w:w="1215"/>
          </w:tcPr>
          <w:p>
            <w:pPr>
              <w:keepNext/>
              <w:spacing w:line="288" w:lineRule="auto" w:before="20" w:after="20"/>
              <w:jc w:val="left"/>
            </w:pPr>
            <w:r/>
            <w:r>
              <w:rPr>
                <w:rFonts w:ascii="Times New Roman" w:hAnsi="Times New Roman" w:eastAsia="HY신명조"/>
                <w:b w:val="0"/>
                <w:sz w:val="18"/>
              </w:rPr>
              <w:t>1.20</w:t>
            </w:r>
          </w:p>
        </w:tc>
        <w:tc>
          <w:tcPr>
            <w:tcW w:type="dxa" w:w="1215"/>
          </w:tcPr>
          <w:p>
            <w:pPr>
              <w:keepNext/>
              <w:spacing w:line="288" w:lineRule="auto" w:before="20" w:after="20"/>
              <w:jc w:val="left"/>
            </w:pPr>
            <w:r/>
            <w:r>
              <w:rPr>
                <w:rFonts w:ascii="Times New Roman" w:hAnsi="Times New Roman" w:eastAsia="HY신명조"/>
                <w:b w:val="0"/>
                <w:sz w:val="18"/>
              </w:rPr>
              <w:t>0 cases</w:t>
            </w:r>
          </w:p>
        </w:tc>
        <w:tc>
          <w:tcPr>
            <w:tcW w:type="dxa" w:w="1215"/>
          </w:tcPr>
          <w:p>
            <w:pPr>
              <w:keepNext/>
              <w:spacing w:line="288" w:lineRule="auto" w:before="20" w:after="20"/>
              <w:jc w:val="left"/>
            </w:pPr>
            <w:r/>
            <w:r>
              <w:rPr>
                <w:rFonts w:ascii="Times New Roman" w:hAnsi="Times New Roman" w:eastAsia="HY신명조"/>
                <w:b w:val="0"/>
                <w:sz w:val="18"/>
              </w:rPr>
              <w:t>33/33</w:t>
            </w:r>
          </w:p>
        </w:tc>
      </w:tr>
      <w:tr>
        <w:trPr>
          <w:cantSplit/>
        </w:trPr>
        <w:tc>
          <w:tcPr>
            <w:tcW w:type="dxa" w:w="1215"/>
          </w:tcPr>
          <w:p>
            <w:pPr>
              <w:spacing w:line="288" w:lineRule="auto" w:before="20" w:after="20"/>
              <w:jc w:val="left"/>
            </w:pPr>
            <w:r/>
            <w:r>
              <w:rPr>
                <w:rFonts w:ascii="Times New Roman" w:hAnsi="Times New Roman" w:eastAsia="HY신명조"/>
                <w:b w:val="0"/>
                <w:sz w:val="18"/>
              </w:rPr>
              <w:t>lf-baseline</w:t>
            </w:r>
          </w:p>
        </w:tc>
        <w:tc>
          <w:tcPr>
            <w:tcW w:type="dxa" w:w="1215"/>
          </w:tcPr>
          <w:p>
            <w:pPr>
              <w:spacing w:line="288" w:lineRule="auto" w:before="20" w:after="20"/>
              <w:jc w:val="left"/>
            </w:pPr>
            <w:r/>
            <w:r>
              <w:rPr>
                <w:rFonts w:ascii="Times New Roman" w:hAnsi="Times New Roman" w:eastAsia="HY신명조"/>
                <w:b w:val="0"/>
                <w:sz w:val="18"/>
              </w:rPr>
              <w:t>40</w:t>
            </w:r>
          </w:p>
        </w:tc>
        <w:tc>
          <w:tcPr>
            <w:tcW w:type="dxa" w:w="1215"/>
          </w:tcPr>
          <w:p>
            <w:pPr>
              <w:spacing w:line="288" w:lineRule="auto" w:before="20" w:after="20"/>
              <w:jc w:val="left"/>
            </w:pPr>
            <w:r/>
            <w:r>
              <w:rPr>
                <w:rFonts w:ascii="Times New Roman" w:hAnsi="Times New Roman" w:eastAsia="HY신명조"/>
                <w:b w:val="0"/>
                <w:sz w:val="18"/>
              </w:rPr>
              <w:t>1.00</w:t>
            </w:r>
          </w:p>
        </w:tc>
        <w:tc>
          <w:tcPr>
            <w:tcW w:type="dxa" w:w="1215"/>
          </w:tcPr>
          <w:p>
            <w:pPr>
              <w:spacing w:line="288" w:lineRule="auto" w:before="20" w:after="20"/>
              <w:jc w:val="left"/>
            </w:pPr>
            <w:r/>
            <w:r>
              <w:rPr>
                <w:rFonts w:ascii="Times New Roman" w:hAnsi="Times New Roman" w:eastAsia="HY신명조"/>
                <w:b w:val="0"/>
                <w:sz w:val="18"/>
              </w:rPr>
              <w:t>1.15</w:t>
            </w:r>
          </w:p>
        </w:tc>
        <w:tc>
          <w:tcPr>
            <w:tcW w:type="dxa" w:w="1215"/>
          </w:tcPr>
          <w:p>
            <w:pPr>
              <w:spacing w:line="288" w:lineRule="auto" w:before="20" w:after="20"/>
              <w:jc w:val="left"/>
            </w:pPr>
            <w:r/>
            <w:r>
              <w:rPr>
                <w:rFonts w:ascii="Times New Roman" w:hAnsi="Times New Roman" w:eastAsia="HY신명조"/>
                <w:b w:val="0"/>
                <w:sz w:val="18"/>
              </w:rPr>
              <w:t>1.20</w:t>
            </w:r>
          </w:p>
        </w:tc>
        <w:tc>
          <w:tcPr>
            <w:tcW w:type="dxa" w:w="1215"/>
          </w:tcPr>
          <w:p>
            <w:pPr>
              <w:spacing w:line="288" w:lineRule="auto" w:before="20" w:after="20"/>
              <w:jc w:val="left"/>
            </w:pPr>
            <w:r/>
            <w:r>
              <w:rPr>
                <w:rFonts w:ascii="Times New Roman" w:hAnsi="Times New Roman" w:eastAsia="HY신명조"/>
                <w:b w:val="0"/>
                <w:sz w:val="18"/>
              </w:rPr>
              <w:t>0 cases</w:t>
            </w:r>
          </w:p>
        </w:tc>
        <w:tc>
          <w:tcPr>
            <w:tcW w:type="dxa" w:w="1215"/>
          </w:tcPr>
          <w:p>
            <w:pPr>
              <w:spacing w:line="288" w:lineRule="auto" w:before="20" w:after="20"/>
              <w:jc w:val="left"/>
            </w:pPr>
            <w:r/>
            <w:r>
              <w:rPr>
                <w:rFonts w:ascii="Times New Roman" w:hAnsi="Times New Roman" w:eastAsia="HY신명조"/>
                <w:b w:val="0"/>
                <w:sz w:val="18"/>
              </w:rPr>
              <w:t>35/35</w:t>
            </w:r>
          </w:p>
        </w:tc>
      </w:tr>
    </w:tbl>
    <w:p>
      <w:pPr>
        <w:spacing w:line="312" w:lineRule="auto" w:before="0" w:after="0"/>
      </w:pPr>
      <w:r>
        <w:rPr>
          <w:rFonts w:ascii="Times New Roman" w:hAnsi="Times New Roman" w:eastAsia="HY신명조"/>
          <w:b w:val="0"/>
          <w:sz w:val="18"/>
        </w:rPr>
        <w:t>Decision latency = from fault activation (injector ledger) to the first MRM state transition (supervisor ledger), in simulation time.</w:t>
      </w:r>
    </w:p>
    <w:p>
      <w:pPr>
        <w:pageBreakBefore/>
        <w:spacing w:line="501" w:lineRule="exact" w:before="0" w:after="0"/>
        <w:jc w:val="center"/>
      </w:pPr>
      <w:r>
        <w:rPr>
          <w:rFonts w:ascii="Times New Roman" w:hAnsi="Times New Roman" w:eastAsia="HY신명조"/>
          <w:b/>
          <w:sz w:val="32"/>
        </w:rPr>
        <w:t>Chapter 6. Limitations and Discussion</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The Temporal Trade-off Between Stopping and Evacuation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structure running through the entire experiment is the temporal trade-off between stop-type and evacuation-type MRMs. In this sample, the in-lane stop showed the lowest collision rate even under the worst-case condition of transient-window launches (Chapter 5, Section 5), but its price is sustained lane occupancy (Chapter 5, Section 2); evacuation accepts controlled moving exposure and residual transient risk, but on success clears the lane and moves to an off-lane refuge position. Lane clearance is an indicator of relinquishing lane occupancy, not proof that the final position is safer — secondary risks at the shoulder (e.g., approaching rear traffic) were not directly compared in this study. Neither is unconditionally superior, and the choice should follow the temporal structure of the fault (hazard grace, remaining capability, and time to complete deceleration) — a result that supplies concrete selection variables to the ISO 23793-1 framework, which calls for principles of MRM type selection.</w:t>
      </w:r>
    </w:p>
    <w:p>
      <w:pPr>
        <w:spacing w:line="501" w:lineRule="exact" w:before="0" w:after="0"/>
      </w:pPr>
    </w:p>
    <w:p>
      <w:pPr>
        <w:spacing w:line="501" w:lineRule="exact" w:before="0" w:after="0"/>
      </w:pPr>
      <w:r>
        <w:rPr>
          <w:rFonts w:ascii="Times New Roman" w:hAnsi="Times New Roman" w:eastAsia="HY신명조"/>
          <w:b/>
          <w:sz w:val="28"/>
        </w:rPr>
        <w:t>2. The Post-Detection Transient, the Overall Fault-Response Risk Window, and FTTI</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fact that all collisions in the evacuation arm occurred in the segment where deceleration was not yet complete, with none during settled cruise (Chapter 5, Section 4: transient 2/2 collisions vs. settled 0/8; Chapter 5, Section 6: all settled encounters avoided), signifies the temporal localization of residual risk — even under the same policy, "when the encounter occurs" dominates the outcome. To distinguish the timeline terms: the post-detection transient runs from the detection instant (t_detect) to reaching the settled speed, whereas the overall fault-response risk window runs from fault onset to reaching the settled speed (T_detect + T_deceleration), the interval governed by Eq. (3-7). The present results concretize this general point into a measurable proposition: "earlier detection (shortening T_detect) and faster deceleration (shortening T_deceleration — in tension with ride comfort and rear-end risk) are experimentally supported as means of shrinking the overall fault-response risk window" — however, since this is an observational comparison rather than a causal experiment in which the detection instant was independently manipulated, it must not be read as an estimate of causal effect size.</w:t>
      </w:r>
    </w:p>
    <w:p>
      <w:pPr>
        <w:spacing w:line="501" w:lineRule="exact" w:before="0" w:after="0"/>
      </w:pPr>
    </w:p>
    <w:p>
      <w:pPr>
        <w:spacing w:line="501" w:lineRule="exact" w:before="0" w:after="0"/>
      </w:pPr>
      <w:r>
        <w:rPr>
          <w:rFonts w:ascii="Times New Roman" w:hAnsi="Times New Roman" w:eastAsia="HY신명조"/>
          <w:b/>
          <w:sz w:val="28"/>
        </w:rPr>
        <w:t>3. The Role of the Speed Cap: Causal Effect and Limits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dose-response experiment on settled encounters in which the cap actually holds (Chapter 5, Section 6) detected the causal effect of the cap: paired discordance 10:0 at 8 m (p=0.002) and a monotone inward shift of the boundary (beyond 9 m to about 7 m). The cap's role is thus twofold — in the settled regime it verifiably moves the avoidance boundary inward, while in the transient it does not yet hold (encounter speeds 3.5–3.8 m/s measured in the Section 4 transient runs). That is, the cap's value is an explicit re-acceleration-suppressing upper bound that does not depend on natural deceleration, but its protection is effective only after deceleration completes. The 3.0 m/s value is grounded but not claimed optimal (the 9 m boundary of the 3.6 arm only locates an intermediate dose), nor is it a formal closed-loop speed guarantee; the verification is further restricted to the gn-mid single fault on a single evacuation corridor (Chapter 5, Section 6).</w:t>
      </w:r>
    </w:p>
    <w:p>
      <w:pPr>
        <w:spacing w:line="501" w:lineRule="exact" w:before="0" w:after="0"/>
      </w:pPr>
    </w:p>
    <w:p>
      <w:pPr>
        <w:spacing w:line="501" w:lineRule="exact" w:before="0" w:after="0"/>
      </w:pPr>
      <w:r>
        <w:rPr>
          <w:rFonts w:ascii="Times New Roman" w:hAnsi="Times New Roman" w:eastAsia="HY신명조"/>
          <w:b/>
          <w:sz w:val="28"/>
        </w:rPr>
        <w:t>4. Lessons for Adjudication Methodology</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lesson of the collision-sensor silence incident (Chapter 4, Section 5) is a general one. In simulation-based safety evaluation, "zero collisions" is meaningful only after the adjudication channel has been proven alive; this study addressed this through positive-control verification of the adjudication sensor, cross-checking against the physics oracle, and explicit statement of the pitfalls of termination labels and official infractions. The undelivered speed cap (Chapter 3, Section 6) carries the same lesson — a publish record is not evidence of delivery, and actuation commands must be verified by their downstream effect (measured vehicle speed). In particular, the error of reading "absence of a record" as "absence of an event" arises structurally in automated large-scale experiments, and the real-time ledger was the effective remedy. The availability of the adjudication infrastructure itself belongs to the same lesson — a watchdog was placed on the recording channel, and data from intervals in which channel liveness was not confirmed were not used for adjudication (watch the watchers).</w:t>
      </w:r>
    </w:p>
    <w:p>
      <w:pPr>
        <w:spacing w:line="501" w:lineRule="exact" w:before="0" w:after="0"/>
      </w:pPr>
    </w:p>
    <w:p>
      <w:pPr>
        <w:spacing w:line="501" w:lineRule="exact" w:before="0" w:after="0"/>
      </w:pPr>
      <w:r>
        <w:rPr>
          <w:rFonts w:ascii="Times New Roman" w:hAnsi="Times New Roman" w:eastAsia="HY신명조"/>
          <w:b/>
          <w:sz w:val="28"/>
        </w:rPr>
        <w:t>5. The Cost of Design Conservatism and the Execution and Map Layers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One of the factors limiting the evacuation completion rate (Chapter 5, Section 1) is the cost of intended conservatism. The traffic-light observability gate ("do not send a vehicle that cannot read signals to candidates routed through signalized intersections") shrinks the candidate set under camera-family faults and limits the evacuation completion rate (cf 16/45) — since mitigations (detour search, relaxed V2X trust) would introduce new trust assumptions, the conservative default was retained. The dependence on the execution layer is also stated explicitly: the shoulder-entry maneuver is delegated to the stock goal_planner, so evacuation-incomplete cases mix the decision layer's choice to defer with the execution layer's failure to complete the maneuver (in cf, 27 deferrals vs. 2 incompletions during the maneuver). Deferral is not a system failure but an intended policy choice of the supervisor, and the decision layer's deferral and the execution layer's maneuver incompletion are distinguished at the log level (Chapter 3, Section 8). At the map layer, manual annotation limits the scope of verification, and the traffic-light miscount (Chapter 4, Section 3) showed that map annotation quality is a hidden confounding variable — the fundamental remedy is automated extraction and verification of HD map attributes.</w:t>
      </w:r>
    </w:p>
    <w:p>
      <w:pPr>
        <w:spacing w:line="501" w:lineRule="exact" w:before="0" w:after="0"/>
      </w:pPr>
    </w:p>
    <w:p>
      <w:pPr>
        <w:spacing w:line="501" w:lineRule="exact" w:before="0" w:after="0"/>
      </w:pPr>
      <w:r>
        <w:rPr>
          <w:rFonts w:ascii="Times New Roman" w:hAnsi="Times New Roman" w:eastAsia="HY신명조"/>
          <w:b/>
          <w:sz w:val="28"/>
        </w:rPr>
        <w:t>6. Limitations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numerical results of this study are limited to the following scope. (i) This is a case study with a single map (Town07), a single speed limit (15 km/h), and two pedestrian launch corridors. The per-speed boundaries (8–11 m, 7–8 m) and the dose-response results (Chapter 5, Section 6) are values for the low-speed ODD; in high-speed environments the boundaries, the post-detection transient, and the overall fault-response risk window all grow — generalizable claims are restricted to structure (the stopping-distance dependence of the boundary, the concentration of risk in the transient, and the stop/evacuation trade-off), not to the numbers. (ii) Observations about Autoware (non-detection by its own diagnostics, stop-only fallback) are limited to the evaluated 0.39.0 version and this execution configuration, and are not claims about Autoware in general. (iii) The dose-response experiment has n=10 per cell, so the confidence intervals of the boundary characterization are wide and small-sample point estimates can shift with larger samples — this is why collision rates and confidence intervals are reported up front and testing was restricted to the single pre-specified test. (iv) The case-level collision-free status of the campaign matrix (Table 4-3) comes from data predating the introduction of the ledger, and re-verification against the ledger was not performed (the risk is low since these cases have no pedestrian injection, but this is stated explicitly as a gap in methodological consistency). (v) The threshold of the minimum-separation (min-gap) metric recorded as an auxiliary encounter-proximity measure (1.25 m) is a lateral-approach criterion and may be an overestimate for longitudinal approaches. (vi) The gap between the commanded pedestrian speed ({2.5, 3.0} m/s) and the measured speed stems from the walker controller's post-spawn acceleration transient — in the tick-instrumented encounter runs (n=90), the median is 2.46 m/s in the 0.5 s window (1.2–3.0) and 2.50 m/s in the 1 s window, reaching about 95% of the command thereafter. In the encounter experiments, the commanded speed is fixed per seed and measured speeds are logged at physics-tick rate; physical interpretation of the boundary should rest on the measured distribution, not the command. (vii) The phenomenon in which the CARLA actor list appears empty from an external client remains of unknown root cause and is being worked around. (viii) The risk-linked dynamic detection budget (τ_detect) was not directly ablated against a fixed freshness deadline — what this study demonstrates are the effects of continuous health, graded selection, and settled low speed; verifying the increment of the dynamic budget itself is left to future work. (ix) Quantification of the detection latency's margin relative to the hazard time (T_hazard − T_detect), i.e., detection deadline compliance, could not be performed because the hazard event time (T_hazard) cannot be derived within the present measurement structure — this remains future work requiring an instrumentation extension for hazard event timing, and is left together with the explicit FRTI-and-margin reservation deferred as future work in Chapter 3, Section 4. (x) Real-vehicle validation was not performed.</w:t>
      </w:r>
    </w:p>
    <w:p>
      <w:pPr>
        <w:pageBreakBefore/>
        <w:spacing w:line="501" w:lineRule="exact" w:before="0" w:after="0"/>
        <w:jc w:val="center"/>
      </w:pPr>
      <w:r>
        <w:rPr>
          <w:rFonts w:ascii="Times New Roman" w:hAnsi="Times New Roman" w:eastAsia="HY신명조"/>
          <w:b/>
          <w:sz w:val="32"/>
        </w:rPr>
        <w:t>Chapter 7. Conclusion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This study proposed a behavior-tree-based monitoring scheme that estimates sensor faults as continuous health scores, together with an MRM supervision layer that selectively chooses between evacuation and stop deferral according to the fault's type, severity, and remaining capability, and that imposes a conservative fixed speed cap (3.0 m/s), back-calculated from stopping distance, on evacuation movement; both were validated in an Autoware-CARLA closed loop. Across the 1,862 valid cases of the experiments, the proposed detectors achieved detection rates of 96–100% in every fault condition except mid-severity LiDAR sparsification, a tolerated band by design — median detection latencies of about 1.0 s for hard fails (cf/lf, ledger re-measurement) and 2.1–5.0 s for degradation faults, with no false activations in the 45 fault-free cases; monitoring shortened faulted-state exposure — a representative unmonitored observation, one run per fault type — from 238–251 m to 32–58 m for the camera and navigation families (LiDAR clutter: 275 m to 11–12 m), and the severity-based evacuation/deferral branching and continued driving under low-risk faults emerged as designed. Safety was quantified through pedestrian-encounter experiments whose adjudication reliability was secured at the methodological level: the avoidance/collision boundary was 8–11 m at 4.2 m/s (model 8.8 m, consistent) and 7–8 m at 3.0 m/s (model 5.79 m — a lower-bound approximation); in fault-state 8 m encounter reproductions, native continuation collided in every run while the proposed low-speed settled cruise avoided in every run (0/10 vs 8/8), and the same policy collided when encountered during the deceleration transient (2/2). A dose-response experiment on settled encounters where the cap actually held (3 caps × 4 distances × 10 seeds = 120 runs, pre-specified) detected the collision-reduction effect of cap 4.2 vs 3.0 m/s with paired discordance 10:0 at 8 m (exact McNemar p=0.002; settled regime, single fault type gn-mid), and the avoid/collide boundary moved inward monotonically as the cap was lowered (beyond 9 m to about 7 m). Hard fails (signal loss) are detected and adjudicated within a 1.5 s design deadline via a fast decision path that distinguishes the nature of the evidence (measured maximum 1.20 s across the full matrix, Chapter 5, Section 7).</w:t>
      </w:r>
    </w:p>
    <w:p>
      <w:pPr>
        <w:spacing w:line="501" w:lineRule="exact" w:before="0" w:after="0"/>
        <w:jc w:val="both"/>
      </w:pPr>
      <w:r>
        <w:rPr>
          <w:rFonts w:ascii="Times New Roman" w:hAnsi="Times New Roman" w:eastAsia="HY신명조"/>
          <w:b w:val="0"/>
          <w:sz w:val="22"/>
        </w:rPr>
        <w:t xml:space="preserve">   The conclusions can be summarized in three sentences. First, shoulder evacuation is not a panacea — stopping and evacuation constitute a temporal trade-off between immediate collision risk and lane clearance / a safe position, and the choice must follow the temporal structure of the fault. Second, the residual risk of evacuation is concentrated in the post-detection transient (from detection until the settled speed is reached), while low speed after settling verifiably moves the avoidance boundary inward (transient encounters 2/2 collided vs settled 0/8; dose-response 10:0, p=0.002) — a transient/settled observational comparison — the experiments support that earlier detection and faster deceleration would shrink the overall fault-response risk window (detection latency + deceleration time) (this is not a causal manipulation experiment), and an encounter-level quantitative observation supporting the need to shorten detection and response times (widening the margin within the FTTI) is presented. Third, simulation-based safety claims hold only on top of a validated adjudication framework — the dual adjudication of the real-time ledger and the physics oracle, together with the explicit identification of recording pitfalls, is the methodological contribution that underpins the figures in this study.</w:t>
      </w:r>
    </w:p>
    <w:p>
      <w:pPr>
        <w:spacing w:line="501" w:lineRule="exact" w:before="0" w:after="0"/>
        <w:jc w:val="both"/>
      </w:pPr>
      <w:r>
        <w:rPr>
          <w:rFonts w:ascii="Times New Roman" w:hAnsi="Times New Roman" w:eastAsia="HY신명조"/>
          <w:b w:val="0"/>
          <w:sz w:val="22"/>
        </w:rPr>
        <w:t xml:space="preserve">   Future work includes extension to high-speed ODDs and multiple maps; introducing survival analysis of lane-clearance time; formalizing the detection budget (explicit reservation of FRTI and margin, and quantification of deadline compliance based on T_hazard measurement); validating the health-score-proportional variable speed cap (implemented, not yet evaluated); designing early-detection and deceleration profiles that reduce the overall fault-response risk window; automatic extraction of HD-map candidates; searching for detour routes without traffic lights; extending the dose-response experiment to multiple faults and corridors; and real-vehicle validation.</w:t>
      </w:r>
    </w:p>
    <w:p>
      <w:pPr>
        <w:spacing w:line="501" w:lineRule="exact" w:before="0" w:after="0"/>
        <w:jc w:val="both"/>
      </w:pPr>
      <w:r>
        <w:rPr>
          <w:rFonts w:ascii="Times New Roman" w:hAnsi="Times New Roman" w:eastAsia="HY신명조"/>
          <w:b w:val="0"/>
          <w:sz w:val="22"/>
        </w:rPr>
        <w:t xml:space="preserve">   Finally, we note a methodological implication. The adjudication framework of this study (real-time ledger, physics oracle) and the encounter-experiment protocol (same-seed pairing, settlement triggers that confirm the state under comparison, pre-specified endpoints, manipulation-check adoption rules) are not tied to any particular system. Follow-up studies that compare MRM and fallback policies in simulation can reuse this protocol regardless of policy implementation; in particular, the principle of "never reading the absence of a record as the absence of an event" and the launch design that prevents the policy from determining whether an encounter occurs remain valid in any comparative experiment.</w:t>
      </w:r>
    </w:p>
    <w:p>
      <w:pPr>
        <w:pageBreakBefore/>
        <w:spacing w:line="501" w:lineRule="exact" w:before="0" w:after="0"/>
        <w:jc w:val="center"/>
      </w:pPr>
      <w:r>
        <w:rPr>
          <w:rFonts w:ascii="Times New Roman" w:hAnsi="Times New Roman" w:eastAsia="HY신명조"/>
          <w:b/>
          <w:sz w:val="32"/>
        </w:rPr>
        <w:t>References</w:t>
      </w:r>
    </w:p>
    <w:p>
      <w:pPr>
        <w:spacing w:line="501" w:lineRule="exact" w:before="0" w:after="0"/>
      </w:pPr>
    </w:p>
    <w:p>
      <w:pPr>
        <w:spacing w:line="360" w:lineRule="auto" w:after="80"/>
        <w:ind w:left="510" w:hanging="510"/>
      </w:pPr>
      <w:r>
        <w:rPr>
          <w:rFonts w:ascii="Times New Roman" w:hAnsi="Times New Roman" w:eastAsia="HY신명조"/>
          <w:b w:val="0"/>
          <w:sz w:val="22"/>
        </w:rPr>
        <w:t>[1] ISO 26262:2018, Road vehicles — Functional safety.</w:t>
      </w:r>
    </w:p>
    <w:p>
      <w:pPr>
        <w:spacing w:line="360" w:lineRule="auto" w:after="80"/>
        <w:ind w:left="510" w:hanging="510"/>
      </w:pPr>
      <w:r>
        <w:rPr>
          <w:rFonts w:ascii="Times New Roman" w:hAnsi="Times New Roman" w:eastAsia="HY신명조"/>
          <w:b w:val="0"/>
          <w:sz w:val="22"/>
        </w:rPr>
        <w:t>[2] ISO 21448:2022, Road vehicles — Safety of the intended functionality.</w:t>
      </w:r>
    </w:p>
    <w:p>
      <w:pPr>
        <w:spacing w:line="360" w:lineRule="auto" w:after="80"/>
        <w:ind w:left="510" w:hanging="510"/>
      </w:pPr>
      <w:r>
        <w:rPr>
          <w:rFonts w:ascii="Times New Roman" w:hAnsi="Times New Roman"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Times New Roman" w:hAnsi="Times New Roman"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Times New Roman" w:hAnsi="Times New Roman" w:eastAsia="HY신명조"/>
          <w:b w:val="0"/>
          <w:sz w:val="22"/>
        </w:rPr>
        <w:t>[5] UL 4600, Standard for Safety for the Evaluation of Autonomous Products, 3rd ed., 2023.</w:t>
      </w:r>
    </w:p>
    <w:p>
      <w:pPr>
        <w:spacing w:line="360" w:lineRule="auto" w:after="80"/>
        <w:ind w:left="510" w:hanging="510"/>
      </w:pPr>
      <w:r>
        <w:rPr>
          <w:rFonts w:ascii="Times New Roman" w:hAnsi="Times New Roman"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Times New Roman" w:hAnsi="Times New Roman" w:eastAsia="HY신명조"/>
          <w:b w:val="0"/>
          <w:sz w:val="22"/>
        </w:rPr>
        <w:t>[7] AUTOSAR, Specification of Watchdog Manager, R23-11.</w:t>
      </w:r>
    </w:p>
    <w:p>
      <w:pPr>
        <w:spacing w:line="360" w:lineRule="auto" w:after="80"/>
        <w:ind w:left="510" w:hanging="510"/>
      </w:pPr>
      <w:r>
        <w:rPr>
          <w:rFonts w:ascii="Times New Roman" w:hAnsi="Times New Roman"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Times New Roman" w:hAnsi="Times New Roman" w:eastAsia="HY신명조"/>
          <w:b w:val="0"/>
          <w:sz w:val="22"/>
        </w:rPr>
        <w:t>[9] J. C. Hayward, "Near-miss determination through use of a scale of danger," Highway Research Record, no. 384, 1972.</w:t>
      </w:r>
    </w:p>
    <w:p>
      <w:pPr>
        <w:spacing w:line="360" w:lineRule="auto" w:after="80"/>
        <w:ind w:left="510" w:hanging="510"/>
      </w:pPr>
      <w:r>
        <w:rPr>
          <w:rFonts w:ascii="Times New Roman" w:hAnsi="Times New Roman"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Times New Roman" w:hAnsi="Times New Roman" w:eastAsia="HY신명조"/>
          <w:b w:val="0"/>
          <w:sz w:val="22"/>
        </w:rPr>
        <w:t>[11] S. Shalev-Shwartz, S. Shammah, and A. Shashua, "On a formal model of safe and scalable self-driving cars," arXiv:1708.06374, 2017.</w:t>
      </w:r>
    </w:p>
    <w:p>
      <w:pPr>
        <w:spacing w:line="360" w:lineRule="auto" w:after="80"/>
        <w:ind w:left="510" w:hanging="510"/>
      </w:pPr>
      <w:r>
        <w:rPr>
          <w:rFonts w:ascii="Times New Roman" w:hAnsi="Times New Roman" w:eastAsia="HY신명조"/>
          <w:b w:val="0"/>
          <w:sz w:val="22"/>
        </w:rPr>
        <w:t>[12] A. S. Willsky, "A survey of design methods for failure detection in dynamic systems," Automatica, vol. 12, no. 6, 1976.</w:t>
      </w:r>
    </w:p>
    <w:p>
      <w:pPr>
        <w:spacing w:line="360" w:lineRule="auto" w:after="80"/>
        <w:ind w:left="510" w:hanging="510"/>
      </w:pPr>
      <w:r>
        <w:rPr>
          <w:rFonts w:ascii="Times New Roman" w:hAnsi="Times New Roman"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Times New Roman" w:hAnsi="Times New Roman" w:eastAsia="HY신명조"/>
          <w:b w:val="0"/>
          <w:sz w:val="22"/>
        </w:rPr>
        <w:t>[14] R. Isermann, Fault-Diagnosis Systems: An Introduction from Fault Detection to Fault Tolerance, Springer, 2006.</w:t>
      </w:r>
    </w:p>
    <w:p>
      <w:pPr>
        <w:spacing w:line="360" w:lineRule="auto" w:after="80"/>
        <w:ind w:left="510" w:hanging="510"/>
      </w:pPr>
      <w:r>
        <w:rPr>
          <w:rFonts w:ascii="Times New Roman" w:hAnsi="Times New Roman" w:eastAsia="HY신명조"/>
          <w:b w:val="0"/>
          <w:sz w:val="22"/>
        </w:rPr>
        <w:t>[15] Z. Gao, C. Cecati, and S. X. Ding, "A survey of fault diagnosis and fault-tolerant techniques — Part I: fault diagnosis with model-based and signal-based approaches (pp. 3757-3767); Part II: fault diagnosis with knowledge-based and hybrid/active approaches (pp. 3768-3774)," IEEE Transactions on Industrial Electronics, vol. 62, no. 6, 2015.</w:t>
      </w:r>
    </w:p>
    <w:p>
      <w:pPr>
        <w:spacing w:line="360" w:lineRule="auto" w:after="80"/>
        <w:ind w:left="510" w:hanging="510"/>
      </w:pPr>
      <w:r>
        <w:rPr>
          <w:rFonts w:ascii="Times New Roman" w:hAnsi="Times New Roman" w:eastAsia="HY신명조"/>
          <w:b w:val="0"/>
          <w:sz w:val="22"/>
        </w:rPr>
        <w:t>[16] E. S. Page, "Continuous inspection schemes," Biometrika, vol. 41, no. 1/2, 1954.</w:t>
      </w:r>
    </w:p>
    <w:p>
      <w:pPr>
        <w:spacing w:line="360" w:lineRule="auto" w:after="80"/>
        <w:ind w:left="510" w:hanging="510"/>
      </w:pPr>
      <w:r>
        <w:rPr>
          <w:rFonts w:ascii="Times New Roman" w:hAnsi="Times New Roman" w:eastAsia="HY신명조"/>
          <w:b w:val="0"/>
          <w:sz w:val="22"/>
        </w:rPr>
        <w:t>[17] M. Basseville and I. V. Nikiforov, Detection of Abrupt Changes: Theory and Application, Prentice Hall, 1993.</w:t>
      </w:r>
    </w:p>
    <w:p>
      <w:pPr>
        <w:spacing w:line="360" w:lineRule="auto" w:after="80"/>
        <w:ind w:left="510" w:hanging="510"/>
      </w:pPr>
      <w:r>
        <w:rPr>
          <w:rFonts w:ascii="Times New Roman" w:hAnsi="Times New Roman" w:eastAsia="HY신명조"/>
          <w:b w:val="0"/>
          <w:sz w:val="22"/>
        </w:rPr>
        <w:t>[18] Autoware Foundation, "autoware.universe documentation: ring_outlier_filter, blockage_diag, mrm_handler, goal_planner," autowarefoundation/autoware.universe (evaluated version 0.39.0). https://autowarefoundation.github.io/autoware.universe/</w:t>
      </w:r>
    </w:p>
    <w:p>
      <w:pPr>
        <w:spacing w:line="360" w:lineRule="auto" w:after="80"/>
        <w:ind w:left="510" w:hanging="510"/>
      </w:pPr>
      <w:r>
        <w:rPr>
          <w:rFonts w:ascii="Times New Roman" w:hAnsi="Times New Roman" w:eastAsia="HY신명조"/>
          <w:b w:val="0"/>
          <w:sz w:val="22"/>
        </w:rPr>
        <w:t>[19] R. B. Rusu and S. Cousins, "3D is here: Point Cloud Library (PCL)," Proc. IEEE ICRA, 2011.</w:t>
      </w:r>
    </w:p>
    <w:p>
      <w:pPr>
        <w:spacing w:line="360" w:lineRule="auto" w:after="80"/>
        <w:ind w:left="510" w:hanging="510"/>
      </w:pPr>
      <w:r>
        <w:rPr>
          <w:rFonts w:ascii="Times New Roman" w:hAnsi="Times New Roman"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Times New Roman" w:hAnsi="Times New Roman"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Times New Roman" w:hAnsi="Times New Roman" w:eastAsia="HY신명조"/>
          <w:b w:val="0"/>
          <w:sz w:val="22"/>
        </w:rPr>
        <w:t>[22] C. Zhang et al., "LiDAR degradation quantification for autonomous driving in rain," Proc. IEEE/RSJ IROS, 2021.</w:t>
      </w:r>
    </w:p>
    <w:p>
      <w:pPr>
        <w:spacing w:line="360" w:lineRule="auto" w:after="80"/>
        <w:ind w:left="510" w:hanging="510"/>
      </w:pPr>
      <w:r>
        <w:rPr>
          <w:rFonts w:ascii="Times New Roman" w:hAnsi="Times New Roman"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Times New Roman" w:hAnsi="Times New Roman"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Times New Roman" w:hAnsi="Times New Roman"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Times New Roman" w:hAnsi="Times New Roman"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Times New Roman" w:hAnsi="Times New Roman"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Times New Roman" w:hAnsi="Times New Roman"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Times New Roman" w:hAnsi="Times New Roman"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Times New Roman" w:hAnsi="Times New Roman" w:eastAsia="HY신명조"/>
          <w:b w:val="0"/>
          <w:sz w:val="22"/>
        </w:rPr>
        <w:t>[30] S. Magdici and M. Althoff, "Fail-safe motion planning of autonomous vehicles," Proc. IEEE ITSC, 2016.</w:t>
      </w:r>
    </w:p>
    <w:p>
      <w:pPr>
        <w:spacing w:line="360" w:lineRule="auto" w:after="80"/>
        <w:ind w:left="510" w:hanging="510"/>
      </w:pPr>
      <w:r>
        <w:rPr>
          <w:rFonts w:ascii="Times New Roman" w:hAnsi="Times New Roman"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Times New Roman" w:hAnsi="Times New Roman"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Times New Roman" w:hAnsi="Times New Roman"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Times New Roman" w:hAnsi="Times New Roman"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Times New Roman" w:hAnsi="Times New Roman"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Times New Roman" w:hAnsi="Times New Roman"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Times New Roman" w:hAnsi="Times New Roman"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Times New Roman" w:hAnsi="Times New Roman"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Times New Roman" w:hAnsi="Times New Roman"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Times New Roman" w:hAnsi="Times New Roman" w:eastAsia="HY신명조"/>
          <w:b w:val="0"/>
          <w:sz w:val="22"/>
        </w:rPr>
        <w:t>[40] M. Colledanchise and P. Ögren, Behavior Trees in Robotics and AI: An Introduction, CRC Press, 2018.</w:t>
      </w:r>
    </w:p>
    <w:p>
      <w:pPr>
        <w:spacing w:line="360" w:lineRule="auto" w:after="80"/>
        <w:ind w:left="510" w:hanging="510"/>
      </w:pPr>
      <w:r>
        <w:rPr>
          <w:rFonts w:ascii="Times New Roman" w:hAnsi="Times New Roman"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Times New Roman" w:hAnsi="Times New Roman" w:eastAsia="HY신명조"/>
          <w:b w:val="0"/>
          <w:sz w:val="22"/>
        </w:rPr>
        <w:t>[42] D. Faconti, BehaviorTree.CPP (v4) / behaviortree_ros2, github.com/BehaviorTree/BehaviorTree.CPP.</w:t>
      </w:r>
    </w:p>
    <w:p>
      <w:pPr>
        <w:spacing w:line="360" w:lineRule="auto" w:after="80"/>
        <w:ind w:left="510" w:hanging="510"/>
      </w:pPr>
      <w:r>
        <w:rPr>
          <w:rFonts w:ascii="Times New Roman" w:hAnsi="Times New Roman"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Times New Roman" w:hAnsi="Times New Roman"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Times New Roman" w:hAnsi="Times New Roman"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Times New Roman" w:hAnsi="Times New Roman" w:eastAsia="HY신명조"/>
          <w:b w:val="0"/>
          <w:sz w:val="22"/>
        </w:rPr>
        <w:t>[46] G. Li et al., "AV-FUZZER: Finding safety violations in autonomous driving systems," Proc. IEEE ISSRE, 2020.</w:t>
      </w:r>
    </w:p>
    <w:p>
      <w:pPr>
        <w:spacing w:line="360" w:lineRule="auto" w:after="80"/>
        <w:ind w:left="510" w:hanging="510"/>
      </w:pPr>
      <w:r>
        <w:rPr>
          <w:rFonts w:ascii="Times New Roman" w:hAnsi="Times New Roman" w:eastAsia="HY신명조"/>
          <w:b w:val="0"/>
          <w:sz w:val="22"/>
        </w:rPr>
        <w:t>[47] D. J. Fremont et al., "Scenic: A language for scenario specification and scene generation," Proc. ACM PLDI, 2019.</w:t>
      </w:r>
    </w:p>
    <w:p>
      <w:pPr>
        <w:spacing w:line="360" w:lineRule="auto" w:after="80"/>
        <w:ind w:left="510" w:hanging="510"/>
      </w:pPr>
      <w:r>
        <w:rPr>
          <w:rFonts w:ascii="Times New Roman" w:hAnsi="Times New Roman"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Times New Roman" w:hAnsi="Times New Roman"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Times New Roman" w:hAnsi="Times New Roman"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Times New Roman" w:hAnsi="Times New Roman" w:eastAsia="HY신명조"/>
          <w:b w:val="0"/>
          <w:sz w:val="22"/>
        </w:rPr>
        <w:t>[51] ISO 23793-1:2024, Intelligent transport systems — Minimal risk manoeuvre (MRM) for automated driving — Part 1: Framework, straight-stop and in-lane stop. (Part 2: Road shoulder stop — under development)</w:t>
      </w:r>
    </w:p>
    <w:p>
      <w:pPr>
        <w:spacing w:line="360" w:lineRule="auto" w:after="80"/>
        <w:ind w:left="510" w:hanging="510"/>
      </w:pPr>
      <w:r>
        <w:rPr>
          <w:rFonts w:ascii="Times New Roman" w:hAnsi="Times New Roman"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Times New Roman" w:hAnsi="Times New Roman"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Times New Roman" w:hAnsi="Times New Roman"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Times New Roman" w:hAnsi="Times New Roman"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Times New Roman" w:hAnsi="Times New Roman"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Times New Roman" w:hAnsi="Times New Roman"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Times New Roman" w:hAnsi="Times New Roman"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Times New Roman" w:hAnsi="Times New Roman" w:eastAsia="HY신명조"/>
          <w:b w:val="0"/>
          <w:sz w:val="22"/>
        </w:rPr>
        <w:t>[59] M. Hahner et al., "LiDAR snowfall simulation for robust 3D object detection," Proc. IEEE/CVF CVPR, 2022.</w:t>
      </w:r>
    </w:p>
    <w:p>
      <w:pPr>
        <w:spacing w:line="360" w:lineRule="auto" w:after="80"/>
        <w:ind w:left="510" w:hanging="510"/>
      </w:pPr>
      <w:r>
        <w:rPr>
          <w:rFonts w:ascii="Times New Roman" w:hAnsi="Times New Roman"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Times New Roman" w:hAnsi="Times New Roman"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Times New Roman" w:hAnsi="Times New Roman"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Times New Roman" w:hAnsi="Times New Roman" w:eastAsia="HY신명조"/>
          <w:b/>
          <w:sz w:val="28"/>
        </w:rPr>
        <w:t>논문요약</w:t>
      </w:r>
    </w:p>
    <w:p>
      <w:pPr>
        <w:spacing w:line="501" w:lineRule="exact" w:before="0" w:after="0"/>
      </w:pPr>
    </w:p>
    <w:p>
      <w:pPr>
        <w:spacing w:line="360" w:lineRule="auto" w:before="0" w:after="0"/>
        <w:jc w:val="center"/>
      </w:pPr>
      <w:r>
        <w:rPr>
          <w:rFonts w:ascii="Times New Roman" w:hAnsi="Times New Roman" w:eastAsia="HY신명조"/>
          <w:b/>
          <w:sz w:val="32"/>
        </w:rPr>
        <w:t>자율주행 차량의 페일세이프 운행을 위한 연속 센서 건강도 감시와</w:t>
      </w:r>
    </w:p>
    <w:p>
      <w:pPr>
        <w:spacing w:line="360" w:lineRule="auto" w:before="0" w:after="0"/>
        <w:jc w:val="center"/>
      </w:pPr>
      <w:r>
        <w:rPr>
          <w:rFonts w:ascii="Times New Roman" w:hAnsi="Times New Roman" w:eastAsia="HY신명조"/>
          <w:b/>
          <w:sz w:val="32"/>
        </w:rPr>
        <w:t>위험·잔여능력 기반 단계적 최소위험기동 감독</w:t>
      </w:r>
    </w:p>
    <w:p>
      <w:pPr>
        <w:spacing w:line="501" w:lineRule="exact" w:before="0" w:after="0"/>
      </w:pPr>
    </w:p>
    <w:p>
      <w:pPr>
        <w:spacing w:line="360" w:lineRule="auto" w:before="0" w:after="0"/>
        <w:jc w:val="right"/>
      </w:pPr>
      <w:r>
        <w:rPr>
          <w:rFonts w:ascii="Times New Roman" w:hAnsi="Times New Roman" w:eastAsia="HY신명조"/>
          <w:b w:val="0"/>
          <w:sz w:val="22"/>
        </w:rPr>
        <w:t>○ ○ ○</w:t>
      </w:r>
    </w:p>
    <w:p>
      <w:pPr>
        <w:spacing w:line="360" w:lineRule="auto" w:before="0" w:after="0"/>
        <w:jc w:val="right"/>
      </w:pPr>
      <w:r>
        <w:rPr>
          <w:rFonts w:ascii="Times New Roman" w:hAnsi="Times New Roman" w:eastAsia="HY신명조"/>
          <w:b w:val="0"/>
          <w:sz w:val="22"/>
        </w:rPr>
        <w:t>성균관대학교 일반대학원</w:t>
      </w:r>
    </w:p>
    <w:p>
      <w:pPr>
        <w:spacing w:line="360" w:lineRule="auto" w:before="0" w:after="0"/>
        <w:jc w:val="right"/>
      </w:pPr>
      <w:r>
        <w:rPr>
          <w:rFonts w:ascii="Times New Roman" w:hAnsi="Times New Roman" w:eastAsia="HY신명조"/>
          <w:b w:val="0"/>
          <w:sz w:val="22"/>
        </w:rPr>
        <w:t>전자전기컴퓨터공학과</w:t>
      </w:r>
    </w:p>
    <w:p>
      <w:pPr>
        <w:spacing w:line="501" w:lineRule="exact" w:before="0" w:after="0"/>
      </w:pPr>
    </w:p>
    <w:p>
      <w:pPr>
        <w:spacing w:line="501" w:lineRule="exact" w:before="0" w:after="0"/>
        <w:jc w:val="both"/>
      </w:pPr>
      <w:r>
        <w:rPr>
          <w:rFonts w:ascii="Times New Roman" w:hAnsi="Times New Roman" w:eastAsia="HY신명조"/>
          <w:b w:val="0"/>
          <w:sz w:val="22"/>
        </w:rPr>
        <w:t xml:space="preserve">   자율주행 시스템의 센서 고장 대응은 대부분 "즉시 차로 내 정지"라는 단일 전략에 의존한다. 그러나 차로 내 정지는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Times New Roman" w:hAnsi="Times New Roman" w:eastAsia="HY신명조"/>
          <w:b w:val="0"/>
          <w:sz w:val="22"/>
        </w:rPr>
        <w:t xml:space="preserve">   검증은 Autoware 0.39.0과 CARLA 0.9.16의 폐루프 환경(Town07, 제한속도 15 km/h)에서 수행하였다. 고장 유형×심각도×교통밀도×방법 매트릭스에 용량-반응 조우 실험까지 총 1,862 유효 케이스의 단일 폐루프 실험으로 감시·대피 거동을 검증하였고, 고장 상태 주행거리(노출)를 무감시 순정의 대표 관찰(고장 유형별 1런) 238~251 m 대비 감시+대피의 32~58 m(카메라·항법 계열)로 단축함을 보였다(라이다 클러터는 275→11~12 m). 신호가 완전히 끊기는 하드 페일은 증거 성격을 구분하는 고속 판정 경로로 감지·판정을 1.5 s 설계 마감(내부 요구) 안에 완료하며(실측 최대 1.20 s), 항법 고장 4종(상관 편향·두절·자이로 바이어스·드리프트)을 포함한 전 조건에서 100% 검출을 확인하였다. 안전성은 보행자 돌발 조우 수준에서 정량화하였다. 이를 위해 에고 충돌 센서 실시간 원장(RAW-HIT)과 보행자 물리 오라클로 구성된 이중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Times New Roman" w:hAnsi="Times New Roman" w:eastAsia="HY신명조"/>
          <w:b w:val="0"/>
          <w:sz w:val="22"/>
        </w:rPr>
        <w:t xml:space="preserve">   고장 상태의 8 m 조우 재현에서 순정 지속 주행은 전량 충돌한 반면 제안 저속 정착 순항은 전량 회피했고(0/10 대 8/8), 같은 정책도 감속 과도구간 조우에서는 충돌했다(2/2). 상한이 실제 성립한 정착 조우의 용량-반응 실험(상한 3종×거리 4종×10시드=120런, 사전 지정 1차 종결점)에서 상한 4.2 대 3.0 m/s는 8 m 쌍대 불일치 10:0(exact McNemar p=0.002)으로 충돌 감소 효과가 검출되었고(정착 체제·gn-mid 단일 고장 조건), 회피/충돌 경계는 상한을 낮출수록 단조로 안쪽 이동했다(9 m 초과→약 7 m). 다만 감속 완료 전 과도구간의 잔존 위험은 남는다. 즉 최소위험기동의 선택은 즉시 충돌 위험(정지 우세)과, 성공한 경우의 차선 반환·주행차선 밖 대피 위치 확보 가능성(대피 측 이점)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이내의 안전 여유를 넓히는 감지·대응 시간 단축 필요성에 대한 조우 수준의 정량적 근거를 제공한다.</w:t>
      </w:r>
    </w:p>
    <w:p>
      <w:pPr>
        <w:spacing w:line="501" w:lineRule="exact" w:before="0" w:after="0"/>
      </w:pPr>
    </w:p>
    <w:p>
      <w:pPr>
        <w:spacing w:line="501" w:lineRule="exact" w:before="0" w:after="0"/>
      </w:pPr>
      <w:r>
        <w:rPr>
          <w:rFonts w:ascii="Times New Roman" w:hAnsi="Times New Roman" w:eastAsia="HY신명조"/>
          <w:b/>
          <w:sz w:val="22"/>
        </w:rPr>
        <w:t>주제어 : 자율주행, 페일세이프, 기능안전, 최소위험기동(MRM), 센서 고장 감지, FTTI</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HY신명조"/>
        <w:b w:val="0"/>
        <w:sz w:val="22"/>
      </w:rPr>
      <w:fldChar w:fldCharType="begin"/>
    </w:r>
    <w:r>
      <w:rPr>
        <w:rFonts w:ascii="Times New Roman" w:hAnsi="Times New Roman" w:eastAsia="HY신명조"/>
        <w:b w:val="0"/>
        <w:sz w:val="22"/>
      </w:rPr>
      <w:instrText xml:space="preserve"> PAGE </w:instrText>
    </w:r>
    <w:r>
      <w:rPr>
        <w:rFonts w:ascii="Times New Roman" w:hAnsi="Times New Roman"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HY신명조"/>
        <w:b w:val="0"/>
        <w:sz w:val="22"/>
      </w:rPr>
      <w:fldChar w:fldCharType="begin"/>
    </w:r>
    <w:r>
      <w:rPr>
        <w:rFonts w:ascii="Times New Roman" w:hAnsi="Times New Roman" w:eastAsia="HY신명조"/>
        <w:b w:val="0"/>
        <w:sz w:val="22"/>
      </w:rPr>
      <w:instrText xml:space="preserve"> PAGE </w:instrText>
    </w:r>
    <w:r>
      <w:rPr>
        <w:rFonts w:ascii="Times New Roman" w:hAnsi="Times New Roman"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