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Graded Fault Response for Autonomous Driving via</w:t>
      </w:r>
    </w:p>
    <w:p>
      <w:pPr>
        <w:spacing w:line="360" w:lineRule="auto" w:before="0" w:after="0"/>
        <w:jc w:val="center"/>
      </w:pPr>
      <w:r>
        <w:rPr>
          <w:rFonts w:ascii="Times New Roman" w:hAnsi="Times New Roman" w:eastAsia="HY신명조"/>
          <w:b/>
          <w:sz w:val="40"/>
        </w:rPr>
        <w:t>Behavior-Tree-based Sensor Health Monitoring and</w:t>
      </w:r>
    </w:p>
    <w:p>
      <w:pPr>
        <w:spacing w:line="360" w:lineRule="auto" w:before="0" w:after="0"/>
        <w:jc w:val="center"/>
      </w:pPr>
      <w:r>
        <w:rPr>
          <w:rFonts w:ascii="Times New Roman" w:hAnsi="Times New Roman" w:eastAsia="HY신명조"/>
          <w:b/>
          <w:sz w:val="40"/>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Graded Fault Response for Autonomous Driving via</w:t>
      </w:r>
    </w:p>
    <w:p>
      <w:pPr>
        <w:spacing w:line="360" w:lineRule="auto" w:before="0" w:after="0"/>
        <w:jc w:val="center"/>
      </w:pPr>
      <w:r>
        <w:rPr>
          <w:rFonts w:ascii="Times New Roman" w:hAnsi="Times New Roman" w:eastAsia="HY신명조"/>
          <w:b/>
          <w:sz w:val="40"/>
        </w:rPr>
        <w:t>Behavior-Tree-based Sensor Health Monitoring and</w:t>
      </w:r>
    </w:p>
    <w:p>
      <w:pPr>
        <w:spacing w:line="360" w:lineRule="auto" w:before="0" w:after="0"/>
        <w:jc w:val="center"/>
      </w:pPr>
      <w:r>
        <w:rPr>
          <w:rFonts w:ascii="Times New Roman" w:hAnsi="Times New Roman" w:eastAsia="HY신명조"/>
          <w:b/>
          <w:sz w:val="40"/>
        </w:rPr>
        <w:t>Risk/Capability-aware MRM Supervision</w:t>
      </w:r>
    </w:p>
    <w:p>
      <w:pPr>
        <w:spacing w:line="360" w:lineRule="auto" w:before="0" w:after="0"/>
      </w:pPr>
    </w:p>
    <w:p>
      <w:pPr>
        <w:spacing w:line="360" w:lineRule="auto" w:before="0" w:after="0"/>
        <w:jc w:val="center"/>
      </w:pPr>
      <w:r>
        <w:rPr>
          <w:rFonts w:ascii="Times New Roman" w:hAnsi="Times New Roman" w:eastAsia="HY신명조"/>
          <w:b w:val="0"/>
          <w:sz w:val="28"/>
        </w:rPr>
        <w:t>행동트리 기반 센서 건강도 감시와 위험· 잔여능력 기반 최소위험기동 감독을 통한</w:t>
      </w:r>
    </w:p>
    <w:p>
      <w:pPr>
        <w:spacing w:line="360" w:lineRule="auto" w:before="0" w:after="0"/>
        <w:jc w:val="center"/>
      </w:pPr>
      <w:r>
        <w:rPr>
          <w:rFonts w:ascii="Times New Roman" w:hAnsi="Times New Roman" w:eastAsia="HY신명조"/>
          <w:b w:val="0"/>
          <w:sz w:val="28"/>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Graded Fault Response for Autonomous Driving via</w:t>
      </w:r>
    </w:p>
    <w:p>
      <w:pPr>
        <w:spacing w:line="360" w:lineRule="auto" w:before="0" w:after="0"/>
        <w:jc w:val="center"/>
      </w:pPr>
      <w:r>
        <w:rPr>
          <w:rFonts w:ascii="Times New Roman" w:hAnsi="Times New Roman" w:eastAsia="HY신명조"/>
          <w:b/>
          <w:sz w:val="40"/>
        </w:rPr>
        <w:t>Behavior-Tree-based Sensor Health Monitoring and</w:t>
      </w:r>
    </w:p>
    <w:p>
      <w:pPr>
        <w:spacing w:line="360" w:lineRule="auto" w:before="0" w:after="0"/>
        <w:jc w:val="center"/>
      </w:pPr>
      <w:r>
        <w:rPr>
          <w:rFonts w:ascii="Times New Roman" w:hAnsi="Times New Roman" w:eastAsia="HY신명조"/>
          <w:b/>
          <w:sz w:val="40"/>
        </w:rPr>
        <w:t>Risk/Capability-aware MRM Supervision</w:t>
      </w:r>
    </w:p>
    <w:p>
      <w:pPr>
        <w:spacing w:line="360" w:lineRule="auto" w:before="0" w:after="0"/>
      </w:pPr>
    </w:p>
    <w:p>
      <w:pPr>
        <w:spacing w:line="360" w:lineRule="auto" w:before="0" w:after="0"/>
        <w:jc w:val="center"/>
      </w:pPr>
      <w:r>
        <w:rPr>
          <w:rFonts w:ascii="Times New Roman" w:hAnsi="Times New Roman" w:eastAsia="HY신명조"/>
          <w:b w:val="0"/>
          <w:sz w:val="28"/>
        </w:rPr>
        <w:t>행동트리 기반 센서 건강도 감시와 위험· 잔여능력 기반 최소위험기동 감독을 통한</w:t>
      </w:r>
    </w:p>
    <w:p>
      <w:pPr>
        <w:spacing w:line="360" w:lineRule="auto" w:before="0" w:after="0"/>
        <w:jc w:val="center"/>
      </w:pPr>
      <w:r>
        <w:rPr>
          <w:rFonts w:ascii="Times New Roman" w:hAnsi="Times New Roman" w:eastAsia="HY신명조"/>
          <w:b w:val="0"/>
          <w:sz w:val="28"/>
        </w:rPr>
        <w:t>자율주행 시스템의 단계적 고장 대응</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26</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26</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28</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28</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30</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34</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39</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39</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42</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55</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61</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8. Hard-Fail Decision Latency: Verifying the 1.5 s Deadline</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3. The Role of the Speed Cap and the Undetected Increment</w:t>
      </w:r>
      <w:r>
        <w:rPr>
          <w:rFonts w:ascii="Times New Roman" w:hAnsi="Times New Roman" w:eastAsia="HY신명조"/>
          <w:b w:val="0"/>
          <w:sz w:val="22"/>
        </w:rPr>
        <w:tab/>
        <w:t>66</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67</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67</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65</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71</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74</w:t>
      </w:r>
    </w:p>
    <w:p>
      <w:pPr>
        <w:tabs>
          <w:tab w:pos="8504" w:val="right" w:leader="dot"/>
        </w:tabs>
        <w:spacing w:line="501" w:lineRule="exact"/>
        <w:ind w:left="0"/>
      </w:pPr>
      <w:r>
        <w:rPr>
          <w:rFonts w:ascii="Times New Roman" w:hAnsi="Times New Roman" w:eastAsia="HY신명조"/>
          <w:b w:val="0"/>
          <w:sz w:val="22"/>
        </w:rPr>
        <w:t>논문요약 (Korean Abstract)</w:t>
      </w:r>
      <w:r>
        <w:rPr>
          <w:rFonts w:ascii="Times New Roman" w:hAnsi="Times New Roman" w:eastAsia="HY신명조"/>
          <w:b w:val="0"/>
          <w:sz w:val="22"/>
        </w:rPr>
        <w:tab/>
        <w:t>80</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4-3. Definition of the four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4-4. Summary of key experimental parameters</w:t>
      </w:r>
      <w:r>
        <w:rPr>
          <w:rFonts w:ascii="Times New Roman" w:hAnsi="Times New Roman" w:eastAsia="HY신명조"/>
          <w:b w:val="0"/>
          <w:sz w:val="22"/>
        </w:rPr>
        <w:tab/>
        <w:t>42</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60</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Table 5-8. Hard-fail detection and decision latency (simulation time, ledger basis) and 1.5 s deadline compliance</w:t>
      </w:r>
      <w:r>
        <w:rPr>
          <w:rFonts w:ascii="Times New Roman" w:hAnsi="Times New Roman" w:eastAsia="HY신명조"/>
          <w:b w:val="0"/>
          <w:sz w:val="22"/>
        </w:rPr>
        <w:tab/>
        <w:t>64</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Architecture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29</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Continuous health traces — (top) the perception capability score that feeds the state transitions (dual thresholds 0.7/0.3) and (bottom) the affected sensor's raw score: (a) LiDAR soiling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(first-round ablation sample, conditional n=13)</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62</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Graded Fault Response for Autonomous Driving via</w:t>
      </w:r>
    </w:p>
    <w:p>
      <w:pPr>
        <w:spacing w:line="360" w:lineRule="auto" w:before="0" w:after="0"/>
        <w:jc w:val="center"/>
      </w:pPr>
      <w:r>
        <w:rPr>
          <w:rFonts w:ascii="Times New Roman" w:hAnsi="Times New Roman" w:eastAsia="HY신명조"/>
          <w:b/>
          <w:sz w:val="32"/>
        </w:rPr>
        <w:t>Behavior-Tree-based Sensor Health Monitoring and</w:t>
      </w:r>
    </w:p>
    <w:p>
      <w:pPr>
        <w:spacing w:line="360" w:lineRule="auto" w:before="0" w:after="0"/>
        <w:jc w:val="center"/>
      </w:pPr>
      <w:r>
        <w:rPr>
          <w:rFonts w:ascii="Times New Roman" w:hAnsi="Times New Roman" w:eastAsia="HY신명조"/>
          <w:b/>
          <w:sz w:val="32"/>
        </w:rPr>
        <w:t>Risk/Capability-aware MRM Supervision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capped (3.0 m/s) evacuation in 11/20 (exact McNemar, A1 vs A4: p=0.375;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(11/20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driving, functional safety, minimal risk maneuver, FTTI, sensor fault detection, behavior tree</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60" w:lineRule="auto" w:before="0" w:after="0"/>
      </w:pPr>
      <w:r>
        <w:rPr>
          <w:rFonts w:ascii="Times New Roman" w:hAnsi="Times New Roman" w:eastAsia="HY신명조"/>
          <w:b w:val="0"/>
          <w:sz w:val="22"/>
        </w:rPr>
        <w:t>Figure 1-1. Problem setting. (a) The graduated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triple determination scheme consisting of a real-time ledger of the ego vehicle's collision sensor, a pedestrian physics oracle, and human visual cross-checking,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and data quality (noise and valid ratio),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 exposure time, traffic-light observability, and sector deficits; and during evacuation movement, a conservative fixed speed cap (3.0 m/s; below the analytic recoverable speed v_max≈3.89 m/s), back-computed from the stopping distance model d=vτ+v²/2a, is imposed on the planning layer.</w:t>
      </w:r>
    </w:p>
    <w:p>
      <w:pPr>
        <w:spacing w:line="501" w:lineRule="exact" w:before="0" w:after="0"/>
        <w:jc w:val="both"/>
      </w:pPr>
      <w:r>
        <w:rPr>
          <w:rFonts w:ascii="Times New Roman" w:hAnsi="Times New Roman" w:eastAsia="HY신명조"/>
          <w:b w:val="0"/>
          <w:sz w:val="22"/>
        </w:rPr>
        <w:t xml:space="preserve">   Third, we establish a triple scheme for simulation collision determination as a methodology. It combines a real-time ledger of the ego collision sensor (RAW-HIT), a pedestrian physics oracle (kinematic anomalies at collision), and a human visual cross-checking protocol,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the FTTI; and with the main matrix of fault type × severity × traffic density × method comprising 1,131 valid cases, we quantify the monitoring and evacuation behavior and the reduction in exposure.</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graduated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problem awareness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as opposed to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60" w:lineRule="auto" w:before="0" w:after="0"/>
      </w:pPr>
      <w:r>
        <w:rPr>
          <w:rFonts w:ascii="Times New Roman" w:hAnsi="Times New Roman" w:eastAsia="HY신명조"/>
          <w:b w:val="0"/>
          <w:sz w:val="22"/>
        </w:rPr>
        <w:t>Table 2-1. 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9"/>
              </w:rPr>
              <w:t>Research line (representative refs.)</w:t>
            </w:r>
          </w:p>
        </w:tc>
        <w:tc>
          <w:tcPr>
            <w:tcW w:type="dxa" w:w="1215"/>
          </w:tcPr>
          <w:p>
            <w:pPr>
              <w:spacing w:line="288" w:lineRule="auto" w:before="20" w:after="20"/>
              <w:jc w:val="center"/>
            </w:pPr>
            <w:r/>
            <w:r>
              <w:rPr>
                <w:rFonts w:ascii="Times New Roman" w:hAnsi="Times New Roman" w:eastAsia="HY신명조"/>
                <w:b/>
                <w:sz w:val="19"/>
              </w:rPr>
              <w:t>Fault</w:t>
            </w:r>
          </w:p>
          <w:p>
            <w:pPr>
              <w:spacing w:line="288" w:lineRule="auto" w:before="20" w:after="20"/>
              <w:jc w:val="center"/>
            </w:pPr>
            <w:r>
              <w:rPr>
                <w:rFonts w:ascii="Times New Roman" w:hAnsi="Times New Roman" w:eastAsia="HY신명조"/>
                <w:b/>
                <w:sz w:val="19"/>
              </w:rPr>
              <w:t>detection</w:t>
            </w:r>
          </w:p>
        </w:tc>
        <w:tc>
          <w:tcPr>
            <w:tcW w:type="dxa" w:w="1215"/>
          </w:tcPr>
          <w:p>
            <w:pPr>
              <w:spacing w:line="288" w:lineRule="auto" w:before="20" w:after="20"/>
              <w:jc w:val="center"/>
            </w:pPr>
            <w:r/>
            <w:r>
              <w:rPr>
                <w:rFonts w:ascii="Times New Roman" w:hAnsi="Times New Roman" w:eastAsia="HY신명조"/>
                <w:b/>
                <w:sz w:val="19"/>
              </w:rPr>
              <w:t>Continuous</w:t>
            </w:r>
          </w:p>
          <w:p>
            <w:pPr>
              <w:spacing w:line="288" w:lineRule="auto" w:before="20" w:after="20"/>
              <w:jc w:val="center"/>
            </w:pPr>
            <w:r>
              <w:rPr>
                <w:rFonts w:ascii="Times New Roman" w:hAnsi="Times New Roman" w:eastAsia="HY신명조"/>
                <w:b/>
                <w:sz w:val="19"/>
              </w:rPr>
              <w:t>health score</w:t>
            </w:r>
          </w:p>
        </w:tc>
        <w:tc>
          <w:tcPr>
            <w:tcW w:type="dxa" w:w="1215"/>
          </w:tcPr>
          <w:p>
            <w:pPr>
              <w:spacing w:line="288" w:lineRule="auto" w:before="20" w:after="20"/>
              <w:jc w:val="center"/>
            </w:pPr>
            <w:r/>
            <w:r>
              <w:rPr>
                <w:rFonts w:ascii="Times New Roman" w:hAnsi="Times New Roman" w:eastAsia="HY신명조"/>
                <w:b/>
                <w:sz w:val="19"/>
              </w:rPr>
              <w:t>Remaining-capability</w:t>
            </w:r>
          </w:p>
          <w:p>
            <w:pPr>
              <w:spacing w:line="288" w:lineRule="auto" w:before="20" w:after="20"/>
              <w:jc w:val="center"/>
            </w:pPr>
            <w:r>
              <w:rPr>
                <w:rFonts w:ascii="Times New Roman" w:hAnsi="Times New Roman" w:eastAsia="HY신명조"/>
                <w:b/>
                <w:sz w:val="19"/>
              </w:rPr>
              <w:t>assessment</w:t>
            </w:r>
          </w:p>
        </w:tc>
        <w:tc>
          <w:tcPr>
            <w:tcW w:type="dxa" w:w="1215"/>
          </w:tcPr>
          <w:p>
            <w:pPr>
              <w:spacing w:line="288" w:lineRule="auto" w:before="20" w:after="20"/>
              <w:jc w:val="center"/>
            </w:pPr>
            <w:r/>
            <w:r>
              <w:rPr>
                <w:rFonts w:ascii="Times New Roman" w:hAnsi="Times New Roman" w:eastAsia="HY신명조"/>
                <w:b/>
                <w:sz w:val="19"/>
              </w:rPr>
              <w:t>Graduated</w:t>
            </w:r>
          </w:p>
          <w:p>
            <w:pPr>
              <w:spacing w:line="288" w:lineRule="auto" w:before="20" w:after="20"/>
              <w:jc w:val="center"/>
            </w:pPr>
            <w:r>
              <w:rPr>
                <w:rFonts w:ascii="Times New Roman" w:hAnsi="Times New Roman" w:eastAsia="HY신명조"/>
                <w:b/>
                <w:sz w:val="19"/>
              </w:rPr>
              <w:t>MRM selection</w:t>
            </w:r>
          </w:p>
        </w:tc>
        <w:tc>
          <w:tcPr>
            <w:tcW w:type="dxa" w:w="1215"/>
          </w:tcPr>
          <w:p>
            <w:pPr>
              <w:spacing w:line="288" w:lineRule="auto" w:before="20" w:after="20"/>
              <w:jc w:val="center"/>
            </w:pPr>
            <w:r/>
            <w:r>
              <w:rPr>
                <w:rFonts w:ascii="Times New Roman" w:hAnsi="Times New Roman" w:eastAsia="HY신명조"/>
                <w:b/>
                <w:sz w:val="19"/>
              </w:rPr>
              <w:t>Speed-limited</w:t>
            </w:r>
          </w:p>
          <w:p>
            <w:pPr>
              <w:spacing w:line="288" w:lineRule="auto" w:before="20" w:after="20"/>
              <w:jc w:val="center"/>
            </w:pPr>
            <w:r>
              <w:rPr>
                <w:rFonts w:ascii="Times New Roman" w:hAnsi="Times New Roman" w:eastAsia="HY신명조"/>
                <w:b/>
                <w:sz w:val="19"/>
              </w:rPr>
              <w:t>movement</w:t>
            </w:r>
          </w:p>
        </w:tc>
        <w:tc>
          <w:tcPr>
            <w:tcW w:type="dxa" w:w="1215"/>
          </w:tcPr>
          <w:p>
            <w:pPr>
              <w:spacing w:line="288" w:lineRule="auto" w:before="20" w:after="20"/>
              <w:jc w:val="center"/>
            </w:pPr>
            <w:r/>
            <w:r>
              <w:rPr>
                <w:rFonts w:ascii="Times New Roman" w:hAnsi="Times New Roman" w:eastAsia="HY신명조"/>
                <w:b/>
                <w:sz w:val="19"/>
              </w:rPr>
              <w:t>Encounter-level</w:t>
            </w:r>
          </w:p>
          <w:p>
            <w:pPr>
              <w:spacing w:line="288" w:lineRule="auto" w:before="20" w:after="20"/>
              <w:jc w:val="center"/>
            </w:pPr>
            <w:r>
              <w:rPr>
                <w:rFonts w:ascii="Times New Roman" w:hAnsi="Times New Roman" w:eastAsia="HY신명조"/>
                <w:b/>
                <w:sz w:val="19"/>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9"/>
              </w:rPr>
              <w:t>Standards and regulation [1-7][51][60]</w:t>
            </w:r>
          </w:p>
        </w:tc>
        <w:tc>
          <w:tcPr>
            <w:tcW w:type="dxa" w:w="1215"/>
          </w:tcPr>
          <w:p>
            <w:pPr>
              <w:spacing w:line="288" w:lineRule="auto" w:before="20" w:after="20"/>
              <w:jc w:val="left"/>
            </w:pPr>
            <w:r/>
            <w:r>
              <w:rPr>
                <w:rFonts w:ascii="Times New Roman" w:hAnsi="Times New Roman" w:eastAsia="HY신명조"/>
                <w:b w:val="0"/>
                <w:sz w:val="19"/>
              </w:rPr>
              <w:t>Requirements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(type taxonomy)</w:t>
            </w:r>
          </w:p>
        </w:tc>
        <w:tc>
          <w:tcPr>
            <w:tcW w:type="dxa" w:w="1215"/>
          </w:tcPr>
          <w:p>
            <w:pPr>
              <w:spacing w:line="288" w:lineRule="auto" w:before="20" w:after="20"/>
              <w:jc w:val="left"/>
            </w:pPr>
            <w:r/>
            <w:r>
              <w:rPr>
                <w:rFonts w:ascii="Times New Roman" w:hAnsi="Times New Roman" w:eastAsia="HY신명조"/>
                <w:b w:val="0"/>
                <w:sz w:val="19"/>
              </w:rPr>
              <w:t>△ (industrial domain)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Classical FDI and change detection [12-17]</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(residual magnitude)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 degradation models [20-29][53-59]</w:t>
            </w:r>
          </w:p>
        </w:tc>
        <w:tc>
          <w:tcPr>
            <w:tcW w:type="dxa" w:w="1215"/>
          </w:tcPr>
          <w:p>
            <w:pPr>
              <w:spacing w:line="288" w:lineRule="auto" w:before="20" w:after="20"/>
              <w:jc w:val="left"/>
            </w:pPr>
            <w:r/>
            <w:r>
              <w:rPr>
                <w:rFonts w:ascii="Times New Roman" w:hAnsi="Times New Roman" w:eastAsia="HY신명조"/>
                <w:b w:val="0"/>
                <w:sz w:val="19"/>
              </w:rPr>
              <w:t>○ (offline)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Fail-safe trajectory planning [30-32]</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trajectories)</w:t>
            </w:r>
          </w:p>
        </w:tc>
        <w:tc>
          <w:tcPr>
            <w:tcW w:type="dxa" w:w="1215"/>
          </w:tcPr>
          <w:p>
            <w:pPr>
              <w:spacing w:line="288" w:lineRule="auto" w:before="20" w:after="20"/>
              <w:jc w:val="left"/>
            </w:pPr>
            <w:r/>
            <w:r>
              <w:rPr>
                <w:rFonts w:ascii="Times New Roman" w:hAnsi="Times New Roman" w:eastAsia="HY신명조"/>
                <w:b w:val="0"/>
                <w:sz w:val="19"/>
              </w:rPr>
              <w:t>△ (deceleration planning)</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Fallback strategy (Emzivat [33])</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(TTC deceleration)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(surviving sensors)</w:t>
            </w:r>
          </w:p>
        </w:tc>
        <w:tc>
          <w:tcPr>
            <w:tcW w:type="dxa" w:w="1215"/>
          </w:tcPr>
          <w:p>
            <w:pPr>
              <w:spacing w:line="288" w:lineRule="auto" w:before="20" w:after="20"/>
              <w:jc w:val="left"/>
            </w:pPr>
            <w:r/>
            <w:r>
              <w:rPr>
                <w:rFonts w:ascii="Times New Roman" w:hAnsi="Times New Roman" w:eastAsia="HY신명조"/>
                <w:b w:val="0"/>
                <w:sz w:val="19"/>
              </w:rPr>
              <w:t>○ (adaptive selection)</w:t>
            </w:r>
          </w:p>
        </w:tc>
        <w:tc>
          <w:tcPr>
            <w:tcW w:type="dxa" w:w="1215"/>
          </w:tcPr>
          <w:p>
            <w:pPr>
              <w:spacing w:line="288" w:lineRule="auto" w:before="20" w:after="20"/>
              <w:jc w:val="left"/>
            </w:pPr>
            <w:r/>
            <w:r>
              <w:rPr>
                <w:rFonts w:ascii="Times New Roman" w:hAnsi="Times New Roman" w:eastAsia="HY신명조"/>
                <w:b w:val="0"/>
                <w:sz w:val="19"/>
              </w:rPr>
              <w:t>△ (deceleration behaviors)</w:t>
            </w:r>
          </w:p>
        </w:tc>
        <w:tc>
          <w:tcPr>
            <w:tcW w:type="dxa" w:w="1215"/>
          </w:tcPr>
          <w:p>
            <w:pPr>
              <w:spacing w:line="288" w:lineRule="auto" w:before="20" w:after="20"/>
              <w:jc w:val="left"/>
            </w:pPr>
            <w:r/>
            <w:r>
              <w:rPr>
                <w:rFonts w:ascii="Times New Roman" w:hAnsi="Times New Roman" w:eastAsia="HY신명조"/>
                <w:b w:val="0"/>
                <w:sz w:val="19"/>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9"/>
              </w:rPr>
              <w:t>Capability-based self-monitoring [34-36]</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(capability level)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Stock Autoware diagnostics and MRM [18]</w:t>
            </w:r>
          </w:p>
        </w:tc>
        <w:tc>
          <w:tcPr>
            <w:tcW w:type="dxa" w:w="1215"/>
          </w:tcPr>
          <w:p>
            <w:pPr>
              <w:spacing w:line="288" w:lineRule="auto" w:before="20" w:after="20"/>
              <w:jc w:val="left"/>
            </w:pPr>
            <w:r/>
            <w:r>
              <w:rPr>
                <w:rFonts w:ascii="Times New Roman" w:hAnsi="Times New Roman" w:eastAsia="HY신명조"/>
                <w:b w:val="0"/>
                <w:sz w:val="19"/>
              </w:rPr>
              <w:t>△ (timeouts, ranges)</w:t>
            </w:r>
          </w:p>
        </w:tc>
        <w:tc>
          <w:tcPr>
            <w:tcW w:type="dxa" w:w="1215"/>
          </w:tcPr>
          <w:p>
            <w:pPr>
              <w:spacing w:line="288" w:lineRule="auto" w:before="20" w:after="20"/>
              <w:jc w:val="left"/>
            </w:pPr>
            <w:r/>
            <w:r>
              <w:rPr>
                <w:rFonts w:ascii="Times New Roman" w:hAnsi="Times New Roman" w:eastAsia="HY신명조"/>
                <w:b w:val="0"/>
                <w:sz w:val="19"/>
              </w:rPr>
              <w:t>× (binary)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types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Fault-injection evaluation [43-47]</w:t>
            </w:r>
          </w:p>
        </w:tc>
        <w:tc>
          <w:tcPr>
            <w:tcW w:type="dxa" w:w="1215"/>
          </w:tcPr>
          <w:p>
            <w:pPr>
              <w:spacing w:line="288" w:lineRule="auto" w:before="20" w:after="20"/>
              <w:jc w:val="left"/>
            </w:pPr>
            <w:r/>
            <w:r>
              <w:rPr>
                <w:rFonts w:ascii="Times New Roman" w:hAnsi="Times New Roman" w:eastAsia="HY신명조"/>
                <w:b w:val="0"/>
                <w:sz w:val="19"/>
              </w:rPr>
              <w:t>× (injection side)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This study</w:t>
            </w:r>
          </w:p>
        </w:tc>
        <w:tc>
          <w:tcPr>
            <w:tcW w:type="dxa" w:w="1215"/>
          </w:tcPr>
          <w:p>
            <w:pPr>
              <w:spacing w:line="288" w:lineRule="auto" w:before="20" w:after="20"/>
              <w:jc w:val="left"/>
            </w:pPr>
            <w:r/>
            <w:r>
              <w:rPr>
                <w:rFonts w:ascii="Times New Roman" w:hAnsi="Times New Roman" w:eastAsia="HY신명조"/>
                <w:b w:val="0"/>
                <w:sz w:val="19"/>
              </w:rPr>
              <w:t>○ (9 injected types, demonstrated)</w:t>
            </w:r>
          </w:p>
        </w:tc>
        <w:tc>
          <w:tcPr>
            <w:tcW w:type="dxa" w:w="1215"/>
          </w:tcPr>
          <w:p>
            <w:pPr>
              <w:spacing w:line="288" w:lineRule="auto" w:before="20" w:after="20"/>
              <w:jc w:val="left"/>
            </w:pPr>
            <w:r/>
            <w:r>
              <w:rPr>
                <w:rFonts w:ascii="Times New Roman" w:hAnsi="Times New Roman" w:eastAsia="HY신명조"/>
                <w:b w:val="0"/>
                <w:sz w:val="19"/>
              </w:rPr>
              <w:t>○ (freshness × quality)</w:t>
            </w:r>
          </w:p>
        </w:tc>
        <w:tc>
          <w:tcPr>
            <w:tcW w:type="dxa" w:w="1215"/>
          </w:tcPr>
          <w:p>
            <w:pPr>
              <w:spacing w:line="288" w:lineRule="auto" w:before="20" w:after="20"/>
              <w:jc w:val="left"/>
            </w:pPr>
            <w:r/>
            <w:r>
              <w:rPr>
                <w:rFonts w:ascii="Times New Roman" w:hAnsi="Times New Roman" w:eastAsia="HY신명조"/>
                <w:b w:val="0"/>
                <w:sz w:val="19"/>
              </w:rPr>
              <w:t>○ (localization and perception confidence)</w:t>
            </w:r>
          </w:p>
        </w:tc>
        <w:tc>
          <w:tcPr>
            <w:tcW w:type="dxa" w:w="1215"/>
          </w:tcPr>
          <w:p>
            <w:pPr>
              <w:spacing w:line="288" w:lineRule="auto" w:before="20" w:after="20"/>
              <w:jc w:val="left"/>
            </w:pPr>
            <w:r/>
            <w:r>
              <w:rPr>
                <w:rFonts w:ascii="Times New Roman" w:hAnsi="Times New Roman" w:eastAsia="HY신명조"/>
                <w:b w:val="0"/>
                <w:sz w:val="19"/>
              </w:rPr>
              <w:t>○ (evacuation/deferral bands)</w:t>
            </w:r>
          </w:p>
        </w:tc>
        <w:tc>
          <w:tcPr>
            <w:tcW w:type="dxa" w:w="1215"/>
          </w:tcPr>
          <w:p>
            <w:pPr>
              <w:spacing w:line="288" w:lineRule="auto" w:before="20" w:after="20"/>
              <w:jc w:val="left"/>
            </w:pPr>
            <w:r/>
            <w:r>
              <w:rPr>
                <w:rFonts w:ascii="Times New Roman" w:hAnsi="Times New Roman" w:eastAsia="HY신명조"/>
                <w:b w:val="0"/>
                <w:sz w:val="19"/>
              </w:rPr>
              <w:t>○ (cap back-calculated from stopping distance)</w:t>
            </w:r>
          </w:p>
        </w:tc>
        <w:tc>
          <w:tcPr>
            <w:tcW w:type="dxa" w:w="1215"/>
          </w:tcPr>
          <w:p>
            <w:pPr>
              <w:spacing w:line="288" w:lineRule="auto" w:before="20" w:after="20"/>
              <w:jc w:val="left"/>
            </w:pPr>
            <w:r/>
            <w:r>
              <w:rPr>
                <w:rFonts w:ascii="Times New Roman" w:hAnsi="Times New Roman" w:eastAsia="HY신명조"/>
                <w:b w:val="0"/>
                <w:sz w:val="19"/>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2434496"/>
            <wp:docPr id="2" name="Picture 2"/>
            <wp:cNvGraphicFramePr>
              <a:graphicFrameLocks noChangeAspect="1"/>
            </wp:cNvGraphicFramePr>
            <a:graphic>
              <a:graphicData uri="http://schemas.openxmlformats.org/drawingml/2006/picture">
                <pic:pic>
                  <pic:nvPicPr>
                    <pic:cNvPr id="0" name="fig2_arch.png"/>
                    <pic:cNvPicPr/>
                  </pic:nvPicPr>
                  <pic:blipFill>
                    <a:blip r:embed="rId16"/>
                    <a:stretch>
                      <a:fillRect/>
                    </a:stretch>
                  </pic:blipFill>
                  <pic:spPr>
                    <a:xfrm>
                      <a:off x="0" y="0"/>
                      <a:ext cx="4140000" cy="2434496"/>
                    </a:xfrm>
                    <a:prstGeom prst="rect"/>
                  </pic:spPr>
                </pic:pic>
              </a:graphicData>
            </a:graphic>
          </wp:inline>
        </w:drawing>
      </w:r>
    </w:p>
    <w:p>
      <w:pPr>
        <w:keepLines/>
        <w:spacing w:line="360" w:lineRule="auto" w:before="0" w:after="0"/>
      </w:pPr>
      <w:r>
        <w:rPr>
          <w:rFonts w:ascii="Times New Roman" w:hAnsi="Times New Roman" w:eastAsia="HY신명조"/>
          <w:b w:val="0"/>
          <w:sz w:val="22"/>
        </w:rPr>
        <w:t>Figure 3-1. Architecture of the proposed system. Sensor faults are injected upstream (at the bridge) of the CARLA–bridge–Autoware closed loop, and the supervisory layer (labeled CDR Monitor = cdr_monitor and MRM Supervisor = mrm_supervisor in the figure) is attached as an add-on layer. The monitoring module subscribes read-only to sensor topics and publishes health scores, and the supervisor intervenes in the execution layer through route resetting and a speed cap (evacuation) or diagnostic ERROR injection (deferral).</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deadline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60" w:lineRule="auto" w:before="0" w:after="0"/>
      </w:pPr>
      <w:r>
        <w:rPr>
          <w:rFonts w:ascii="Times New Roman" w:hAnsi="Times New Roman" w:eastAsia="HY신명조"/>
          <w:b w:val="0"/>
          <w:sz w:val="22"/>
        </w:rPr>
        <w:t>Figure 3-2. 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60" w:lineRule="auto" w:before="0" w:after="0"/>
      </w:pPr>
      <w:r>
        <w:rPr>
          <w:rFonts w:ascii="Times New Roman" w:hAnsi="Times New Roman" w:eastAsia="HY신명조"/>
          <w:b w:val="0"/>
          <w:sz w:val="22"/>
        </w:rPr>
        <w:t>Figure 3-3. 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8).</w:t>
      </w:r>
    </w:p>
    <w:p>
      <w:pPr>
        <w:spacing w:line="501" w:lineRule="exact" w:before="0" w:after="0"/>
        <w:jc w:val="both"/>
      </w:pPr>
      <w:r>
        <w:rPr>
          <w:rFonts w:ascii="Times New Roman" w:hAnsi="Times New Roman" w:eastAsia="HY신명조"/>
          <w:b w:val="0"/>
          <w:sz w:val="22"/>
        </w:rPr>
        <w:t xml:space="preserve">   Evacuation-site selection is performed by cost minimization:</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60" w:lineRule="auto" w:before="0" w:after="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re-experiment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is the effective hazard-response delay of this closed-loop stack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analytical recoverable speed v_max≈3.89 m/s obtained by inverting Eq. (3-9) for an 8 m dart-out margin, and whose compliance was confirmed in measurements (a health-proportional cap was implemented but unused — Table 4-4). The cap is delivered via the Autoware speed-cap candidate input topic — an implementation that directly published the cap output was found in measurement to contend with the selector and block restart, and was corrected; the implementation lesson is to intervene on the input side of the arbiter.</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4-4).</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60" w:lineRule="auto" w:before="0" w:after="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60" w:lineRule="auto" w:before="0" w:after="0"/>
      </w:pPr>
      <w:r>
        <w:rPr>
          <w:rFonts w:ascii="Times New Roman" w:hAnsi="Times New Roman" w:eastAsia="HY신명조"/>
          <w:b w:val="0"/>
          <w:sz w:val="22"/>
        </w:rPr>
        <w:t>Table 4-1. 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Label</w:t>
            </w:r>
          </w:p>
        </w:tc>
        <w:tc>
          <w:tcPr>
            <w:tcW w:type="dxa" w:w="4252"/>
          </w:tcPr>
          <w:p>
            <w:pPr>
              <w:keepNext/>
              <w:spacing w:line="288" w:lineRule="auto" w:before="20" w:after="20"/>
              <w:jc w:val="center"/>
            </w:pPr>
            <w:r/>
            <w:r>
              <w:rPr>
                <w:rFonts w:ascii="Times New Roman" w:hAnsi="Times New Roman" w:eastAsia="HY신명조"/>
                <w:b/>
                <w:sz w:val="19"/>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SHOULDER_SUCCESS / PARKED_SUCCESS</w:t>
            </w:r>
          </w:p>
        </w:tc>
        <w:tc>
          <w:tcPr>
            <w:tcW w:type="dxa" w:w="4252"/>
          </w:tcPr>
          <w:p>
            <w:pPr>
              <w:keepNext/>
              <w:spacing w:line="288" w:lineRule="auto" w:before="20" w:after="20"/>
              <w:jc w:val="left"/>
            </w:pPr>
            <w:r/>
            <w:r>
              <w:rPr>
                <w:rFonts w:ascii="Times New Roman" w:hAnsi="Times New Roman" w:eastAsia="HY신명조"/>
                <w:b w:val="0"/>
                <w:sz w:val="19"/>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9"/>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9"/>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STUCK_IN_MRM_MOVE</w:t>
            </w:r>
          </w:p>
        </w:tc>
        <w:tc>
          <w:tcPr>
            <w:tcW w:type="dxa" w:w="4252"/>
          </w:tcPr>
          <w:p>
            <w:pPr>
              <w:keepNext/>
              <w:spacing w:line="288" w:lineRule="auto" w:before="20" w:after="20"/>
              <w:jc w:val="left"/>
            </w:pPr>
            <w:r/>
            <w:r>
              <w:rPr>
                <w:rFonts w:ascii="Times New Roman" w:hAnsi="Times New Roman" w:eastAsia="HY신명조"/>
                <w:b w:val="0"/>
                <w:sz w:val="19"/>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HAZARD_COLLISION</w:t>
            </w:r>
          </w:p>
        </w:tc>
        <w:tc>
          <w:tcPr>
            <w:tcW w:type="dxa" w:w="4252"/>
          </w:tcPr>
          <w:p>
            <w:pPr>
              <w:keepNext/>
              <w:spacing w:line="288" w:lineRule="auto" w:before="20" w:after="20"/>
              <w:jc w:val="left"/>
            </w:pPr>
            <w:r/>
            <w:r>
              <w:rPr>
                <w:rFonts w:ascii="Times New Roman" w:hAnsi="Times New Roman" w:eastAsia="HY신명조"/>
                <w:b w:val="0"/>
                <w:sz w:val="19"/>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HAZARD_STOPPED</w:t>
            </w:r>
          </w:p>
        </w:tc>
        <w:tc>
          <w:tcPr>
            <w:tcW w:type="dxa" w:w="4252"/>
          </w:tcPr>
          <w:p>
            <w:pPr>
              <w:keepNext/>
              <w:spacing w:line="288" w:lineRule="auto" w:before="20" w:after="20"/>
              <w:jc w:val="left"/>
            </w:pPr>
            <w:r/>
            <w:r>
              <w:rPr>
                <w:rFonts w:ascii="Times New Roman" w:hAnsi="Times New Roman" w:eastAsia="HY신명조"/>
                <w:b w:val="0"/>
                <w:sz w:val="19"/>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HAZARD_SURVIVED</w:t>
            </w:r>
          </w:p>
        </w:tc>
        <w:tc>
          <w:tcPr>
            <w:tcW w:type="dxa" w:w="4252"/>
          </w:tcPr>
          <w:p>
            <w:pPr>
              <w:keepNext/>
              <w:spacing w:line="288" w:lineRule="auto" w:before="20" w:after="20"/>
              <w:jc w:val="left"/>
            </w:pPr>
            <w:r/>
            <w:r>
              <w:rPr>
                <w:rFonts w:ascii="Times New Roman" w:hAnsi="Times New Roman" w:eastAsia="HY신명조"/>
                <w:b w:val="0"/>
                <w:sz w:val="19"/>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9"/>
              </w:rPr>
              <w:t>CARLA_DIED / TIMEOUT</w:t>
            </w:r>
          </w:p>
        </w:tc>
        <w:tc>
          <w:tcPr>
            <w:tcW w:type="dxa" w:w="4252"/>
          </w:tcPr>
          <w:p>
            <w:pPr>
              <w:spacing w:line="288" w:lineRule="auto" w:before="20" w:after="20"/>
              <w:jc w:val="left"/>
            </w:pPr>
            <w:r/>
            <w:r>
              <w:rPr>
                <w:rFonts w:ascii="Times New Roman" w:hAnsi="Times New Roman" w:eastAsia="HY신명조"/>
                <w:b w:val="0"/>
                <w:sz w:val="19"/>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w:t>
      </w:r>
    </w:p>
    <w:p>
      <w:pPr>
        <w:keepNext/>
        <w:spacing w:line="360" w:lineRule="auto" w:before="0" w:after="0"/>
      </w:pPr>
      <w:r>
        <w:rPr>
          <w:rFonts w:ascii="Times New Roman" w:hAnsi="Times New Roman" w:eastAsia="HY신명조"/>
          <w:b w:val="0"/>
          <w:sz w:val="22"/>
        </w:rPr>
        <w:t>Table 4-2. 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Abbrev.</w:t>
            </w:r>
          </w:p>
        </w:tc>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Injection method</w:t>
            </w:r>
          </w:p>
        </w:tc>
        <w:tc>
          <w:tcPr>
            <w:tcW w:type="dxa" w:w="2126"/>
          </w:tcPr>
          <w:p>
            <w:pPr>
              <w:keepNext/>
              <w:spacing w:line="288" w:lineRule="auto" w:before="20" w:after="20"/>
              <w:jc w:val="center"/>
            </w:pPr>
            <w:r/>
            <w:r>
              <w:rPr>
                <w:rFonts w:ascii="Times New Roman" w:hAnsi="Times New Roman" w:eastAsia="HY신명조"/>
                <w:b/>
                <w:sz w:val="19"/>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w:t>
            </w:r>
          </w:p>
        </w:tc>
        <w:tc>
          <w:tcPr>
            <w:tcW w:type="dxa" w:w="2126"/>
          </w:tcPr>
          <w:p>
            <w:pPr>
              <w:keepNext/>
              <w:spacing w:line="288" w:lineRule="auto" w:before="20" w:after="20"/>
              <w:jc w:val="left"/>
            </w:pPr>
            <w:r/>
            <w:r>
              <w:rPr>
                <w:rFonts w:ascii="Times New Roman" w:hAnsi="Times New Roman" w:eastAsia="HY신명조"/>
                <w:b w:val="0"/>
                <w:sz w:val="19"/>
              </w:rPr>
              <w:t>Camera death</w:t>
            </w:r>
          </w:p>
        </w:tc>
        <w:tc>
          <w:tcPr>
            <w:tcW w:type="dxa" w:w="2126"/>
          </w:tcPr>
          <w:p>
            <w:pPr>
              <w:keepNext/>
              <w:spacing w:line="288" w:lineRule="auto" w:before="20" w:after="20"/>
              <w:jc w:val="left"/>
            </w:pPr>
            <w:r/>
            <w:r>
              <w:rPr>
                <w:rFonts w:ascii="Times New Roman" w:hAnsi="Times New Roman" w:eastAsia="HY신명조"/>
                <w:b w:val="0"/>
                <w:sz w:val="19"/>
              </w:rPr>
              <w:t>Frame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w:t>
            </w:r>
          </w:p>
        </w:tc>
        <w:tc>
          <w:tcPr>
            <w:tcW w:type="dxa" w:w="2126"/>
          </w:tcPr>
          <w:p>
            <w:pPr>
              <w:keepNext/>
              <w:spacing w:line="288" w:lineRule="auto" w:before="20" w:after="20"/>
              <w:jc w:val="left"/>
            </w:pPr>
            <w:r/>
            <w:r>
              <w:rPr>
                <w:rFonts w:ascii="Times New Roman" w:hAnsi="Times New Roman" w:eastAsia="HY신명조"/>
                <w:b w:val="0"/>
                <w:sz w:val="19"/>
              </w:rPr>
              <w:t>Camera noise</w:t>
            </w:r>
          </w:p>
        </w:tc>
        <w:tc>
          <w:tcPr>
            <w:tcW w:type="dxa" w:w="2126"/>
          </w:tcPr>
          <w:p>
            <w:pPr>
              <w:keepNext/>
              <w:spacing w:line="288" w:lineRule="auto" w:before="20" w:after="20"/>
              <w:jc w:val="left"/>
            </w:pPr>
            <w:r/>
            <w:r>
              <w:rPr>
                <w:rFonts w:ascii="Times New Roman" w:hAnsi="Times New Roman" w:eastAsia="HY신명조"/>
                <w:b w:val="0"/>
                <w:sz w:val="19"/>
              </w:rPr>
              <w:t>Gaussian pixel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lf</w:t>
            </w:r>
          </w:p>
        </w:tc>
        <w:tc>
          <w:tcPr>
            <w:tcW w:type="dxa" w:w="2126"/>
          </w:tcPr>
          <w:p>
            <w:pPr>
              <w:keepNext/>
              <w:spacing w:line="288" w:lineRule="auto" w:before="20" w:after="20"/>
              <w:jc w:val="left"/>
            </w:pPr>
            <w:r/>
            <w:r>
              <w:rPr>
                <w:rFonts w:ascii="Times New Roman" w:hAnsi="Times New Roman" w:eastAsia="HY신명조"/>
                <w:b w:val="0"/>
                <w:sz w:val="19"/>
              </w:rPr>
              <w:t>LiDAR death</w:t>
            </w:r>
          </w:p>
        </w:tc>
        <w:tc>
          <w:tcPr>
            <w:tcW w:type="dxa" w:w="2126"/>
          </w:tcPr>
          <w:p>
            <w:pPr>
              <w:keepNext/>
              <w:spacing w:line="288" w:lineRule="auto" w:before="20" w:after="20"/>
              <w:jc w:val="left"/>
            </w:pPr>
            <w:r/>
            <w:r>
              <w:rPr>
                <w:rFonts w:ascii="Times New Roman" w:hAnsi="Times New Roman" w:eastAsia="HY신명조"/>
                <w:b w:val="0"/>
                <w:sz w:val="19"/>
              </w:rPr>
              <w:t>Point-cloud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lso</w:t>
            </w:r>
          </w:p>
        </w:tc>
        <w:tc>
          <w:tcPr>
            <w:tcW w:type="dxa" w:w="2126"/>
          </w:tcPr>
          <w:p>
            <w:pPr>
              <w:keepNext/>
              <w:spacing w:line="288" w:lineRule="auto" w:before="20" w:after="20"/>
              <w:jc w:val="left"/>
            </w:pPr>
            <w:r/>
            <w:r>
              <w:rPr>
                <w:rFonts w:ascii="Times New Roman" w:hAnsi="Times New Roman" w:eastAsia="HY신명조"/>
                <w:b w:val="0"/>
                <w:sz w:val="19"/>
              </w:rPr>
              <w:t>LiDAR sparsification</w:t>
            </w:r>
          </w:p>
        </w:tc>
        <w:tc>
          <w:tcPr>
            <w:tcW w:type="dxa" w:w="2126"/>
          </w:tcPr>
          <w:p>
            <w:pPr>
              <w:keepNext/>
              <w:spacing w:line="288" w:lineRule="auto" w:before="20" w:after="20"/>
              <w:jc w:val="left"/>
            </w:pPr>
            <w:r/>
            <w:r>
              <w:rPr>
                <w:rFonts w:ascii="Times New Roman" w:hAnsi="Times New Roman" w:eastAsia="HY신명조"/>
                <w:b w:val="0"/>
                <w:sz w:val="19"/>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lcl</w:t>
            </w:r>
          </w:p>
        </w:tc>
        <w:tc>
          <w:tcPr>
            <w:tcW w:type="dxa" w:w="2126"/>
          </w:tcPr>
          <w:p>
            <w:pPr>
              <w:keepNext/>
              <w:spacing w:line="288" w:lineRule="auto" w:before="20" w:after="20"/>
              <w:jc w:val="left"/>
            </w:pPr>
            <w:r/>
            <w:r>
              <w:rPr>
                <w:rFonts w:ascii="Times New Roman" w:hAnsi="Times New Roman" w:eastAsia="HY신명조"/>
                <w:b w:val="0"/>
                <w:sz w:val="19"/>
              </w:rPr>
              <w:t>LiDAR clutter</w:t>
            </w:r>
          </w:p>
        </w:tc>
        <w:tc>
          <w:tcPr>
            <w:tcW w:type="dxa" w:w="2126"/>
          </w:tcPr>
          <w:p>
            <w:pPr>
              <w:keepNext/>
              <w:spacing w:line="288" w:lineRule="auto" w:before="20" w:after="20"/>
              <w:jc w:val="left"/>
            </w:pPr>
            <w:r/>
            <w:r>
              <w:rPr>
                <w:rFonts w:ascii="Times New Roman" w:hAnsi="Times New Roman" w:eastAsia="HY신명조"/>
                <w:b w:val="0"/>
                <w:sz w:val="19"/>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gn</w:t>
            </w:r>
          </w:p>
        </w:tc>
        <w:tc>
          <w:tcPr>
            <w:tcW w:type="dxa" w:w="2126"/>
          </w:tcPr>
          <w:p>
            <w:pPr>
              <w:keepNext/>
              <w:spacing w:line="288" w:lineRule="auto" w:before="20" w:after="20"/>
              <w:jc w:val="left"/>
            </w:pPr>
            <w:r/>
            <w:r>
              <w:rPr>
                <w:rFonts w:ascii="Times New Roman" w:hAnsi="Times New Roman" w:eastAsia="HY신명조"/>
                <w:b w:val="0"/>
                <w:sz w:val="19"/>
              </w:rPr>
              <w:t>GNSS position noise</w:t>
            </w:r>
          </w:p>
        </w:tc>
        <w:tc>
          <w:tcPr>
            <w:tcW w:type="dxa" w:w="2126"/>
          </w:tcPr>
          <w:p>
            <w:pPr>
              <w:keepNext/>
              <w:spacing w:line="288" w:lineRule="auto" w:before="20" w:after="20"/>
              <w:jc w:val="left"/>
            </w:pPr>
            <w:r/>
            <w:r>
              <w:rPr>
                <w:rFonts w:ascii="Times New Roman" w:hAnsi="Times New Roman" w:eastAsia="HY신명조"/>
                <w:b w:val="0"/>
                <w:sz w:val="19"/>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gb</w:t>
            </w:r>
          </w:p>
        </w:tc>
        <w:tc>
          <w:tcPr>
            <w:tcW w:type="dxa" w:w="2126"/>
          </w:tcPr>
          <w:p>
            <w:pPr>
              <w:keepNext/>
              <w:spacing w:line="288" w:lineRule="auto" w:before="20" w:after="20"/>
              <w:jc w:val="left"/>
            </w:pPr>
            <w:r/>
            <w:r>
              <w:rPr>
                <w:rFonts w:ascii="Times New Roman" w:hAnsi="Times New Roman" w:eastAsia="HY신명조"/>
                <w:b w:val="0"/>
                <w:sz w:val="19"/>
              </w:rPr>
              <w:t>GNSS correlated bias</w:t>
            </w:r>
          </w:p>
        </w:tc>
        <w:tc>
          <w:tcPr>
            <w:tcW w:type="dxa" w:w="2126"/>
          </w:tcPr>
          <w:p>
            <w:pPr>
              <w:keepNext/>
              <w:spacing w:line="288" w:lineRule="auto" w:before="20" w:after="20"/>
              <w:jc w:val="left"/>
            </w:pPr>
            <w:r/>
            <w:r>
              <w:rPr>
                <w:rFonts w:ascii="Times New Roman" w:hAnsi="Times New Roman" w:eastAsia="HY신명조"/>
                <w:b w:val="0"/>
                <w:sz w:val="19"/>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imn</w:t>
            </w:r>
          </w:p>
        </w:tc>
        <w:tc>
          <w:tcPr>
            <w:tcW w:type="dxa" w:w="2126"/>
          </w:tcPr>
          <w:p>
            <w:pPr>
              <w:keepNext/>
              <w:spacing w:line="288" w:lineRule="auto" w:before="20" w:after="20"/>
              <w:jc w:val="left"/>
            </w:pPr>
            <w:r/>
            <w:r>
              <w:rPr>
                <w:rFonts w:ascii="Times New Roman" w:hAnsi="Times New Roman" w:eastAsia="HY신명조"/>
                <w:b w:val="0"/>
                <w:sz w:val="19"/>
              </w:rPr>
              <w:t>IMU noise</w:t>
            </w:r>
          </w:p>
        </w:tc>
        <w:tc>
          <w:tcPr>
            <w:tcW w:type="dxa" w:w="2126"/>
          </w:tcPr>
          <w:p>
            <w:pPr>
              <w:keepNext/>
              <w:spacing w:line="288" w:lineRule="auto" w:before="20" w:after="20"/>
              <w:jc w:val="left"/>
            </w:pPr>
            <w:r/>
            <w:r>
              <w:rPr>
                <w:rFonts w:ascii="Times New Roman" w:hAnsi="Times New Roman" w:eastAsia="HY신명조"/>
                <w:b w:val="0"/>
                <w:sz w:val="19"/>
              </w:rPr>
              <w:t>Gyro white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imb</w:t>
            </w:r>
          </w:p>
        </w:tc>
        <w:tc>
          <w:tcPr>
            <w:tcW w:type="dxa" w:w="2126"/>
          </w:tcPr>
          <w:p>
            <w:pPr>
              <w:keepNext/>
              <w:spacing w:line="288" w:lineRule="auto" w:before="20" w:after="20"/>
              <w:jc w:val="left"/>
            </w:pPr>
            <w:r/>
            <w:r>
              <w:rPr>
                <w:rFonts w:ascii="Times New Roman" w:hAnsi="Times New Roman" w:eastAsia="HY신명조"/>
                <w:b w:val="0"/>
                <w:sz w:val="19"/>
              </w:rPr>
              <w:t>IMU gyro bias</w:t>
            </w:r>
          </w:p>
        </w:tc>
        <w:tc>
          <w:tcPr>
            <w:tcW w:type="dxa" w:w="2126"/>
          </w:tcPr>
          <w:p>
            <w:pPr>
              <w:keepNext/>
              <w:spacing w:line="288" w:lineRule="auto" w:before="20" w:after="20"/>
              <w:jc w:val="left"/>
            </w:pPr>
            <w:r/>
            <w:r>
              <w:rPr>
                <w:rFonts w:ascii="Times New Roman" w:hAnsi="Times New Roman" w:eastAsia="HY신명조"/>
                <w:b w:val="0"/>
                <w:sz w:val="19"/>
              </w:rPr>
              <w:t>Step-type constant bias</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imd</w:t>
            </w:r>
          </w:p>
        </w:tc>
        <w:tc>
          <w:tcPr>
            <w:tcW w:type="dxa" w:w="2126"/>
          </w:tcPr>
          <w:p>
            <w:pPr>
              <w:keepNext/>
              <w:spacing w:line="288" w:lineRule="auto" w:before="20" w:after="20"/>
              <w:jc w:val="left"/>
            </w:pPr>
            <w:r/>
            <w:r>
              <w:rPr>
                <w:rFonts w:ascii="Times New Roman" w:hAnsi="Times New Roman" w:eastAsia="HY신명조"/>
                <w:b w:val="0"/>
                <w:sz w:val="19"/>
              </w:rPr>
              <w:t>IMU bias drift</w:t>
            </w:r>
          </w:p>
        </w:tc>
        <w:tc>
          <w:tcPr>
            <w:tcW w:type="dxa" w:w="2126"/>
          </w:tcPr>
          <w:p>
            <w:pPr>
              <w:keepNext/>
              <w:spacing w:line="288" w:lineRule="auto" w:before="20" w:after="20"/>
              <w:jc w:val="left"/>
            </w:pPr>
            <w:r/>
            <w:r>
              <w:rPr>
                <w:rFonts w:ascii="Times New Roman" w:hAnsi="Times New Roman" w:eastAsia="HY신명조"/>
                <w:b w:val="0"/>
                <w:sz w:val="19"/>
              </w:rPr>
              <w:t>Time-proportional ramp</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spacing w:line="288" w:lineRule="auto" w:before="20" w:after="20"/>
              <w:jc w:val="left"/>
            </w:pPr>
            <w:r/>
            <w:r>
              <w:rPr>
                <w:rFonts w:ascii="Times New Roman" w:hAnsi="Times New Roman" w:eastAsia="HY신명조"/>
                <w:b w:val="0"/>
                <w:sz w:val="19"/>
              </w:rPr>
              <w:t>gf</w:t>
            </w:r>
          </w:p>
        </w:tc>
        <w:tc>
          <w:tcPr>
            <w:tcW w:type="dxa" w:w="2126"/>
          </w:tcPr>
          <w:p>
            <w:pPr>
              <w:spacing w:line="288" w:lineRule="auto" w:before="20" w:after="20"/>
              <w:jc w:val="left"/>
            </w:pPr>
            <w:r/>
            <w:r>
              <w:rPr>
                <w:rFonts w:ascii="Times New Roman" w:hAnsi="Times New Roman" w:eastAsia="HY신명조"/>
                <w:b w:val="0"/>
                <w:sz w:val="19"/>
              </w:rPr>
              <w:t>GNSS outage</w:t>
            </w:r>
          </w:p>
        </w:tc>
        <w:tc>
          <w:tcPr>
            <w:tcW w:type="dxa" w:w="2126"/>
          </w:tcPr>
          <w:p>
            <w:pPr>
              <w:spacing w:line="288" w:lineRule="auto" w:before="20" w:after="20"/>
              <w:jc w:val="left"/>
            </w:pPr>
            <w:r/>
            <w:r>
              <w:rPr>
                <w:rFonts w:ascii="Times New Roman" w:hAnsi="Times New Roman" w:eastAsia="HY신명조"/>
                <w:b w:val="0"/>
                <w:sz w:val="19"/>
              </w:rPr>
              <w:t>Input silence</w:t>
            </w:r>
          </w:p>
        </w:tc>
        <w:tc>
          <w:tcPr>
            <w:tcW w:type="dxa" w:w="2126"/>
          </w:tcPr>
          <w:p>
            <w:pPr>
              <w:spacing w:line="288" w:lineRule="auto" w:before="20" w:after="20"/>
              <w:jc w:val="left"/>
            </w:pPr>
            <w:r/>
            <w:r>
              <w:rPr>
                <w:rFonts w:ascii="Times New Roman" w:hAnsi="Times New Roman" w:eastAsia="HY신명조"/>
                <w:b w:val="0"/>
                <w:sz w:val="19"/>
              </w:rPr>
              <w:t>-</w:t>
            </w:r>
          </w:p>
        </w:tc>
      </w:tr>
    </w:tbl>
    <w:p>
      <w:pPr>
        <w:spacing w:line="312" w:lineRule="auto" w:before="0" w:after="0"/>
      </w:pPr>
      <w:r>
        <w:rPr>
          <w:rFonts w:ascii="Times New Roman" w:hAnsi="Times New Roman" w:eastAsia="HY신명조"/>
          <w:b w:val="0"/>
          <w:sz w:val="19"/>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5589988"/>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4140000" cy="5589988"/>
                    </a:xfrm>
                    <a:prstGeom prst="rect"/>
                  </pic:spPr>
                </pic:pic>
              </a:graphicData>
            </a:graphic>
          </wp:inline>
        </w:drawing>
      </w:r>
    </w:p>
    <w:p>
      <w:pPr>
        <w:keepLines/>
        <w:spacing w:line="360" w:lineRule="auto" w:before="0" w:after="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Navigation fault waveforms — the temporal structure of white noise (gn), correlated bias (gb), and bias ramp (imd). Parameters in all panels are the raw mid/high values of Table 4-2.</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check that map annotation quality is a hidden confounding variable in evacuation-site selection.</w:t>
      </w: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manner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60" w:lineRule="auto" w:before="0" w:after="0"/>
      </w:pPr>
      <w:r>
        <w:rPr>
          <w:rFonts w:ascii="Times New Roman" w:hAnsi="Times New Roman" w:eastAsia="HY신명조"/>
          <w:b w:val="0"/>
          <w:sz w:val="22"/>
        </w:rPr>
        <w:t>Figure 4-3. 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was also managed as part of the experimental infrastructure. After a case in early experiments in which the injector's ROS listener silently died immediately after an MRM stop and the separation record was lost (Section 5), a watchdog restart was added to the listener to guarantee survival of the recording channel; in the 8 m encounter comparison, an arming scheme that activates the waypoint trigger only after confirming that the state under comparison has been established prevented state-mismatched encounters from mixing in.</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three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Third, a human visual-comparison protocol. Videos of all cases were assigned identifiers and delivered to a reviewer together with the machine adjudication set for comparison against independent judgment (verdict_review.csv). Machine and human adjudications agreed in all encounter-experiment cases of this thesis.</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ladder. (iii) 8 m encounter comparison: comparison of the proposed low-speed MRM and stock against an 8 m dart-out under a gn-mid fault (only the EKF localization input contaminated, perception intact) — cf was excluded because signal reading is impossible and encounters do not form, and gn-high was excluded because most cases end in comfortable stops (the selection process itself corroborates the behavioral differences across faults). (iv) Low-speed ladder: {8, 7, 6, 5} m at the proposed system's capped cruise speed of 3.0 m/s (cruising after a stop and restart). Since the fault-free ladder and the low-speed ladder use different launch protocols, the comparison axis is the encounter speed of "encounters during constant-speed cruising" (specified in Chapter 5, Section 7). Adjudication of all cases follows the ledger standard of Section 5.</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ablate the effect of the proposed system into four arms — non-intervention, stop, evacuation, and speed cap — a four-arm ablation study was designed (Table 4-3). The design was finalized after incorporating two rounds of external expert review.</w:t>
      </w:r>
    </w:p>
    <w:p>
      <w:pPr>
        <w:keepNext/>
        <w:spacing w:line="360" w:lineRule="auto" w:before="0" w:after="0"/>
      </w:pPr>
      <w:r>
        <w:rPr>
          <w:rFonts w:ascii="Times New Roman" w:hAnsi="Times New Roman" w:eastAsia="HY신명조"/>
          <w:b w:val="0"/>
          <w:sz w:val="22"/>
        </w:rPr>
        <w:t>Table 4-3. 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Detection</w:t>
            </w:r>
          </w:p>
        </w:tc>
        <w:tc>
          <w:tcPr>
            <w:tcW w:type="dxa" w:w="2126"/>
          </w:tcPr>
          <w:p>
            <w:pPr>
              <w:keepNext/>
              <w:spacing w:line="288" w:lineRule="auto" w:before="20" w:after="20"/>
              <w:jc w:val="center"/>
            </w:pPr>
            <w:r/>
            <w:r>
              <w:rPr>
                <w:rFonts w:ascii="Times New Roman" w:hAnsi="Times New Roman" w:eastAsia="HY신명조"/>
                <w:b/>
                <w:sz w:val="19"/>
              </w:rPr>
              <w:t>Response</w:t>
            </w:r>
          </w:p>
        </w:tc>
        <w:tc>
          <w:tcPr>
            <w:tcW w:type="dxa" w:w="2126"/>
          </w:tcPr>
          <w:p>
            <w:pPr>
              <w:keepNext/>
              <w:spacing w:line="288" w:lineRule="auto" w:before="20" w:after="20"/>
              <w:jc w:val="center"/>
            </w:pPr>
            <w:r/>
            <w:r>
              <w:rPr>
                <w:rFonts w:ascii="Times New Roman" w:hAnsi="Times New Roman" w:eastAsia="HY신명조"/>
                <w:b/>
                <w:sz w:val="19"/>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Shadow detection (log-only)</w:t>
            </w:r>
          </w:p>
        </w:tc>
        <w:tc>
          <w:tcPr>
            <w:tcW w:type="dxa" w:w="2126"/>
          </w:tcPr>
          <w:p>
            <w:pPr>
              <w:keepNext/>
              <w:spacing w:line="288" w:lineRule="auto" w:before="20" w:after="20"/>
              <w:jc w:val="left"/>
            </w:pPr>
            <w:r/>
            <w:r>
              <w:rPr>
                <w:rFonts w:ascii="Times New Roman" w:hAnsi="Times New Roman" w:eastAsia="HY신명조"/>
                <w:b w:val="0"/>
                <w:sz w:val="19"/>
              </w:rPr>
              <w:t>None — stock continued driving</w:t>
            </w:r>
          </w:p>
        </w:tc>
        <w:tc>
          <w:tcPr>
            <w:tcW w:type="dxa" w:w="2126"/>
          </w:tcPr>
          <w:p>
            <w:pPr>
              <w:keepNext/>
              <w:spacing w:line="288" w:lineRule="auto" w:before="20" w:after="20"/>
              <w:jc w:val="left"/>
            </w:pPr>
            <w:r/>
            <w:r>
              <w:rPr>
                <w:rFonts w:ascii="Times New Roman" w:hAnsi="Times New Roman" w:eastAsia="HY신명조"/>
                <w:b w:val="0"/>
                <w:sz w:val="19"/>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In-lane stop (stop-type MRM)</w:t>
            </w:r>
          </w:p>
        </w:tc>
        <w:tc>
          <w:tcPr>
            <w:tcW w:type="dxa" w:w="2126"/>
          </w:tcPr>
          <w:p>
            <w:pPr>
              <w:keepNext/>
              <w:spacing w:line="288" w:lineRule="auto" w:before="20" w:after="20"/>
              <w:jc w:val="left"/>
            </w:pPr>
            <w:r/>
            <w:r>
              <w:rPr>
                <w:rFonts w:ascii="Times New Roman" w:hAnsi="Times New Roman" w:eastAsia="HY신명조"/>
                <w:b w:val="0"/>
                <w:sz w:val="19"/>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Shoulder evacuation</w:t>
            </w:r>
          </w:p>
        </w:tc>
        <w:tc>
          <w:tcPr>
            <w:tcW w:type="dxa" w:w="2126"/>
          </w:tcPr>
          <w:p>
            <w:pPr>
              <w:keepNext/>
              <w:spacing w:line="288" w:lineRule="auto" w:before="20" w:after="20"/>
              <w:jc w:val="left"/>
            </w:pPr>
            <w:r/>
            <w:r>
              <w:rPr>
                <w:rFonts w:ascii="Times New Roman" w:hAnsi="Times New Roman" w:eastAsia="HY신명조"/>
                <w:b w:val="0"/>
                <w:sz w:val="19"/>
              </w:rPr>
              <w:t>None</w:t>
            </w:r>
          </w:p>
        </w:tc>
      </w:tr>
      <w:tr>
        <w:trPr>
          <w:cantSplit/>
        </w:trPr>
        <w:tc>
          <w:tcPr>
            <w:tcW w:type="dxa" w:w="2126"/>
          </w:tcPr>
          <w:p>
            <w:pPr>
              <w:spacing w:line="288" w:lineRule="auto" w:before="20" w:after="20"/>
              <w:jc w:val="left"/>
            </w:pPr>
            <w:r/>
            <w:r>
              <w:rPr>
                <w:rFonts w:ascii="Times New Roman" w:hAnsi="Times New Roman" w:eastAsia="HY신명조"/>
                <w:b w:val="0"/>
                <w:sz w:val="19"/>
              </w:rPr>
              <w:t>A4 capped evacuation</w:t>
            </w:r>
          </w:p>
        </w:tc>
        <w:tc>
          <w:tcPr>
            <w:tcW w:type="dxa" w:w="2126"/>
          </w:tcPr>
          <w:p>
            <w:pPr>
              <w:spacing w:line="288" w:lineRule="auto" w:before="20" w:after="20"/>
              <w:jc w:val="left"/>
            </w:pPr>
            <w:r/>
            <w:r>
              <w:rPr>
                <w:rFonts w:ascii="Times New Roman" w:hAnsi="Times New Roman" w:eastAsia="HY신명조"/>
                <w:b w:val="0"/>
                <w:sz w:val="19"/>
              </w:rPr>
              <w:t>Proposed detection</w:t>
            </w:r>
          </w:p>
        </w:tc>
        <w:tc>
          <w:tcPr>
            <w:tcW w:type="dxa" w:w="2126"/>
          </w:tcPr>
          <w:p>
            <w:pPr>
              <w:spacing w:line="288" w:lineRule="auto" w:before="20" w:after="20"/>
              <w:jc w:val="left"/>
            </w:pPr>
            <w:r/>
            <w:r>
              <w:rPr>
                <w:rFonts w:ascii="Times New Roman" w:hAnsi="Times New Roman" w:eastAsia="HY신명조"/>
                <w:b w:val="0"/>
                <w:sz w:val="19"/>
              </w:rPr>
              <w:t>Shoulder evacuation</w:t>
            </w:r>
          </w:p>
        </w:tc>
        <w:tc>
          <w:tcPr>
            <w:tcW w:type="dxa" w:w="2126"/>
          </w:tcPr>
          <w:p>
            <w:pPr>
              <w:spacing w:line="288" w:lineRule="auto" w:before="20" w:after="20"/>
              <w:jc w:val="left"/>
            </w:pPr>
            <w:r/>
            <w:r>
              <w:rPr>
                <w:rFonts w:ascii="Times New Roman" w:hAnsi="Times New Roman" w:eastAsia="HY신명조"/>
                <w:b w:val="0"/>
                <w:sz w:val="19"/>
              </w:rPr>
              <w:t>3.0 m/s cap</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ten seeds (S02~S11; S01 was excluded in advance as a development seed) are shared by the four arms, and each seed fixes the fault onset time, walking speed, lateral jitter, and the CARLA, fault-waveform, and pedestrian random numbers (specific values in Table 4-4)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from 6:0 onward p=0.03125, falling below 0.05). A1↔A2 and A2↔A3 are treated only as descriptive, mechanism-level analyses, and Fisher's exact test is used for unpaired auxiliary comparisons.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only end of observation right-censored;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4-4. All values are exactly the configurations used when the experiments were run, and the supporting section is indicated alongside.</w:t>
      </w:r>
    </w:p>
    <w:p>
      <w:pPr>
        <w:keepNext/>
        <w:spacing w:line="360" w:lineRule="auto" w:before="0" w:after="0"/>
      </w:pPr>
      <w:r>
        <w:rPr>
          <w:rFonts w:ascii="Times New Roman" w:hAnsi="Times New Roman" w:eastAsia="HY신명조"/>
          <w:b w:val="0"/>
          <w:sz w:val="22"/>
        </w:rPr>
        <w:t>Table 4-4. 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9"/>
              </w:rPr>
              <w:t>Item</w:t>
            </w:r>
          </w:p>
        </w:tc>
        <w:tc>
          <w:tcPr>
            <w:tcW w:type="dxa" w:w="2835"/>
          </w:tcPr>
          <w:p>
            <w:pPr>
              <w:keepNext/>
              <w:spacing w:line="288" w:lineRule="auto" w:before="20" w:after="20"/>
              <w:jc w:val="center"/>
            </w:pPr>
            <w:r/>
            <w:r>
              <w:rPr>
                <w:rFonts w:ascii="Times New Roman" w:hAnsi="Times New Roman" w:eastAsia="HY신명조"/>
                <w:b/>
                <w:sz w:val="19"/>
              </w:rPr>
              <w:t>Value</w:t>
            </w:r>
          </w:p>
        </w:tc>
        <w:tc>
          <w:tcPr>
            <w:tcW w:type="dxa" w:w="2835"/>
          </w:tcPr>
          <w:p>
            <w:pPr>
              <w:keepNext/>
              <w:spacing w:line="288" w:lineRule="auto" w:before="20" w:after="20"/>
              <w:jc w:val="center"/>
            </w:pPr>
            <w:r/>
            <w:r>
              <w:rPr>
                <w:rFonts w:ascii="Times New Roman" w:hAnsi="Times New Roman" w:eastAsia="HY신명조"/>
                <w:b/>
                <w:sz w:val="19"/>
              </w:rPr>
              <w:t>Remarks</w:t>
            </w:r>
          </w:p>
        </w:tc>
      </w:tr>
      <w:tr>
        <w:trPr>
          <w:cantSplit/>
        </w:trPr>
        <w:tc>
          <w:tcPr>
            <w:tcW w:type="dxa" w:w="2835"/>
          </w:tcPr>
          <w:p>
            <w:pPr>
              <w:keepNext/>
              <w:spacing w:line="288" w:lineRule="auto" w:before="20" w:after="20"/>
              <w:jc w:val="left"/>
            </w:pPr>
            <w:r/>
            <w:r>
              <w:rPr>
                <w:rFonts w:ascii="Times New Roman" w:hAnsi="Times New Roman" w:eastAsia="HY신명조"/>
                <w:b w:val="0"/>
                <w:sz w:val="19"/>
              </w:rPr>
              <w:t>State-transition thresholds</w:t>
            </w:r>
          </w:p>
        </w:tc>
        <w:tc>
          <w:tcPr>
            <w:tcW w:type="dxa" w:w="2835"/>
          </w:tcPr>
          <w:p>
            <w:pPr>
              <w:keepNext/>
              <w:spacing w:line="288" w:lineRule="auto" w:before="20" w:after="20"/>
              <w:jc w:val="left"/>
            </w:pPr>
            <w:r/>
            <w:r>
              <w:rPr>
                <w:rFonts w:ascii="Times New Roman" w:hAnsi="Times New Roman" w:eastAsia="HY신명조"/>
                <w:b w:val="0"/>
                <w:sz w:val="19"/>
              </w:rPr>
              <w:t>upper 0.7 / lower 0.3</w:t>
            </w:r>
          </w:p>
        </w:tc>
        <w:tc>
          <w:tcPr>
            <w:tcW w:type="dxa" w:w="2835"/>
          </w:tcPr>
          <w:p>
            <w:pPr>
              <w:keepNext/>
              <w:spacing w:line="288" w:lineRule="auto" w:before="20" w:after="20"/>
              <w:jc w:val="left"/>
            </w:pPr>
            <w:r/>
            <w:r>
              <w:rPr>
                <w:rFonts w:ascii="Times New Roman" w:hAnsi="Times New Roman" w:eastAsia="HY신명조"/>
                <w:b w:val="0"/>
                <w:sz w:val="19"/>
              </w:rPr>
              <w:t>Dual thresholds — three bands: normal/evacuation/deferral (Chapter 3, Section 5)</w:t>
            </w:r>
          </w:p>
        </w:tc>
      </w:tr>
      <w:tr>
        <w:trPr>
          <w:cantSplit/>
        </w:trPr>
        <w:tc>
          <w:tcPr>
            <w:tcW w:type="dxa" w:w="2835"/>
          </w:tcPr>
          <w:p>
            <w:pPr>
              <w:keepNext/>
              <w:spacing w:line="288" w:lineRule="auto" w:before="20" w:after="20"/>
              <w:jc w:val="left"/>
            </w:pPr>
            <w:r/>
            <w:r>
              <w:rPr>
                <w:rFonts w:ascii="Times New Roman" w:hAnsi="Times New Roman" w:eastAsia="HY신명조"/>
                <w:b w:val="0"/>
                <w:sz w:val="19"/>
              </w:rPr>
              <w:t>MRM movement speed cap</w:t>
            </w:r>
          </w:p>
        </w:tc>
        <w:tc>
          <w:tcPr>
            <w:tcW w:type="dxa" w:w="2835"/>
          </w:tcPr>
          <w:p>
            <w:pPr>
              <w:keepNext/>
              <w:spacing w:line="288" w:lineRule="auto" w:before="20" w:after="20"/>
              <w:jc w:val="left"/>
            </w:pPr>
            <w:r/>
            <w:r>
              <w:rPr>
                <w:rFonts w:ascii="Times New Roman" w:hAnsi="Times New Roman" w:eastAsia="HY신명조"/>
                <w:b w:val="0"/>
                <w:sz w:val="19"/>
              </w:rPr>
              <w:t>3.0 m/s (fixed)</w:t>
            </w:r>
          </w:p>
        </w:tc>
        <w:tc>
          <w:tcPr>
            <w:tcW w:type="dxa" w:w="2835"/>
          </w:tcPr>
          <w:p>
            <w:pPr>
              <w:keepNext/>
              <w:spacing w:line="288" w:lineRule="auto" w:before="20" w:after="20"/>
              <w:jc w:val="left"/>
            </w:pPr>
            <w:r/>
            <w:r>
              <w:rPr>
                <w:rFonts w:ascii="Times New Roman" w:hAnsi="Times New Roman" w:eastAsia="HY신명조"/>
                <w:b w:val="0"/>
                <w:sz w:val="19"/>
              </w:rPr>
              <w:t>Below the analytically back-calculated v_max≈3.89 m/s; a health-score-proportional cap is implemented but unused (Chapter 3, Section 6)</w:t>
            </w:r>
          </w:p>
        </w:tc>
      </w:tr>
      <w:tr>
        <w:trPr>
          <w:cantSplit/>
        </w:trPr>
        <w:tc>
          <w:tcPr>
            <w:tcW w:type="dxa" w:w="2835"/>
          </w:tcPr>
          <w:p>
            <w:pPr>
              <w:keepNext/>
              <w:spacing w:line="288" w:lineRule="auto" w:before="20" w:after="20"/>
              <w:jc w:val="left"/>
            </w:pPr>
            <w:r/>
            <w:r>
              <w:rPr>
                <w:rFonts w:ascii="Times New Roman" w:hAnsi="Times New Roman" w:eastAsia="HY신명조"/>
                <w:b w:val="0"/>
                <w:sz w:val="19"/>
              </w:rPr>
              <w:t>Stopping-distance model</w:t>
            </w:r>
          </w:p>
        </w:tc>
        <w:tc>
          <w:tcPr>
            <w:tcW w:type="dxa" w:w="2835"/>
          </w:tcPr>
          <w:p>
            <w:pPr>
              <w:keepNext/>
              <w:spacing w:line="288" w:lineRule="auto" w:before="20" w:after="20"/>
              <w:jc w:val="left"/>
            </w:pPr>
            <w:r/>
            <w:r>
              <w:rPr>
                <w:rFonts w:ascii="Times New Roman" w:hAnsi="Times New Roman" w:eastAsia="HY신명조"/>
                <w:b w:val="0"/>
                <w:sz w:val="19"/>
              </w:rPr>
              <w:t>τ=1.5 s, a=3.5 m/s²</w:t>
            </w:r>
          </w:p>
        </w:tc>
        <w:tc>
          <w:tcPr>
            <w:tcW w:type="dxa" w:w="2835"/>
          </w:tcPr>
          <w:p>
            <w:pPr>
              <w:keepNext/>
              <w:spacing w:line="288" w:lineRule="auto" w:before="20" w:after="20"/>
              <w:jc w:val="left"/>
            </w:pPr>
            <w:r/>
            <w:r>
              <w:rPr>
                <w:rFonts w:ascii="Times New Roman" w:hAnsi="Times New Roman" w:eastAsia="HY신명조"/>
                <w:b w:val="0"/>
                <w:sz w:val="19"/>
              </w:rPr>
              <w:t>d = vτ + v²/2a (Eq. (3-9)); τ is the effective hazard-response delay (Chapter 3, Section 6)</w:t>
            </w:r>
          </w:p>
        </w:tc>
      </w:tr>
      <w:tr>
        <w:trPr>
          <w:cantSplit/>
        </w:trPr>
        <w:tc>
          <w:tcPr>
            <w:tcW w:type="dxa" w:w="2835"/>
          </w:tcPr>
          <w:p>
            <w:pPr>
              <w:keepNext/>
              <w:spacing w:line="288" w:lineRule="auto" w:before="20" w:after="20"/>
              <w:jc w:val="left"/>
            </w:pPr>
            <w:r/>
            <w:r>
              <w:rPr>
                <w:rFonts w:ascii="Times New Roman" w:hAnsi="Times New Roman" w:eastAsia="HY신명조"/>
                <w:b w:val="0"/>
                <w:sz w:val="19"/>
              </w:rPr>
              <w:t>Pedestrian launch time</w:t>
            </w:r>
          </w:p>
        </w:tc>
        <w:tc>
          <w:tcPr>
            <w:tcW w:type="dxa" w:w="2835"/>
          </w:tcPr>
          <w:p>
            <w:pPr>
              <w:keepNext/>
              <w:spacing w:line="288" w:lineRule="auto" w:before="20" w:after="20"/>
              <w:jc w:val="left"/>
            </w:pPr>
            <w:r/>
            <w:r>
              <w:rPr>
                <w:rFonts w:ascii="Times New Roman" w:hAnsi="Times New Roman" w:eastAsia="HY신명조"/>
                <w:b w:val="0"/>
                <w:sz w:val="19"/>
              </w:rPr>
              <w:t>t_detect + 3.0 s</w:t>
            </w:r>
          </w:p>
        </w:tc>
        <w:tc>
          <w:tcPr>
            <w:tcW w:type="dxa" w:w="2835"/>
          </w:tcPr>
          <w:p>
            <w:pPr>
              <w:keepNext/>
              <w:spacing w:line="288" w:lineRule="auto" w:before="20" w:after="20"/>
              <w:jc w:val="left"/>
            </w:pPr>
            <w:r/>
            <w:r>
              <w:rPr>
                <w:rFonts w:ascii="Times New Roman" w:hAnsi="Times New Roman" w:eastAsia="HY신명조"/>
                <w:b w:val="0"/>
                <w:sz w:val="19"/>
              </w:rPr>
              <w:t>Ablation study, behavior-independent time trigger (Chapter 4, Section 7)</w:t>
            </w:r>
          </w:p>
        </w:tc>
      </w:tr>
      <w:tr>
        <w:trPr>
          <w:cantSplit/>
        </w:trPr>
        <w:tc>
          <w:tcPr>
            <w:tcW w:type="dxa" w:w="2835"/>
          </w:tcPr>
          <w:p>
            <w:pPr>
              <w:keepNext/>
              <w:spacing w:line="288" w:lineRule="auto" w:before="20" w:after="20"/>
              <w:jc w:val="left"/>
            </w:pPr>
            <w:r/>
            <w:r>
              <w:rPr>
                <w:rFonts w:ascii="Times New Roman" w:hAnsi="Times New Roman" w:eastAsia="HY신명조"/>
                <w:b w:val="0"/>
                <w:sz w:val="19"/>
              </w:rPr>
              <w:t>Launch geometry</w:t>
            </w:r>
          </w:p>
        </w:tc>
        <w:tc>
          <w:tcPr>
            <w:tcW w:type="dxa" w:w="2835"/>
          </w:tcPr>
          <w:p>
            <w:pPr>
              <w:keepNext/>
              <w:spacing w:line="288" w:lineRule="auto" w:before="20" w:after="20"/>
              <w:jc w:val="left"/>
            </w:pPr>
            <w:r/>
            <w:r>
              <w:rPr>
                <w:rFonts w:ascii="Times New Roman" w:hAnsi="Times New Roman" w:eastAsia="HY신명조"/>
                <w:b w:val="0"/>
                <w:sz w:val="19"/>
              </w:rPr>
              <w:t>8 m ahead, lateral jitter ±0.2 m</w:t>
            </w:r>
          </w:p>
        </w:tc>
        <w:tc>
          <w:tcPr>
            <w:tcW w:type="dxa" w:w="2835"/>
          </w:tcPr>
          <w:p>
            <w:pPr>
              <w:keepNext/>
              <w:spacing w:line="288" w:lineRule="auto" w:before="20" w:after="20"/>
              <w:jc w:val="left"/>
            </w:pPr>
            <w:r/>
            <w:r>
              <w:rPr>
                <w:rFonts w:ascii="Times New Roman" w:hAnsi="Times New Roman" w:eastAsia="HY신명조"/>
                <w:b w:val="0"/>
                <w:sz w:val="19"/>
              </w:rPr>
              <w:t>Crossing starts at the right edge of the driving lane +0.5 m</w:t>
            </w:r>
          </w:p>
        </w:tc>
      </w:tr>
      <w:tr>
        <w:trPr>
          <w:cantSplit/>
        </w:trPr>
        <w:tc>
          <w:tcPr>
            <w:tcW w:type="dxa" w:w="2835"/>
          </w:tcPr>
          <w:p>
            <w:pPr>
              <w:keepNext/>
              <w:spacing w:line="288" w:lineRule="auto" w:before="20" w:after="20"/>
              <w:jc w:val="left"/>
            </w:pPr>
            <w:r/>
            <w:r>
              <w:rPr>
                <w:rFonts w:ascii="Times New Roman" w:hAnsi="Times New Roman" w:eastAsia="HY신명조"/>
                <w:b w:val="0"/>
                <w:sz w:val="19"/>
              </w:rPr>
              <w:t>Commanded walking speed</w:t>
            </w:r>
          </w:p>
        </w:tc>
        <w:tc>
          <w:tcPr>
            <w:tcW w:type="dxa" w:w="2835"/>
          </w:tcPr>
          <w:p>
            <w:pPr>
              <w:keepNext/>
              <w:spacing w:line="288" w:lineRule="auto" w:before="20" w:after="20"/>
              <w:jc w:val="left"/>
            </w:pPr>
            <w:r/>
            <w:r>
              <w:rPr>
                <w:rFonts w:ascii="Times New Roman" w:hAnsi="Times New Roman" w:eastAsia="HY신명조"/>
                <w:b w:val="0"/>
                <w:sz w:val="19"/>
              </w:rPr>
              <w:t>{2.5, 3.0} m/s (blocked by seed)</w:t>
            </w:r>
          </w:p>
        </w:tc>
        <w:tc>
          <w:tcPr>
            <w:tcW w:type="dxa" w:w="2835"/>
          </w:tcPr>
          <w:p>
            <w:pPr>
              <w:keepNext/>
              <w:spacing w:line="288" w:lineRule="auto" w:before="20" w:after="20"/>
              <w:jc w:val="left"/>
            </w:pPr>
            <w:r/>
            <w:r>
              <w:rPr>
                <w:rFonts w:ascii="Times New Roman" w:hAnsi="Times New Roman" w:eastAsia="HY신명조"/>
                <w:b w:val="0"/>
                <w:sz w:val="19"/>
              </w:rPr>
              <w:t>Measured 1.1~1.3 m/s immediately after spawn — the discrepancy is noted in Chapter 6, Section 6</w:t>
            </w:r>
          </w:p>
        </w:tc>
      </w:tr>
      <w:tr>
        <w:trPr>
          <w:cantSplit/>
        </w:trPr>
        <w:tc>
          <w:tcPr>
            <w:tcW w:type="dxa" w:w="2835"/>
          </w:tcPr>
          <w:p>
            <w:pPr>
              <w:keepNext/>
              <w:spacing w:line="288" w:lineRule="auto" w:before="20" w:after="20"/>
              <w:jc w:val="left"/>
            </w:pPr>
            <w:r/>
            <w:r>
              <w:rPr>
                <w:rFonts w:ascii="Times New Roman" w:hAnsi="Times New Roman" w:eastAsia="HY신명조"/>
                <w:b w:val="0"/>
                <w:sz w:val="19"/>
              </w:rPr>
              <w:t>Ablation seeds</w:t>
            </w:r>
          </w:p>
        </w:tc>
        <w:tc>
          <w:tcPr>
            <w:tcW w:type="dxa" w:w="2835"/>
          </w:tcPr>
          <w:p>
            <w:pPr>
              <w:keepNext/>
              <w:spacing w:line="288" w:lineRule="auto" w:before="20" w:after="20"/>
              <w:jc w:val="left"/>
            </w:pPr>
            <w:r/>
            <w:r>
              <w:rPr>
                <w:rFonts w:ascii="Times New Roman" w:hAnsi="Times New Roman" w:eastAsia="HY신명조"/>
                <w:b w:val="0"/>
                <w:sz w:val="19"/>
              </w:rPr>
              <w:t>S02~S11 (10 seeds, shared pairwise across the 4 arms;</w:t>
            </w:r>
          </w:p>
          <w:p>
            <w:pPr>
              <w:keepNext/>
              <w:spacing w:line="288" w:lineRule="auto" w:before="20" w:after="20"/>
              <w:jc w:val="left"/>
            </w:pPr>
            <w:r>
              <w:rPr>
                <w:rFonts w:ascii="Times New Roman" w:hAnsi="Times New Roman" w:eastAsia="HY신명조"/>
                <w:b w:val="0"/>
                <w:sz w:val="19"/>
              </w:rPr>
              <w:t>S01 excluded as development seed)</w:t>
            </w:r>
          </w:p>
        </w:tc>
        <w:tc>
          <w:tcPr>
            <w:tcW w:type="dxa" w:w="2835"/>
          </w:tcPr>
          <w:p>
            <w:pPr>
              <w:keepNext/>
              <w:spacing w:line="288" w:lineRule="auto" w:before="20" w:after="20"/>
              <w:jc w:val="left"/>
            </w:pPr>
            <w:r/>
            <w:r>
              <w:rPr>
                <w:rFonts w:ascii="Times New Roman" w:hAnsi="Times New Roman" w:eastAsia="HY신명조"/>
                <w:b w:val="0"/>
                <w:sz w:val="19"/>
              </w:rPr>
              <w:t>Fixed: fault onset 11~44 s, walking 2.5/3.0 m/s blocks, lateral jitter,</w:t>
            </w:r>
          </w:p>
          <w:p>
            <w:pPr>
              <w:keepNext/>
              <w:spacing w:line="288" w:lineRule="auto" w:before="20" w:after="20"/>
              <w:jc w:val="left"/>
            </w:pPr>
            <w:r>
              <w:rPr>
                <w:rFonts w:ascii="Times New Roman" w:hAnsi="Times New Roman" w:eastAsia="HY신명조"/>
                <w:b w:val="0"/>
                <w:sz w:val="19"/>
              </w:rPr>
              <w:t>CARLA, fault waveform (FAULT_SEED), pedestrian random numbers (Chapter 4, Section 7)</w:t>
            </w:r>
          </w:p>
        </w:tc>
      </w:tr>
      <w:tr>
        <w:trPr>
          <w:cantSplit/>
        </w:trPr>
        <w:tc>
          <w:tcPr>
            <w:tcW w:type="dxa" w:w="2835"/>
          </w:tcPr>
          <w:p>
            <w:pPr>
              <w:keepNext/>
              <w:spacing w:line="288" w:lineRule="auto" w:before="20" w:after="20"/>
              <w:jc w:val="left"/>
            </w:pPr>
            <w:r/>
            <w:r>
              <w:rPr>
                <w:rFonts w:ascii="Times New Roman" w:hAnsi="Times New Roman" w:eastAsia="HY신명조"/>
                <w:b w:val="0"/>
                <w:sz w:val="19"/>
              </w:rPr>
              <w:t>Fault intensity (SEVERITY, mid/high)</w:t>
            </w:r>
          </w:p>
        </w:tc>
        <w:tc>
          <w:tcPr>
            <w:tcW w:type="dxa" w:w="2835"/>
          </w:tcPr>
          <w:p>
            <w:pPr>
              <w:keepNext/>
              <w:spacing w:line="288" w:lineRule="auto" w:before="20" w:after="20"/>
              <w:jc w:val="left"/>
            </w:pPr>
            <w:r/>
            <w:r>
              <w:rPr>
                <w:rFonts w:ascii="Times New Roman" w:hAnsi="Times New Roman" w:eastAsia="HY신명조"/>
                <w:b w:val="0"/>
                <w:sz w:val="19"/>
              </w:rPr>
              <w:t>cn 15/30, imn 0.5/1.5, gn 1.0/2.5,</w:t>
            </w:r>
          </w:p>
          <w:p>
            <w:pPr>
              <w:keepNext/>
              <w:spacing w:line="288" w:lineRule="auto" w:before="20" w:after="20"/>
              <w:jc w:val="left"/>
            </w:pPr>
            <w:r>
              <w:rPr>
                <w:rFonts w:ascii="Times New Roman" w:hAnsi="Times New Roman" w:eastAsia="HY신명조"/>
                <w:b w:val="0"/>
                <w:sz w:val="19"/>
              </w:rPr>
              <w:t>lso "0.33:90"/"0.07:150", lcl "5:1500"/"25:4000"</w:t>
            </w:r>
          </w:p>
        </w:tc>
        <w:tc>
          <w:tcPr>
            <w:tcW w:type="dxa" w:w="2835"/>
          </w:tcPr>
          <w:p>
            <w:pPr>
              <w:keepNext/>
              <w:spacing w:line="288" w:lineRule="auto" w:before="20" w:after="20"/>
              <w:jc w:val="left"/>
            </w:pPr>
            <w:r/>
            <w:r>
              <w:rPr>
                <w:rFonts w:ascii="Times New Roman" w:hAnsi="Times New Roman" w:eastAsia="HY신명조"/>
                <w:b w:val="0"/>
                <w:sz w:val="19"/>
              </w:rPr>
              <w:t>Raw injector parameter values (cn pixel σ, imn gyro σ,</w:t>
            </w:r>
          </w:p>
          <w:p>
            <w:pPr>
              <w:keepNext/>
              <w:spacing w:line="288" w:lineRule="auto" w:before="20" w:after="20"/>
              <w:jc w:val="left"/>
            </w:pPr>
            <w:r>
              <w:rPr>
                <w:rFonts w:ascii="Times New Roman" w:hAnsi="Times New Roman" w:eastAsia="HY신명조"/>
                <w:b w:val="0"/>
                <w:sz w:val="19"/>
              </w:rPr>
              <w:t>gn position σ[m], lso·lcl physical parameter pairs)</w:t>
            </w:r>
          </w:p>
        </w:tc>
      </w:tr>
      <w:tr>
        <w:trPr>
          <w:cantSplit/>
        </w:trPr>
        <w:tc>
          <w:tcPr>
            <w:tcW w:type="dxa" w:w="2835"/>
          </w:tcPr>
          <w:p>
            <w:pPr>
              <w:keepNext/>
              <w:spacing w:line="288" w:lineRule="auto" w:before="20" w:after="20"/>
              <w:jc w:val="left"/>
            </w:pPr>
            <w:r/>
            <w:r>
              <w:rPr>
                <w:rFonts w:ascii="Times New Roman" w:hAnsi="Times New Roman" w:eastAsia="HY신명조"/>
                <w:b w:val="0"/>
                <w:sz w:val="19"/>
              </w:rPr>
              <w:t>Simulator lifetime</w:t>
            </w:r>
          </w:p>
        </w:tc>
        <w:tc>
          <w:tcPr>
            <w:tcW w:type="dxa" w:w="2835"/>
          </w:tcPr>
          <w:p>
            <w:pPr>
              <w:keepNext/>
              <w:spacing w:line="288" w:lineRule="auto" w:before="20" w:after="20"/>
              <w:jc w:val="left"/>
            </w:pPr>
            <w:r/>
            <w:r>
              <w:rPr>
                <w:rFonts w:ascii="Times New Roman" w:hAnsi="Times New Roman" w:eastAsia="HY신명조"/>
                <w:b w:val="0"/>
                <w:sz w:val="19"/>
              </w:rPr>
              <w:t>CARLA_RESTART_EVERY=1</w:t>
            </w:r>
          </w:p>
        </w:tc>
        <w:tc>
          <w:tcPr>
            <w:tcW w:type="dxa" w:w="2835"/>
          </w:tcPr>
          <w:p>
            <w:pPr>
              <w:keepNext/>
              <w:spacing w:line="288" w:lineRule="auto" w:before="20" w:after="20"/>
              <w:jc w:val="left"/>
            </w:pPr>
            <w:r/>
            <w:r>
              <w:rPr>
                <w:rFonts w:ascii="Times New Roman" w:hAnsi="Times New Roman" w:eastAsia="HY신명조"/>
                <w:b w:val="0"/>
                <w:sz w:val="19"/>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9"/>
              </w:rPr>
              <w:t>Traffic-light control</w:t>
            </w:r>
          </w:p>
        </w:tc>
        <w:tc>
          <w:tcPr>
            <w:tcW w:type="dxa" w:w="2835"/>
          </w:tcPr>
          <w:p>
            <w:pPr>
              <w:spacing w:line="288" w:lineRule="auto" w:before="20" w:after="20"/>
              <w:jc w:val="left"/>
            </w:pPr>
            <w:r/>
            <w:r>
              <w:rPr>
                <w:rFonts w:ascii="Times New Roman" w:hAnsi="Times New Roman" w:eastAsia="HY신명조"/>
                <w:b w:val="0"/>
                <w:sz w:val="19"/>
              </w:rPr>
              <w:t>All frozen green</w:t>
            </w:r>
          </w:p>
        </w:tc>
        <w:tc>
          <w:tcPr>
            <w:tcW w:type="dxa" w:w="2835"/>
          </w:tcPr>
          <w:p>
            <w:pPr>
              <w:spacing w:line="288" w:lineRule="auto" w:before="20" w:after="20"/>
              <w:jc w:val="left"/>
            </w:pPr>
            <w:r/>
            <w:r>
              <w:rPr>
                <w:rFonts w:ascii="Times New Roman" w:hAnsi="Times New Roman" w:eastAsia="HY신명조"/>
                <w:b w:val="0"/>
                <w:sz w:val="19"/>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and median detection latencies of 2.1–5.0 s in 11 of the 12 fault conditions,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gentle stops, whereas the IMU family produced hard stops in every case — since even a gentle stop is trajectory following, the execution layer demotes it to a hard stop when the rotational sense is corrupted.</w:t>
      </w:r>
    </w:p>
    <w:p>
      <w:pPr>
        <w:keepNext/>
        <w:spacing w:line="360" w:lineRule="auto" w:before="0" w:after="0"/>
      </w:pPr>
      <w:r>
        <w:rPr>
          <w:rFonts w:ascii="Times New Roman" w:hAnsi="Times New Roman" w:eastAsia="HY신명조"/>
          <w:b w:val="0"/>
          <w:sz w:val="22"/>
        </w:rPr>
        <w:t>Table 5-1. 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Fault</w:t>
            </w:r>
          </w:p>
        </w:tc>
        <w:tc>
          <w:tcPr>
            <w:tcW w:type="dxa" w:w="1701"/>
          </w:tcPr>
          <w:p>
            <w:pPr>
              <w:spacing w:line="288" w:lineRule="auto" w:before="20" w:after="20"/>
              <w:jc w:val="center"/>
            </w:pPr>
            <w:r/>
            <w:r>
              <w:rPr>
                <w:rFonts w:ascii="Times New Roman" w:hAnsi="Times New Roman" w:eastAsia="HY신명조"/>
                <w:b/>
                <w:sz w:val="19"/>
              </w:rPr>
              <w:t>Severity</w:t>
            </w:r>
          </w:p>
        </w:tc>
        <w:tc>
          <w:tcPr>
            <w:tcW w:type="dxa" w:w="1701"/>
          </w:tcPr>
          <w:p>
            <w:pPr>
              <w:spacing w:line="288" w:lineRule="auto" w:before="20" w:after="20"/>
              <w:jc w:val="center"/>
            </w:pPr>
            <w:r/>
            <w:r>
              <w:rPr>
                <w:rFonts w:ascii="Times New Roman" w:hAnsi="Times New Roman" w:eastAsia="HY신명조"/>
                <w:b/>
                <w:sz w:val="19"/>
              </w:rPr>
              <w:t>n</w:t>
            </w:r>
          </w:p>
        </w:tc>
        <w:tc>
          <w:tcPr>
            <w:tcW w:type="dxa" w:w="1701"/>
          </w:tcPr>
          <w:p>
            <w:pPr>
              <w:spacing w:line="288" w:lineRule="auto" w:before="20" w:after="20"/>
              <w:jc w:val="center"/>
            </w:pPr>
            <w:r/>
            <w:r>
              <w:rPr>
                <w:rFonts w:ascii="Times New Roman" w:hAnsi="Times New Roman" w:eastAsia="HY신명조"/>
                <w:b/>
                <w:sz w:val="19"/>
              </w:rPr>
              <w:t>Detection rate</w:t>
            </w:r>
          </w:p>
        </w:tc>
        <w:tc>
          <w:tcPr>
            <w:tcW w:type="dxa" w:w="1701"/>
          </w:tcPr>
          <w:p>
            <w:pPr>
              <w:spacing w:line="288" w:lineRule="auto" w:before="20" w:after="20"/>
              <w:jc w:val="center"/>
            </w:pPr>
            <w:r/>
            <w:r>
              <w:rPr>
                <w:rFonts w:ascii="Times New Roman" w:hAnsi="Times New Roman" w:eastAsia="HY신명조"/>
                <w:b/>
                <w:sz w:val="19"/>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9"/>
              </w:rPr>
              <w:t>cf camera death</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0.98*</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3.3</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4.4</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2.1</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3.7</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26</w:t>
            </w:r>
          </w:p>
        </w:tc>
        <w:tc>
          <w:tcPr>
            <w:tcW w:type="dxa" w:w="1701"/>
          </w:tcPr>
          <w:p>
            <w:pPr>
              <w:spacing w:line="288" w:lineRule="auto" w:before="20" w:after="20"/>
              <w:jc w:val="left"/>
            </w:pPr>
            <w:r/>
            <w:r>
              <w:rPr>
                <w:rFonts w:ascii="Times New Roman" w:hAnsi="Times New Roman" w:eastAsia="HY신명조"/>
                <w:b w:val="0"/>
                <w:sz w:val="19"/>
              </w:rPr>
              <w:t>0.96</w:t>
            </w:r>
          </w:p>
        </w:tc>
        <w:tc>
          <w:tcPr>
            <w:tcW w:type="dxa" w:w="1701"/>
          </w:tcPr>
          <w:p>
            <w:pPr>
              <w:spacing w:line="288" w:lineRule="auto" w:before="20" w:after="20"/>
              <w:jc w:val="left"/>
            </w:pPr>
            <w:r/>
            <w:r>
              <w:rPr>
                <w:rFonts w:ascii="Times New Roman" w:hAnsi="Times New Roman" w:eastAsia="HY신명조"/>
                <w:b w:val="0"/>
                <w:sz w:val="19"/>
              </w:rPr>
              <w:t>4.5</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lf LiDAR death</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1.00*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5.0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0.02</w:t>
            </w:r>
          </w:p>
        </w:tc>
        <w:tc>
          <w:tcPr>
            <w:tcW w:type="dxa" w:w="1701"/>
          </w:tcPr>
          <w:p>
            <w:pPr>
              <w:spacing w:line="288" w:lineRule="auto" w:before="20" w:after="20"/>
              <w:jc w:val="left"/>
            </w:pPr>
            <w:r/>
            <w:r>
              <w:rPr>
                <w:rFonts w:ascii="Times New Roman" w:hAnsi="Times New Roman" w:eastAsia="HY신명조"/>
                <w:b w:val="0"/>
                <w:sz w:val="19"/>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2.3</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3.0</w:t>
            </w:r>
          </w:p>
        </w:tc>
      </w:tr>
      <w:tr>
        <w:trPr>
          <w:cantSplit/>
        </w:trPr>
        <w:tc>
          <w:tcPr>
            <w:tcW w:type="dxa" w:w="1701"/>
          </w:tcPr>
          <w:p>
            <w:pPr>
              <w:spacing w:line="288" w:lineRule="auto" w:before="20" w:after="20"/>
              <w:jc w:val="left"/>
            </w:pPr>
            <w:r/>
            <w:r>
              <w:rPr>
                <w:rFonts w:ascii="Times New Roman" w:hAnsi="Times New Roman" w:eastAsia="HY신명조"/>
                <w:b w:val="0"/>
                <w:sz w:val="19"/>
              </w:rPr>
              <w:t>gf† GNSS outage</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3.6</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44</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5.4</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8.6</w:t>
            </w:r>
          </w:p>
        </w:tc>
      </w:tr>
    </w:tbl>
    <w:p>
      <w:pPr>
        <w:spacing w:line="312" w:lineRule="auto" w:before="0" w:after="0"/>
      </w:pPr>
      <w:r>
        <w:rPr>
          <w:rFonts w:ascii="Times New Roman" w:hAnsi="Times New Roman" w:eastAsia="HY신명조"/>
          <w:b w:val="0"/>
          <w:sz w:val="19"/>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5-8, Section 8.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60" w:lineRule="auto" w:before="0" w:after="0"/>
      </w:pPr>
      <w:r>
        <w:rPr>
          <w:rFonts w:ascii="Times New Roman" w:hAnsi="Times New Roman" w:eastAsia="HY신명조"/>
          <w:b w:val="0"/>
          <w:sz w:val="22"/>
        </w:rPr>
        <w:t>Figure 5-1. Detection latency distributions per fault condition (proposed arm, measured from injection time). The upper panel shows the main campaign and the lower panel the supplementary campaign (navigation extension, Table 4-2 †); camera and LiDAR death (†) are ledger-based simulation-time re-measurements of the hard-fail fast path (Chapter 5, Section 8). Thick horizontal bars are medians, and the right tail of GNSS outage (gf) corresponds to cases injected during a red-light stop and detected after restart.</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deciding variable of health = min(perception, cap_loc) is perception. This deciding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supervisor-internal residual detectors (loc_meas/loc_jump),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4717"/>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4717"/>
                    </a:xfrm>
                    <a:prstGeom prst="rect"/>
                  </pic:spPr>
                </pic:pic>
              </a:graphicData>
            </a:graphic>
          </wp:inline>
        </w:drawing>
      </w:r>
    </w:p>
    <w:p>
      <w:pPr>
        <w:keepLines/>
        <w:spacing w:line="360" w:lineRule="auto" w:before="0" w:after="0"/>
      </w:pPr>
      <w:r>
        <w:rPr>
          <w:rFonts w:ascii="Times New Roman" w:hAnsi="Times New Roman" w:eastAsia="HY신명조"/>
          <w:b w:val="0"/>
          <w:sz w:val="22"/>
        </w:rPr>
        <w:t>Figure 5-2. Continuous health traces — (top) the perception capability score that feeds the state transitions (dual thresholds 0.7/0.3) and (bottom) the affected sensor's raw score: (a) LiDAR soiling (lso), (b) camera pixel noise (cn). One representative run per condition; the warm-up interval lies outside the display window. Vertical dotted lines mark fault onset, detected as a step drop of the raw score (not marked for lso-mid, which shows a level depression without a step — consistent with its tolerated grade). Pre-onset fluctuation of the capability score is scene-dependent variation of the same character as the fault-free curve; the raw-score row separates it from the fault effect. The navigation family (gn, imn) is out of scope by design — its decision variables come from residual detectors inside the supervisor, not /monitor/scores.</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number 2. One factor lowering the evacuation completion rate is the reduction of candidates due to the intended conservatism of the traffic-light observability gate. For camera noise (cn), 25 of 90 cases reached the shoulder.</w:t>
      </w:r>
    </w:p>
    <w:p>
      <w:pPr>
        <w:keepNext/>
        <w:spacing w:line="360" w:lineRule="auto" w:before="0" w:after="0"/>
      </w:pPr>
      <w:r>
        <w:rPr>
          <w:rFonts w:ascii="Times New Roman" w:hAnsi="Times New Roman" w:eastAsia="HY신명조"/>
          <w:b w:val="0"/>
          <w:sz w:val="22"/>
        </w:rPr>
        <w:t>Table 5-2. 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Cases</w:t>
            </w:r>
          </w:p>
        </w:tc>
        <w:tc>
          <w:tcPr>
            <w:tcW w:type="dxa" w:w="2126"/>
          </w:tcPr>
          <w:p>
            <w:pPr>
              <w:keepNext/>
              <w:spacing w:line="288" w:lineRule="auto" w:before="20" w:after="20"/>
              <w:jc w:val="center"/>
            </w:pPr>
            <w:r/>
            <w:r>
              <w:rPr>
                <w:rFonts w:ascii="Times New Roman" w:hAnsi="Times New Roman" w:eastAsia="HY신명조"/>
                <w:b/>
                <w:sz w:val="19"/>
              </w:rPr>
              <w:t>Shoulder/parking reached</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 camera death</w:t>
            </w:r>
          </w:p>
        </w:tc>
        <w:tc>
          <w:tcPr>
            <w:tcW w:type="dxa" w:w="2126"/>
          </w:tcPr>
          <w:p>
            <w:pPr>
              <w:keepNext/>
              <w:spacing w:line="288" w:lineRule="auto" w:before="20" w:after="20"/>
              <w:jc w:val="left"/>
            </w:pPr>
            <w:r/>
            <w:r>
              <w:rPr>
                <w:rFonts w:ascii="Times New Roman" w:hAnsi="Times New Roman" w:eastAsia="HY신명조"/>
                <w:b w:val="0"/>
                <w:sz w:val="19"/>
              </w:rPr>
              <w:t>45</w:t>
            </w:r>
          </w:p>
        </w:tc>
        <w:tc>
          <w:tcPr>
            <w:tcW w:type="dxa" w:w="2126"/>
          </w:tcPr>
          <w:p>
            <w:pPr>
              <w:keepNext/>
              <w:spacing w:line="288" w:lineRule="auto" w:before="20" w:after="20"/>
              <w:jc w:val="left"/>
            </w:pPr>
            <w:r/>
            <w:r>
              <w:rPr>
                <w:rFonts w:ascii="Times New Roman" w:hAnsi="Times New Roman" w:eastAsia="HY신명조"/>
                <w:b w:val="0"/>
                <w:sz w:val="19"/>
              </w:rPr>
              <w:t>Shoulder 16</w:t>
            </w:r>
          </w:p>
        </w:tc>
        <w:tc>
          <w:tcPr>
            <w:tcW w:type="dxa" w:w="2126"/>
          </w:tcPr>
          <w:p>
            <w:pPr>
              <w:keepNext/>
              <w:spacing w:line="288" w:lineRule="auto" w:before="20" w:after="20"/>
              <w:jc w:val="left"/>
            </w:pPr>
            <w:r/>
            <w:r>
              <w:rPr>
                <w:rFonts w:ascii="Times New Roman" w:hAnsi="Times New Roman" w:eastAsia="HY신명조"/>
                <w:b w:val="0"/>
                <w:sz w:val="19"/>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 camera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25</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gn GNSS position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41 + parking 1</w:t>
            </w:r>
          </w:p>
        </w:tc>
        <w:tc>
          <w:tcPr>
            <w:tcW w:type="dxa" w:w="2126"/>
          </w:tcPr>
          <w:p>
            <w:pPr>
              <w:keepNext/>
              <w:spacing w:line="288" w:lineRule="auto" w:before="20" w:after="20"/>
              <w:jc w:val="left"/>
            </w:pPr>
            <w:r/>
            <w:r>
              <w:rPr>
                <w:rFonts w:ascii="Times New Roman" w:hAnsi="Times New Roman" w:eastAsia="HY신명조"/>
                <w:b w:val="0"/>
                <w:sz w:val="19"/>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9"/>
              </w:rPr>
              <w:t>lso-mid LiDAR sparsification (mid)</w:t>
            </w:r>
          </w:p>
        </w:tc>
        <w:tc>
          <w:tcPr>
            <w:tcW w:type="dxa" w:w="2126"/>
          </w:tcPr>
          <w:p>
            <w:pPr>
              <w:spacing w:line="288" w:lineRule="auto" w:before="20" w:after="20"/>
              <w:jc w:val="left"/>
            </w:pPr>
            <w:r/>
            <w:r>
              <w:rPr>
                <w:rFonts w:ascii="Times New Roman" w:hAnsi="Times New Roman" w:eastAsia="HY신명조"/>
                <w:b w:val="0"/>
                <w:sz w:val="19"/>
              </w:rPr>
              <w:t>-</w:t>
            </w:r>
          </w:p>
        </w:tc>
        <w:tc>
          <w:tcPr>
            <w:tcW w:type="dxa" w:w="2126"/>
          </w:tcPr>
          <w:p>
            <w:pPr>
              <w:spacing w:line="288" w:lineRule="auto" w:before="20" w:after="20"/>
              <w:jc w:val="left"/>
            </w:pPr>
            <w:r/>
            <w:r>
              <w:rPr>
                <w:rFonts w:ascii="Times New Roman" w:hAnsi="Times New Roman" w:eastAsia="HY신명조"/>
                <w:b w:val="0"/>
                <w:sz w:val="19"/>
              </w:rPr>
              <w:t>Deliberate continued driving</w:t>
            </w:r>
          </w:p>
        </w:tc>
        <w:tc>
          <w:tcPr>
            <w:tcW w:type="dxa" w:w="2126"/>
          </w:tcPr>
          <w:p>
            <w:pPr>
              <w:spacing w:line="288" w:lineRule="auto" w:before="20" w:after="20"/>
              <w:jc w:val="left"/>
            </w:pPr>
            <w:r/>
            <w:r>
              <w:rPr>
                <w:rFonts w:ascii="Times New Roman" w:hAnsi="Times New Roman" w:eastAsia="HY신명조"/>
                <w:b w:val="0"/>
                <w:sz w:val="19"/>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the stock stack effectively completed the route without detecting the injected fault: degraded-state driving distances were 238 m for camera death, 240 m for camera noise, 251 m for GNSS position noise, 264 m for LiDAR sparsification, and 275 m for LiDAR clutter (only IMU noise stopped on its own due to the anomaly,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unreturned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since the speed→boundary physics model is validated in this environment, the effect of the speed cap can be interpreted with the same model.</w:t>
      </w:r>
    </w:p>
    <w:p>
      <w:pPr>
        <w:keepNext/>
        <w:spacing w:line="360" w:lineRule="auto" w:before="0" w:after="0"/>
      </w:pPr>
      <w:r>
        <w:rPr>
          <w:rFonts w:ascii="Times New Roman" w:hAnsi="Times New Roman" w:eastAsia="HY신명조"/>
          <w:b w:val="0"/>
          <w:sz w:val="22"/>
        </w:rPr>
        <w:t>Table 5-3. Distance ladder results (ledger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9"/>
              </w:rPr>
              <w:t>Spawn distance</w:t>
            </w:r>
          </w:p>
        </w:tc>
        <w:tc>
          <w:tcPr>
            <w:tcW w:type="dxa" w:w="2835"/>
          </w:tcPr>
          <w:p>
            <w:pPr>
              <w:keepNext/>
              <w:spacing w:line="288" w:lineRule="auto" w:before="20" w:after="20"/>
              <w:jc w:val="center"/>
            </w:pPr>
            <w:r/>
            <w:r>
              <w:rPr>
                <w:rFonts w:ascii="Times New Roman" w:hAnsi="Times New Roman" w:eastAsia="HY신명조"/>
                <w:b/>
                <w:sz w:val="19"/>
              </w:rPr>
              <w:t>Fault-free stock 4.2 m/s (n=4/distance)</w:t>
            </w:r>
          </w:p>
        </w:tc>
        <w:tc>
          <w:tcPr>
            <w:tcW w:type="dxa" w:w="2835"/>
          </w:tcPr>
          <w:p>
            <w:pPr>
              <w:keepNext/>
              <w:spacing w:line="288" w:lineRule="auto" w:before="20" w:after="20"/>
              <w:jc w:val="center"/>
            </w:pPr>
            <w:r/>
            <w:r>
              <w:rPr>
                <w:rFonts w:ascii="Times New Roman" w:hAnsi="Times New Roman" w:eastAsia="HY신명조"/>
                <w:b/>
                <w:sz w:val="19"/>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14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11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8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9"/>
              </w:rPr>
              <w:t>6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spacing w:line="288" w:lineRule="auto" w:before="20" w:after="20"/>
              <w:jc w:val="left"/>
            </w:pPr>
            <w:r/>
            <w:r>
              <w:rPr>
                <w:rFonts w:ascii="Times New Roman" w:hAnsi="Times New Roman" w:eastAsia="HY신명조"/>
                <w:b w:val="0"/>
                <w:sz w:val="19"/>
              </w:rPr>
              <w:t>5 m</w:t>
            </w:r>
          </w:p>
        </w:tc>
        <w:tc>
          <w:tcPr>
            <w:tcW w:type="dxa" w:w="2835"/>
          </w:tcPr>
          <w:p>
            <w:pPr>
              <w:spacing w:line="288" w:lineRule="auto" w:before="20" w:after="20"/>
              <w:jc w:val="left"/>
            </w:pPr>
            <w:r/>
            <w:r>
              <w:rPr>
                <w:rFonts w:ascii="Times New Roman" w:hAnsi="Times New Roman" w:eastAsia="HY신명조"/>
                <w:b w:val="0"/>
                <w:sz w:val="19"/>
              </w:rPr>
              <w:t>Collision 4/4</w:t>
            </w:r>
          </w:p>
        </w:tc>
        <w:tc>
          <w:tcPr>
            <w:tcW w:type="dxa" w:w="2835"/>
          </w:tcPr>
          <w:p>
            <w:pPr>
              <w:spacing w:line="288" w:lineRule="auto" w:before="20" w:after="20"/>
              <w:jc w:val="left"/>
            </w:pPr>
            <w:r/>
            <w:r>
              <w:rPr>
                <w:rFonts w:ascii="Times New Roman" w:hAnsi="Times New Roman" w:eastAsia="HY신명조"/>
                <w:b w:val="0"/>
                <w:sz w:val="19"/>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60" w:lineRule="auto" w:before="0" w:after="0"/>
      </w:pPr>
      <w:r>
        <w:rPr>
          <w:rFonts w:ascii="Times New Roman" w:hAnsi="Times New Roman" w:eastAsia="HY신명조"/>
          <w:b w:val="0"/>
          <w:sz w:val="22"/>
        </w:rPr>
        <w:t>Figure 5-3. Stopping-distance model d = vτ + v²/2a (τ=1.5 s, a=3.5 m/s²) and the measured avoidance/collision boundaries from the distance ladder (shaded bands). The measured boundary at 4.2 m/s (8–11 m) matches the model prediction of 8.8 m, and the boundary at 3.0 m/s (7–8 m) is conservative relative to the prediction of 5.79 m (planner reaction variance).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settled cruise under the 3.0 m/s speed cap avoided all 8 runs and subsequently completed shoulder evacuation (8/8; auxiliary Fisher's exact test p=2.3×10⁻⁵). Because 8 m lies outside the avoidance boundary at 4.2 m/s but not outside the required stopping distance at 3.0 m/s (5.79 m), this outcome is exactly what the physics model of Section 3 predicts. The important finding is the third condition: even the same proposed system collided in both of its 2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60" w:lineRule="auto" w:before="0" w:after="0"/>
      </w:pPr>
      <w:r>
        <w:rPr>
          <w:rFonts w:ascii="Times New Roman" w:hAnsi="Times New Roman" w:eastAsia="HY신명조"/>
          <w:b w:val="0"/>
          <w:sz w:val="22"/>
        </w:rPr>
        <w:t>Table 5-4. 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Collisions</w:t>
            </w:r>
          </w:p>
        </w:tc>
        <w:tc>
          <w:tcPr>
            <w:tcW w:type="dxa" w:w="2126"/>
          </w:tcPr>
          <w:p>
            <w:pPr>
              <w:keepNext/>
              <w:spacing w:line="288" w:lineRule="auto" w:before="20" w:after="20"/>
              <w:jc w:val="center"/>
            </w:pPr>
            <w:r/>
            <w:r>
              <w:rPr>
                <w:rFonts w:ascii="Times New Roman" w:hAnsi="Times New Roman" w:eastAsia="HY신명조"/>
                <w:b/>
                <w:sz w:val="19"/>
              </w:rPr>
              <w:t>Collision rate [Wilson 95% CI]</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14/20</w:t>
            </w:r>
          </w:p>
        </w:tc>
        <w:tc>
          <w:tcPr>
            <w:tcW w:type="dxa" w:w="2126"/>
          </w:tcPr>
          <w:p>
            <w:pPr>
              <w:keepNext/>
              <w:spacing w:line="288" w:lineRule="auto" w:before="20" w:after="20"/>
              <w:jc w:val="left"/>
            </w:pPr>
            <w:r/>
            <w:r>
              <w:rPr>
                <w:rFonts w:ascii="Times New Roman" w:hAnsi="Times New Roman" w:eastAsia="HY신명조"/>
                <w:b w:val="0"/>
                <w:sz w:val="19"/>
              </w:rPr>
              <w:t>70% [48.1, 85.5]</w:t>
            </w:r>
          </w:p>
        </w:tc>
        <w:tc>
          <w:tcPr>
            <w:tcW w:type="dxa" w:w="2126"/>
          </w:tcPr>
          <w:p>
            <w:pPr>
              <w:keepNext/>
              <w:spacing w:line="288" w:lineRule="auto" w:before="20" w:after="20"/>
              <w:jc w:val="left"/>
            </w:pPr>
            <w:r/>
            <w:r>
              <w:rPr>
                <w:rFonts w:ascii="Times New Roman" w:hAnsi="Times New Roman" w:eastAsia="HY신명조"/>
                <w:b w:val="0"/>
                <w:sz w:val="19"/>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0/20</w:t>
            </w:r>
          </w:p>
        </w:tc>
        <w:tc>
          <w:tcPr>
            <w:tcW w:type="dxa" w:w="2126"/>
          </w:tcPr>
          <w:p>
            <w:pPr>
              <w:keepNext/>
              <w:spacing w:line="288" w:lineRule="auto" w:before="20" w:after="20"/>
              <w:jc w:val="left"/>
            </w:pPr>
            <w:r/>
            <w:r>
              <w:rPr>
                <w:rFonts w:ascii="Times New Roman" w:hAnsi="Times New Roman" w:eastAsia="HY신명조"/>
                <w:b w:val="0"/>
                <w:sz w:val="19"/>
              </w:rPr>
              <w:t>0% [0.0, 16.1]</w:t>
            </w:r>
          </w:p>
        </w:tc>
        <w:tc>
          <w:tcPr>
            <w:tcW w:type="dxa" w:w="2126"/>
          </w:tcPr>
          <w:p>
            <w:pPr>
              <w:keepNext/>
              <w:spacing w:line="288" w:lineRule="auto" w:before="20" w:after="20"/>
              <w:jc w:val="left"/>
            </w:pPr>
            <w:r/>
            <w:r>
              <w:rPr>
                <w:rFonts w:ascii="Times New Roman" w:hAnsi="Times New Roman" w:eastAsia="HY신명조"/>
                <w:b w:val="0"/>
                <w:sz w:val="19"/>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10/20</w:t>
            </w:r>
          </w:p>
        </w:tc>
        <w:tc>
          <w:tcPr>
            <w:tcW w:type="dxa" w:w="2126"/>
          </w:tcPr>
          <w:p>
            <w:pPr>
              <w:keepNext/>
              <w:spacing w:line="288" w:lineRule="auto" w:before="20" w:after="20"/>
              <w:jc w:val="left"/>
            </w:pPr>
            <w:r/>
            <w:r>
              <w:rPr>
                <w:rFonts w:ascii="Times New Roman" w:hAnsi="Times New Roman" w:eastAsia="HY신명조"/>
                <w:b w:val="0"/>
                <w:sz w:val="19"/>
              </w:rPr>
              <w:t>50% [29.9, 70.1]</w:t>
            </w:r>
          </w:p>
        </w:tc>
        <w:tc>
          <w:tcPr>
            <w:tcW w:type="dxa" w:w="2126"/>
          </w:tcPr>
          <w:p>
            <w:pPr>
              <w:keepNext/>
              <w:spacing w:line="288" w:lineRule="auto" w:before="20" w:after="20"/>
              <w:jc w:val="left"/>
            </w:pPr>
            <w:r/>
            <w:r>
              <w:rPr>
                <w:rFonts w:ascii="Times New Roman" w:hAnsi="Times New Roman" w:eastAsia="HY신명조"/>
                <w:b w:val="0"/>
                <w:sz w:val="19"/>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9"/>
              </w:rPr>
              <w:t>A4 capped(3.0) evacuation</w:t>
            </w:r>
          </w:p>
        </w:tc>
        <w:tc>
          <w:tcPr>
            <w:tcW w:type="dxa" w:w="2126"/>
          </w:tcPr>
          <w:p>
            <w:pPr>
              <w:spacing w:line="288" w:lineRule="auto" w:before="20" w:after="20"/>
              <w:jc w:val="left"/>
            </w:pPr>
            <w:r/>
            <w:r>
              <w:rPr>
                <w:rFonts w:ascii="Times New Roman" w:hAnsi="Times New Roman" w:eastAsia="HY신명조"/>
                <w:b w:val="0"/>
                <w:sz w:val="19"/>
              </w:rPr>
              <w:t>11/20</w:t>
            </w:r>
          </w:p>
        </w:tc>
        <w:tc>
          <w:tcPr>
            <w:tcW w:type="dxa" w:w="2126"/>
          </w:tcPr>
          <w:p>
            <w:pPr>
              <w:spacing w:line="288" w:lineRule="auto" w:before="20" w:after="20"/>
              <w:jc w:val="left"/>
            </w:pPr>
            <w:r/>
            <w:r>
              <w:rPr>
                <w:rFonts w:ascii="Times New Roman" w:hAnsi="Times New Roman" w:eastAsia="HY신명조"/>
                <w:b w:val="0"/>
                <w:sz w:val="19"/>
              </w:rPr>
              <w:t>55% [34.2, 74.2]</w:t>
            </w:r>
          </w:p>
        </w:tc>
        <w:tc>
          <w:tcPr>
            <w:tcW w:type="dxa" w:w="2126"/>
          </w:tcPr>
          <w:p>
            <w:pPr>
              <w:spacing w:line="288" w:lineRule="auto" w:before="20" w:after="20"/>
              <w:jc w:val="left"/>
            </w:pPr>
            <w:r/>
            <w:r>
              <w:rPr>
                <w:rFonts w:ascii="Times New Roman" w:hAnsi="Times New Roman" w:eastAsia="HY신명조"/>
                <w:b w:val="0"/>
                <w:sz w:val="19"/>
              </w:rPr>
              <w:t>All collisions in the transient</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60" w:lineRule="auto" w:before="0" w:after="0"/>
      </w:pPr>
      <w:r>
        <w:rPr>
          <w:rFonts w:ascii="Times New Roman" w:hAnsi="Times New Roman" w:eastAsia="HY신명조"/>
          <w:b w:val="0"/>
          <w:sz w:val="22"/>
        </w:rPr>
        <w:t>Table 5-5. 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Seed</w:t>
            </w:r>
          </w:p>
        </w:tc>
        <w:tc>
          <w:tcPr>
            <w:tcW w:type="dxa" w:w="1701"/>
          </w:tcPr>
          <w:p>
            <w:pPr>
              <w:spacing w:line="288" w:lineRule="auto" w:before="20" w:after="20"/>
              <w:jc w:val="center"/>
            </w:pPr>
            <w:r/>
            <w:r>
              <w:rPr>
                <w:rFonts w:ascii="Times New Roman" w:hAnsi="Times New Roman" w:eastAsia="HY신명조"/>
                <w:b/>
                <w:sz w:val="19"/>
              </w:rPr>
              <w:t>A1 stock</w:t>
            </w:r>
          </w:p>
        </w:tc>
        <w:tc>
          <w:tcPr>
            <w:tcW w:type="dxa" w:w="1701"/>
          </w:tcPr>
          <w:p>
            <w:pPr>
              <w:spacing w:line="288" w:lineRule="auto" w:before="20" w:after="20"/>
              <w:jc w:val="center"/>
            </w:pPr>
            <w:r/>
            <w:r>
              <w:rPr>
                <w:rFonts w:ascii="Times New Roman" w:hAnsi="Times New Roman" w:eastAsia="HY신명조"/>
                <w:b/>
                <w:sz w:val="19"/>
              </w:rPr>
              <w:t>A2 stop</w:t>
            </w:r>
          </w:p>
        </w:tc>
        <w:tc>
          <w:tcPr>
            <w:tcW w:type="dxa" w:w="1701"/>
          </w:tcPr>
          <w:p>
            <w:pPr>
              <w:spacing w:line="288" w:lineRule="auto" w:before="20" w:after="20"/>
              <w:jc w:val="center"/>
            </w:pPr>
            <w:r/>
            <w:r>
              <w:rPr>
                <w:rFonts w:ascii="Times New Roman" w:hAnsi="Times New Roman" w:eastAsia="HY신명조"/>
                <w:b/>
                <w:sz w:val="19"/>
              </w:rPr>
              <w:t>A3 uncapped evacuation</w:t>
            </w:r>
          </w:p>
        </w:tc>
        <w:tc>
          <w:tcPr>
            <w:tcW w:type="dxa" w:w="1701"/>
          </w:tcPr>
          <w:p>
            <w:pPr>
              <w:spacing w:line="288" w:lineRule="auto" w:before="20" w:after="20"/>
              <w:jc w:val="center"/>
            </w:pPr>
            <w:r/>
            <w:r>
              <w:rPr>
                <w:rFonts w:ascii="Times New Roman" w:hAnsi="Times New Roman" w:eastAsia="HY신명조"/>
                <w:b/>
                <w:sz w:val="19"/>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9"/>
              </w:rPr>
              <w:t>S02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S04</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S07</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S09</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S11</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S14</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S17</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S19</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S21</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Total (collisions)</w:t>
            </w:r>
          </w:p>
        </w:tc>
        <w:tc>
          <w:tcPr>
            <w:tcW w:type="dxa" w:w="1701"/>
          </w:tcPr>
          <w:p>
            <w:pPr>
              <w:spacing w:line="288" w:lineRule="auto" w:before="20" w:after="20"/>
              <w:jc w:val="left"/>
            </w:pPr>
            <w:r/>
            <w:r>
              <w:rPr>
                <w:rFonts w:ascii="Times New Roman" w:hAnsi="Times New Roman" w:eastAsia="HY신명조"/>
                <w:b w:val="0"/>
                <w:sz w:val="19"/>
              </w:rPr>
              <w:t>14/20</w:t>
            </w:r>
          </w:p>
        </w:tc>
        <w:tc>
          <w:tcPr>
            <w:tcW w:type="dxa" w:w="1701"/>
          </w:tcPr>
          <w:p>
            <w:pPr>
              <w:spacing w:line="288" w:lineRule="auto" w:before="20" w:after="20"/>
              <w:jc w:val="left"/>
            </w:pPr>
            <w:r/>
            <w:r>
              <w:rPr>
                <w:rFonts w:ascii="Times New Roman" w:hAnsi="Times New Roman" w:eastAsia="HY신명조"/>
                <w:b w:val="0"/>
                <w:sz w:val="19"/>
              </w:rPr>
              <w:t>0/20</w:t>
            </w:r>
          </w:p>
        </w:tc>
        <w:tc>
          <w:tcPr>
            <w:tcW w:type="dxa" w:w="1701"/>
          </w:tcPr>
          <w:p>
            <w:pPr>
              <w:spacing w:line="288" w:lineRule="auto" w:before="20" w:after="20"/>
              <w:jc w:val="left"/>
            </w:pPr>
            <w:r/>
            <w:r>
              <w:rPr>
                <w:rFonts w:ascii="Times New Roman" w:hAnsi="Times New Roman" w:eastAsia="HY신명조"/>
                <w:b w:val="0"/>
                <w:sz w:val="19"/>
              </w:rPr>
              <w:t>10/20</w:t>
            </w:r>
          </w:p>
        </w:tc>
        <w:tc>
          <w:tcPr>
            <w:tcW w:type="dxa" w:w="1701"/>
          </w:tcPr>
          <w:p>
            <w:pPr>
              <w:spacing w:line="288" w:lineRule="auto" w:before="20" w:after="20"/>
              <w:jc w:val="left"/>
            </w:pPr>
            <w:r/>
            <w:r>
              <w:rPr>
                <w:rFonts w:ascii="Times New Roman" w:hAnsi="Times New Roman" w:eastAsia="HY신명조"/>
                <w:b w:val="0"/>
                <w:sz w:val="19"/>
              </w:rPr>
              <w:t>11/20</w:t>
            </w:r>
          </w:p>
        </w:tc>
      </w:tr>
    </w:tbl>
    <w:p>
      <w:pPr>
        <w:spacing w:line="312" w:lineRule="auto" w:before="0" w:after="0"/>
      </w:pPr>
      <w:r>
        <w:rPr>
          <w:rFonts w:ascii="Times New Roman" w:hAnsi="Times New Roman" w:eastAsia="HY신명조"/>
          <w:b w:val="0"/>
          <w:sz w:val="19"/>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That is, no incremental collision reduction from the explicit speed cap was detected in this sample (this is the statement that "no additionally prevented collisions were observed," not a claim of equivalence — the sample-size limitation of n=20 is discussed in Chapter 6, Section 3).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w:t>
      </w:r>
    </w:p>
    <w:p>
      <w:pPr>
        <w:keepNext/>
        <w:spacing w:line="360" w:lineRule="auto" w:before="0" w:after="0"/>
      </w:pPr>
      <w:r>
        <w:rPr>
          <w:rFonts w:ascii="Times New Roman" w:hAnsi="Times New Roman" w:eastAsia="HY신명조"/>
          <w:b w:val="0"/>
          <w:sz w:val="22"/>
        </w:rPr>
        <w:t>Table 5-6. 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Metric</w:t>
            </w:r>
          </w:p>
        </w:tc>
        <w:tc>
          <w:tcPr>
            <w:tcW w:type="dxa" w:w="2126"/>
          </w:tcPr>
          <w:p>
            <w:pPr>
              <w:keepNext/>
              <w:spacing w:line="288" w:lineRule="auto" w:before="20" w:after="20"/>
              <w:jc w:val="center"/>
            </w:pPr>
            <w:r/>
            <w:r>
              <w:rPr>
                <w:rFonts w:ascii="Times New Roman" w:hAnsi="Times New Roman" w:eastAsia="HY신명조"/>
                <w:b/>
                <w:sz w:val="19"/>
              </w:rPr>
              <w:t>A1 stock</w:t>
            </w:r>
          </w:p>
        </w:tc>
        <w:tc>
          <w:tcPr>
            <w:tcW w:type="dxa" w:w="2126"/>
          </w:tcPr>
          <w:p>
            <w:pPr>
              <w:keepNext/>
              <w:spacing w:line="288" w:lineRule="auto" w:before="20" w:after="20"/>
              <w:jc w:val="center"/>
            </w:pPr>
            <w:r/>
            <w:r>
              <w:rPr>
                <w:rFonts w:ascii="Times New Roman" w:hAnsi="Times New Roman" w:eastAsia="HY신명조"/>
                <w:b/>
                <w:sz w:val="19"/>
              </w:rPr>
              <w:t>A2 stop</w:t>
            </w:r>
          </w:p>
        </w:tc>
        <w:tc>
          <w:tcPr>
            <w:tcW w:type="dxa" w:w="2126"/>
          </w:tcPr>
          <w:p>
            <w:pPr>
              <w:keepNext/>
              <w:spacing w:line="288" w:lineRule="auto" w:before="20" w:after="20"/>
              <w:jc w:val="center"/>
            </w:pPr>
            <w:r/>
            <w:r>
              <w:rPr>
                <w:rFonts w:ascii="Times New Roman" w:hAnsi="Times New Roman" w:eastAsia="HY신명조"/>
                <w:b/>
                <w:sz w:val="19"/>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9"/>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9"/>
              </w:rPr>
              <w:t>50.0 m</w:t>
            </w:r>
          </w:p>
        </w:tc>
        <w:tc>
          <w:tcPr>
            <w:tcW w:type="dxa" w:w="2126"/>
          </w:tcPr>
          <w:p>
            <w:pPr>
              <w:keepNext/>
              <w:spacing w:line="288" w:lineRule="auto" w:before="20" w:after="20"/>
              <w:jc w:val="left"/>
            </w:pPr>
            <w:r/>
            <w:r>
              <w:rPr>
                <w:rFonts w:ascii="Times New Roman" w:hAnsi="Times New Roman" w:eastAsia="HY신명조"/>
                <w:b w:val="0"/>
                <w:sz w:val="19"/>
              </w:rPr>
              <w:t>0.0 m</w:t>
            </w:r>
          </w:p>
        </w:tc>
        <w:tc>
          <w:tcPr>
            <w:tcW w:type="dxa" w:w="2126"/>
          </w:tcPr>
          <w:p>
            <w:pPr>
              <w:keepNext/>
              <w:spacing w:line="288" w:lineRule="auto" w:before="20" w:after="20"/>
              <w:jc w:val="left"/>
            </w:pPr>
            <w:r/>
            <w:r>
              <w:rPr>
                <w:rFonts w:ascii="Times New Roman" w:hAnsi="Times New Roman" w:eastAsia="HY신명조"/>
                <w:b w:val="0"/>
                <w:sz w:val="19"/>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① Collision — clearance failure</w:t>
            </w:r>
          </w:p>
          <w:p>
            <w:pPr>
              <w:keepNext/>
              <w:spacing w:line="288" w:lineRule="auto" w:before="20" w:after="20"/>
              <w:jc w:val="left"/>
            </w:pPr>
            <w:r>
              <w:rPr>
                <w:rFonts w:ascii="Times New Roman" w:hAnsi="Times New Roman" w:eastAsia="HY신명조"/>
                <w:b w:val="0"/>
                <w:sz w:val="19"/>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7 cases</w:t>
            </w:r>
          </w:p>
          <w:p>
            <w:pPr>
              <w:keepNext/>
              <w:spacing w:line="288" w:lineRule="auto" w:before="20" w:after="20"/>
              <w:jc w:val="left"/>
            </w:pPr>
            <w:r>
              <w:rPr>
                <w:rFonts w:ascii="Times New Roman" w:hAnsi="Times New Roman" w:eastAsia="HY신명조"/>
                <w:b w:val="0"/>
                <w:sz w:val="19"/>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② No collision, departure</w:t>
            </w:r>
          </w:p>
          <w:p>
            <w:pPr>
              <w:keepNext/>
              <w:spacing w:line="288" w:lineRule="auto" w:before="20" w:after="20"/>
              <w:jc w:val="left"/>
            </w:pPr>
            <w:r>
              <w:rPr>
                <w:rFonts w:ascii="Times New Roman" w:hAnsi="Times New Roman" w:eastAsia="HY신명조"/>
                <w:b w:val="0"/>
                <w:sz w:val="19"/>
              </w:rPr>
              <w:t>observed within horizon</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6 cases</w:t>
            </w:r>
          </w:p>
          <w:p>
            <w:pPr>
              <w:keepNext/>
              <w:spacing w:line="288" w:lineRule="auto" w:before="20" w:after="20"/>
              <w:jc w:val="left"/>
            </w:pPr>
            <w:r>
              <w:rPr>
                <w:rFonts w:ascii="Times New Roman" w:hAnsi="Times New Roman" w:eastAsia="HY신명조"/>
                <w:b w:val="0"/>
                <w:sz w:val="19"/>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9"/>
              </w:rPr>
              <w:t>T_lat-clear ③ No collision, no departure within horizon</w:t>
            </w:r>
          </w:p>
          <w:p>
            <w:pPr>
              <w:spacing w:line="288" w:lineRule="auto" w:before="20" w:after="20"/>
              <w:jc w:val="left"/>
            </w:pPr>
            <w:r>
              <w:rPr>
                <w:rFonts w:ascii="Times New Roman" w:hAnsi="Times New Roman" w:eastAsia="HY신명조"/>
                <w:b w:val="0"/>
                <w:sz w:val="19"/>
              </w:rPr>
              <w:t>(right-censored)</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7 cases</w:t>
            </w:r>
          </w:p>
        </w:tc>
      </w:tr>
    </w:tbl>
    <w:p>
      <w:pPr>
        <w:spacing w:line="312" w:lineRule="auto" w:before="0" w:after="0"/>
      </w:pPr>
      <w:r>
        <w:rPr>
          <w:rFonts w:ascii="Times New Roman" w:hAnsi="Times New Roman" w:eastAsia="HY신명조"/>
          <w:b w:val="0"/>
          <w:sz w:val="19"/>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60" w:lineRule="auto" w:before="0" w:after="0"/>
      </w:pPr>
      <w:r>
        <w:rPr>
          <w:rFonts w:ascii="Times New Roman" w:hAnsi="Times New Roman" w:eastAsia="HY신명조"/>
          <w:b w:val="0"/>
          <w:sz w:val="22"/>
        </w:rPr>
        <w:t>Figure 5-4. Kaplan–Meier curve of lane clearance for no-collision evacuation cases (first-round ablation sample,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capped evacuation policy (A4-type) by time regime yields a sharp contrast (Figure 5-5): launches in the detection+3 s transient (deceleration incomplete) collided in 11/20, whereas launches in settled cruise with deceleration complete (3.0 m/s restart cruise, 8 m encounter re-experiment)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60" w:lineRule="auto" w:before="0" w:after="0"/>
      </w:pPr>
      <w:r>
        <w:rPr>
          <w:rFonts w:ascii="Times New Roman" w:hAnsi="Times New Roman" w:eastAsia="HY신명조"/>
          <w:b w:val="0"/>
          <w:sz w:val="22"/>
        </w:rPr>
        <w:t>Figure 5-5. Ablation results (ledger verdicts, pooled n = 20). (a) Collision/avoidance decomposition of the four arms — launched in the detection + 3 s transient. (b) The same capped (3.0 m/s) evacuation policy in two regimes — 11/20 in the transient versus 0/8 in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settled cruise at the capped speed of 3.0 m/s, the boundary was measured empirically by lowering the spawn distance (Table 5-7). At 8 m the outcome was 8/8 avoidance (Section 6), while 7, 6, and 5 m each collided in 2/2, so the avoidance/collision boundary at 3.0 m/s lies in the 7~8 m interval. Compared with the 8~11 m boundary at 4.2 m/s, the measurements confirm that the speed cap moved the boundary inward. Two points are stated explicitly, however. First, the launch protocols differ — the 4.2 ladder launches into the path of normal driving, whereas the 3.0 ladder launches during restart cruise, and the axis of comparison is the encounter speed of an "encounter during constant-speed cruise." Second,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the speed cap physically narrows the range of "unavoidable dart-outs," and its effect and its limit (the transient) are consistently explained by stopping-distance physics.</w:t>
      </w:r>
    </w:p>
    <w:p>
      <w:pPr>
        <w:keepNext/>
        <w:spacing w:line="360" w:lineRule="auto" w:before="0" w:after="0"/>
      </w:pPr>
      <w:r>
        <w:rPr>
          <w:rFonts w:ascii="Times New Roman" w:hAnsi="Times New Roman" w:eastAsia="HY신명조"/>
          <w:b w:val="0"/>
          <w:sz w:val="22"/>
        </w:rPr>
        <w:t>Table 5-7. 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Spawn distance</w:t>
            </w:r>
          </w:p>
        </w:tc>
        <w:tc>
          <w:tcPr>
            <w:tcW w:type="dxa" w:w="4252"/>
          </w:tcPr>
          <w:p>
            <w:pPr>
              <w:keepNext/>
              <w:spacing w:line="288" w:lineRule="auto" w:before="20" w:after="20"/>
              <w:jc w:val="center"/>
            </w:pPr>
            <w:r/>
            <w:r>
              <w:rPr>
                <w:rFonts w:ascii="Times New Roman" w:hAnsi="Times New Roman" w:eastAsia="HY신명조"/>
                <w:b/>
                <w:sz w:val="19"/>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9"/>
              </w:rPr>
              <w:t>8 m</w:t>
            </w:r>
          </w:p>
        </w:tc>
        <w:tc>
          <w:tcPr>
            <w:tcW w:type="dxa" w:w="4252"/>
          </w:tcPr>
          <w:p>
            <w:pPr>
              <w:keepNext/>
              <w:spacing w:line="288" w:lineRule="auto" w:before="20" w:after="20"/>
              <w:jc w:val="left"/>
            </w:pPr>
            <w:r/>
            <w:r>
              <w:rPr>
                <w:rFonts w:ascii="Times New Roman" w:hAnsi="Times New Roman" w:eastAsia="HY신명조"/>
                <w:b w:val="0"/>
                <w:sz w:val="19"/>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9"/>
              </w:rPr>
              <w:t>7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9"/>
              </w:rPr>
              <w:t>6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9"/>
              </w:rPr>
              <w:t>5 m</w:t>
            </w:r>
          </w:p>
        </w:tc>
        <w:tc>
          <w:tcPr>
            <w:tcW w:type="dxa" w:w="4252"/>
          </w:tcPr>
          <w:p>
            <w:pPr>
              <w:spacing w:line="288" w:lineRule="auto" w:before="20" w:after="20"/>
              <w:jc w:val="left"/>
            </w:pPr>
            <w:r/>
            <w:r>
              <w:rPr>
                <w:rFonts w:ascii="Times New Roman" w:hAnsi="Times New Roman" w:eastAsia="HY신명조"/>
                <w:b w:val="0"/>
                <w:sz w:val="19"/>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specification.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cases each, same structure as the main campaign) (Table 5-8,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60" w:lineRule="auto" w:before="0" w:after="0"/>
      </w:pPr>
      <w:r>
        <w:rPr>
          <w:rFonts w:ascii="Times New Roman" w:hAnsi="Times New Roman" w:eastAsia="HY신명조"/>
          <w:b w:val="0"/>
          <w:sz w:val="22"/>
        </w:rPr>
        <w:t>Table 5-8. 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9"/>
              </w:rPr>
              <w:t>Subtype</w:t>
            </w:r>
          </w:p>
        </w:tc>
        <w:tc>
          <w:tcPr>
            <w:tcW w:type="dxa" w:w="1215"/>
          </w:tcPr>
          <w:p>
            <w:pPr>
              <w:keepNext/>
              <w:spacing w:line="288" w:lineRule="auto" w:before="20" w:after="20"/>
              <w:jc w:val="center"/>
            </w:pPr>
            <w:r/>
            <w:r>
              <w:rPr>
                <w:rFonts w:ascii="Times New Roman" w:hAnsi="Times New Roman" w:eastAsia="HY신명조"/>
                <w:b/>
                <w:sz w:val="19"/>
              </w:rPr>
              <w:t>n</w:t>
            </w:r>
          </w:p>
        </w:tc>
        <w:tc>
          <w:tcPr>
            <w:tcW w:type="dxa" w:w="1215"/>
          </w:tcPr>
          <w:p>
            <w:pPr>
              <w:keepNext/>
              <w:spacing w:line="288" w:lineRule="auto" w:before="20" w:after="20"/>
              <w:jc w:val="center"/>
            </w:pPr>
            <w:r/>
            <w:r>
              <w:rPr>
                <w:rFonts w:ascii="Times New Roman" w:hAnsi="Times New Roman" w:eastAsia="HY신명조"/>
                <w:b/>
                <w:sz w:val="19"/>
              </w:rPr>
              <w:t>Median [s]</w:t>
            </w:r>
          </w:p>
        </w:tc>
        <w:tc>
          <w:tcPr>
            <w:tcW w:type="dxa" w:w="1215"/>
          </w:tcPr>
          <w:p>
            <w:pPr>
              <w:keepNext/>
              <w:spacing w:line="288" w:lineRule="auto" w:before="20" w:after="20"/>
              <w:jc w:val="center"/>
            </w:pPr>
            <w:r/>
            <w:r>
              <w:rPr>
                <w:rFonts w:ascii="Times New Roman" w:hAnsi="Times New Roman" w:eastAsia="HY신명조"/>
                <w:b/>
                <w:sz w:val="19"/>
              </w:rPr>
              <w:t>P95 [s]</w:t>
            </w:r>
          </w:p>
        </w:tc>
        <w:tc>
          <w:tcPr>
            <w:tcW w:type="dxa" w:w="1215"/>
          </w:tcPr>
          <w:p>
            <w:pPr>
              <w:keepNext/>
              <w:spacing w:line="288" w:lineRule="auto" w:before="20" w:after="20"/>
              <w:jc w:val="center"/>
            </w:pPr>
            <w:r/>
            <w:r>
              <w:rPr>
                <w:rFonts w:ascii="Times New Roman" w:hAnsi="Times New Roman" w:eastAsia="HY신명조"/>
                <w:b/>
                <w:sz w:val="19"/>
              </w:rPr>
              <w:t>Max [s]</w:t>
            </w:r>
          </w:p>
        </w:tc>
        <w:tc>
          <w:tcPr>
            <w:tcW w:type="dxa" w:w="1215"/>
          </w:tcPr>
          <w:p>
            <w:pPr>
              <w:keepNext/>
              <w:spacing w:line="288" w:lineRule="auto" w:before="20" w:after="20"/>
              <w:jc w:val="center"/>
            </w:pPr>
            <w:r/>
            <w:r>
              <w:rPr>
                <w:rFonts w:ascii="Times New Roman" w:hAnsi="Times New Roman" w:eastAsia="HY신명조"/>
                <w:b/>
                <w:sz w:val="19"/>
              </w:rPr>
              <w:t>&gt;1.5 s</w:t>
            </w:r>
          </w:p>
        </w:tc>
        <w:tc>
          <w:tcPr>
            <w:tcW w:type="dxa" w:w="1215"/>
          </w:tcPr>
          <w:p>
            <w:pPr>
              <w:keepNext/>
              <w:spacing w:line="288" w:lineRule="auto" w:before="20" w:after="20"/>
              <w:jc w:val="center"/>
            </w:pPr>
            <w:r/>
            <w:r>
              <w:rPr>
                <w:rFonts w:ascii="Times New Roman" w:hAnsi="Times New Roman" w:eastAsia="HY신명조"/>
                <w:b/>
                <w:sz w:val="19"/>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cf-proposed</w:t>
            </w:r>
          </w:p>
        </w:tc>
        <w:tc>
          <w:tcPr>
            <w:tcW w:type="dxa" w:w="1215"/>
          </w:tcPr>
          <w:p>
            <w:pPr>
              <w:keepNext/>
              <w:spacing w:line="288" w:lineRule="auto" w:before="20" w:after="20"/>
              <w:jc w:val="left"/>
            </w:pPr>
            <w:r/>
            <w:r>
              <w:rPr>
                <w:rFonts w:ascii="Times New Roman" w:hAnsi="Times New Roman" w:eastAsia="HY신명조"/>
                <w:b w:val="0"/>
                <w:sz w:val="19"/>
              </w:rPr>
              <w:t>38</w:t>
            </w:r>
          </w:p>
        </w:tc>
        <w:tc>
          <w:tcPr>
            <w:tcW w:type="dxa" w:w="1215"/>
          </w:tcPr>
          <w:p>
            <w:pPr>
              <w:keepNext/>
              <w:spacing w:line="288" w:lineRule="auto" w:before="20" w:after="20"/>
              <w:jc w:val="left"/>
            </w:pPr>
            <w:r/>
            <w:r>
              <w:rPr>
                <w:rFonts w:ascii="Times New Roman" w:hAnsi="Times New Roman" w:eastAsia="HY신명조"/>
                <w:b w:val="0"/>
                <w:sz w:val="19"/>
              </w:rPr>
              <w:t>0.98</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cf-baseline</w:t>
            </w:r>
          </w:p>
        </w:tc>
        <w:tc>
          <w:tcPr>
            <w:tcW w:type="dxa" w:w="1215"/>
          </w:tcPr>
          <w:p>
            <w:pPr>
              <w:keepNext/>
              <w:spacing w:line="288" w:lineRule="auto" w:before="20" w:after="20"/>
              <w:jc w:val="left"/>
            </w:pPr>
            <w:r/>
            <w:r>
              <w:rPr>
                <w:rFonts w:ascii="Times New Roman" w:hAnsi="Times New Roman" w:eastAsia="HY신명조"/>
                <w:b w:val="0"/>
                <w:sz w:val="19"/>
              </w:rPr>
              <w:t>40</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lf-proposed</w:t>
            </w:r>
          </w:p>
        </w:tc>
        <w:tc>
          <w:tcPr>
            <w:tcW w:type="dxa" w:w="1215"/>
          </w:tcPr>
          <w:p>
            <w:pPr>
              <w:keepNext/>
              <w:spacing w:line="288" w:lineRule="auto" w:before="20" w:after="20"/>
              <w:jc w:val="left"/>
            </w:pPr>
            <w:r/>
            <w:r>
              <w:rPr>
                <w:rFonts w:ascii="Times New Roman" w:hAnsi="Times New Roman" w:eastAsia="HY신명조"/>
                <w:b w:val="0"/>
                <w:sz w:val="19"/>
              </w:rPr>
              <w:t>41</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1.15</w:t>
            </w:r>
          </w:p>
        </w:tc>
        <w:tc>
          <w:tcPr>
            <w:tcW w:type="dxa" w:w="1215"/>
          </w:tcPr>
          <w:p>
            <w:pPr>
              <w:keepNext/>
              <w:spacing w:line="288" w:lineRule="auto" w:before="20" w:after="20"/>
              <w:jc w:val="left"/>
            </w:pPr>
            <w:r/>
            <w:r>
              <w:rPr>
                <w:rFonts w:ascii="Times New Roman" w:hAnsi="Times New Roman" w:eastAsia="HY신명조"/>
                <w:b w:val="0"/>
                <w:sz w:val="19"/>
              </w:rPr>
              <w:t>1.20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33/33</w:t>
            </w:r>
          </w:p>
        </w:tc>
      </w:tr>
      <w:tr>
        <w:trPr>
          <w:cantSplit/>
        </w:trPr>
        <w:tc>
          <w:tcPr>
            <w:tcW w:type="dxa" w:w="1215"/>
          </w:tcPr>
          <w:p>
            <w:pPr>
              <w:spacing w:line="288" w:lineRule="auto" w:before="20" w:after="20"/>
              <w:jc w:val="left"/>
            </w:pPr>
            <w:r/>
            <w:r>
              <w:rPr>
                <w:rFonts w:ascii="Times New Roman" w:hAnsi="Times New Roman" w:eastAsia="HY신명조"/>
                <w:b w:val="0"/>
                <w:sz w:val="19"/>
              </w:rPr>
              <w:t>lf-baseline</w:t>
            </w:r>
          </w:p>
        </w:tc>
        <w:tc>
          <w:tcPr>
            <w:tcW w:type="dxa" w:w="1215"/>
          </w:tcPr>
          <w:p>
            <w:pPr>
              <w:spacing w:line="288" w:lineRule="auto" w:before="20" w:after="20"/>
              <w:jc w:val="left"/>
            </w:pPr>
            <w:r/>
            <w:r>
              <w:rPr>
                <w:rFonts w:ascii="Times New Roman" w:hAnsi="Times New Roman" w:eastAsia="HY신명조"/>
                <w:b w:val="0"/>
                <w:sz w:val="19"/>
              </w:rPr>
              <w:t>40</w:t>
            </w:r>
          </w:p>
        </w:tc>
        <w:tc>
          <w:tcPr>
            <w:tcW w:type="dxa" w:w="1215"/>
          </w:tcPr>
          <w:p>
            <w:pPr>
              <w:spacing w:line="288" w:lineRule="auto" w:before="20" w:after="20"/>
              <w:jc w:val="left"/>
            </w:pPr>
            <w:r/>
            <w:r>
              <w:rPr>
                <w:rFonts w:ascii="Times New Roman" w:hAnsi="Times New Roman" w:eastAsia="HY신명조"/>
                <w:b w:val="0"/>
                <w:sz w:val="19"/>
              </w:rPr>
              <w:t>1.00</w:t>
            </w:r>
          </w:p>
        </w:tc>
        <w:tc>
          <w:tcPr>
            <w:tcW w:type="dxa" w:w="1215"/>
          </w:tcPr>
          <w:p>
            <w:pPr>
              <w:spacing w:line="288" w:lineRule="auto" w:before="20" w:after="20"/>
              <w:jc w:val="left"/>
            </w:pPr>
            <w:r/>
            <w:r>
              <w:rPr>
                <w:rFonts w:ascii="Times New Roman" w:hAnsi="Times New Roman" w:eastAsia="HY신명조"/>
                <w:b w:val="0"/>
                <w:sz w:val="19"/>
              </w:rPr>
              <w:t>1.15</w:t>
            </w:r>
          </w:p>
        </w:tc>
        <w:tc>
          <w:tcPr>
            <w:tcW w:type="dxa" w:w="1215"/>
          </w:tcPr>
          <w:p>
            <w:pPr>
              <w:spacing w:line="288" w:lineRule="auto" w:before="20" w:after="20"/>
              <w:jc w:val="left"/>
            </w:pPr>
            <w:r/>
            <w:r>
              <w:rPr>
                <w:rFonts w:ascii="Times New Roman" w:hAnsi="Times New Roman" w:eastAsia="HY신명조"/>
                <w:b w:val="0"/>
                <w:sz w:val="19"/>
              </w:rPr>
              <w:t>1.20</w:t>
            </w:r>
          </w:p>
        </w:tc>
        <w:tc>
          <w:tcPr>
            <w:tcW w:type="dxa" w:w="1215"/>
          </w:tcPr>
          <w:p>
            <w:pPr>
              <w:spacing w:line="288" w:lineRule="auto" w:before="20" w:after="20"/>
              <w:jc w:val="left"/>
            </w:pPr>
            <w:r/>
            <w:r>
              <w:rPr>
                <w:rFonts w:ascii="Times New Roman" w:hAnsi="Times New Roman" w:eastAsia="HY신명조"/>
                <w:b w:val="0"/>
                <w:sz w:val="19"/>
              </w:rPr>
              <w:t>0 cases</w:t>
            </w:r>
          </w:p>
        </w:tc>
        <w:tc>
          <w:tcPr>
            <w:tcW w:type="dxa" w:w="1215"/>
          </w:tcPr>
          <w:p>
            <w:pPr>
              <w:spacing w:line="288" w:lineRule="auto" w:before="20" w:after="20"/>
              <w:jc w:val="left"/>
            </w:pPr>
            <w:r/>
            <w:r>
              <w:rPr>
                <w:rFonts w:ascii="Times New Roman" w:hAnsi="Times New Roman" w:eastAsia="HY신명조"/>
                <w:b w:val="0"/>
                <w:sz w:val="19"/>
              </w:rPr>
              <w:t>35/35</w:t>
            </w:r>
          </w:p>
        </w:tc>
      </w:tr>
    </w:tbl>
    <w:p>
      <w:pPr>
        <w:spacing w:line="312" w:lineRule="auto" w:before="0" w:after="0"/>
      </w:pPr>
      <w:r>
        <w:rPr>
          <w:rFonts w:ascii="Times New Roman" w:hAnsi="Times New Roman" w:eastAsia="HY신명조"/>
          <w:b w:val="0"/>
          <w:sz w:val="19"/>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 safer final position.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to shrink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and the Undetected Increment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collision-reduction increment of the explicit speed cap (A4) was not detected in this sample (p=1.0, Chapter 5, Section 5). This must not be read as evidence of equivalence — the discreteness of the small-sample exact McNemar test was stated in Chapter 4, Section 8 (even at pooled n=20, 4:1, p=0.375). The observed mechanism redefines the cap's role: evacuation maneuvers slow down naturally, so in a normal evacuation the cap is rarely binding, and the cap's value lies in an explicit upper bound that suppresses re-acceleration without depending on natural deceleration. This is not a formal guarantee on closed-loop speed (measured transient encounter speeds 3.5–3.8 m/s); the settled-cruise 0/8 and the boundary shift (8–11 → 7–8 m) are the empirical measurements of that physical margin. The cap value of 3.0 m/s is grounded but makes no claim of optimality.</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human visual inspection, and explicit statement of the pitfalls of termination labels and official infractions.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metric (1.25 m) is a lateral-approach criterion and may be an overestimate for longitudinal approaches. (vi) A discrepancy exists between the commanded pedestrian speed (3.0 m/s) and the measured speed immediately after spawn (1.1–1.3 m/s); in the ablation study this was controlled by fixing the commanded speed per seed, and measured speeds were recorded via physics-tick logs.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formalization of the FRTI and margin explicitly reserved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and median detection latencies of 2.1–5.0 s in 11 of the 12 fault conditions, with no false activations in the 45 fault-free cases; monitoring shortened faulted-state exposure from 238–275 m without monitoring to 32–58 m for the camera and navigation families,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and 7–8 m at 3.0 m/s, consistent with the stopping-distance model; in a same-seed four-arm ablation (n=20 per arm), detection+stop collided in 0/20, evacuation in 10–11/20 (all during the transient), and the stock stack under continued driving in 14/20, while the same evacuation policy under settled cruise showed 0/8 collisions. Hard fail (signal loss) is detected and adjudicated within a 1.5 s deadline via a fast decision path that distinguishes the nature of the evidence (measured maximum 1.20 s across the full matrix, Chapter 5, Section 8).</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(transient 11/20 vs. settled 0/8)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FTTI is presented. Third, simulation-based safety claims hold only on top of a validated adjudication framework — the triple adjudication of real-time ledger, physics oracle, and visual cross-check,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visual cross-check)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행동트리 기반 센서 건강도 감시와 위험· 잔여능력 기반 최소위험기동 감독을 통한</w:t>
      </w:r>
    </w:p>
    <w:p>
      <w:pPr>
        <w:spacing w:line="360" w:lineRule="auto" w:before="0" w:after="0"/>
        <w:jc w:val="center"/>
      </w:pPr>
      <w:r>
        <w:rPr>
          <w:rFonts w:ascii="Times New Roman" w:hAnsi="Times New Roman" w:eastAsia="HY신명조"/>
          <w:b/>
          <w:sz w:val="32"/>
        </w:rPr>
        <w:t>자율주행 시스템의 단계적 고장 대응</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A1↔A4 p=0.375).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Times New Roman" w:hAnsi="Times New Roman" w:eastAsia="HY신명조"/>
          <w:b/>
          <w:sz w:val="22"/>
        </w:rPr>
        <w:t>주제어 : 자율주행, 기능안전, 최소위험기동(MRM), FTTI, 센서 고장 감지, 행동트리</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