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2</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4</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9</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8. 하드 페일 판정 지연: 1.5 s 마감 검증</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9</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하드 페일 감지·판정 지연(시뮬레이션 시간, 원장 기준)과 1.5 s 마감 준수</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17</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16개소(원), 주차장 후보(사각·다각형), 신호 교차로(삼각) 및 기준 경로(파선)</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그림 4-2. 대표 실행 화면(실제 실행 캡처): (a) Town07 주행, (b) RViz 인식, (c) 후보 주석 벡터맵, (d) 갓길 대피 MRC 도달, (e) 주차장 대피 상공 뷰, (f) 보행자 돌발 조우(제4장 4절).</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그림 4-3.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4-4. 보행자 돌발 조우 주입 구조</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5-3. 고장 유형별 고장 상태 주행 노출(평균)</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그림 5-6. 무충돌 대피 케이스의 차선 반환 Kaplan–Meier 곡선 (절제 1차 표본, 조건부 n=13)</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그림 5-7. 하드 페일 감지·판정 지연 분포 (아종별, 시뮬레이션 시간·원장 기준)</w:t>
      </w:r>
      <w:r>
        <w:rPr>
          <w:rFonts w:ascii="HY신명조" w:hAnsi="HY신명조" w:eastAsia="HY신명조"/>
          <w:b w:val="0"/>
          <w:sz w:val="22"/>
        </w:rPr>
        <w:tab/>
        <w:t>54</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A1↔A4 p=0.375).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즉각적이지만, 정차 차량은 후속 교통을 차단하고 2차 충돌 기회를 만들며 그 비용이 차로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FTTI 단축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정차)까지만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구현하고(FDTI·FRTI·안전 여유 분해 프레임 포함, 제3장 4절), 감지 후 과도구간에 대피형 MRM의 잔존 위험이 집중됨을 조우 수준에서 실측하여(제5장 5~6절) FTTI 단축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cn·cf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rPr>
          <w:cantSplit/>
        </w:trP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 열화 모델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센서고장 전제형 MRM (Xue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780000" cy="1932556"/>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3780000" cy="1932556"/>
                    </a:xfrm>
                    <a:prstGeom prst="rect"/>
                  </pic:spPr>
                </pic:pic>
              </a:graphicData>
            </a:graphic>
          </wp:inline>
        </w:drawing>
      </w:r>
    </w:p>
    <w:p>
      <w:pPr>
        <w:keepLines/>
        <w:spacing w:line="360" w:lineRule="auto" w:before="0" w:after="0"/>
      </w:pPr>
      <w:r>
        <w:rPr>
          <w:rFonts w:ascii="HY신명조" w:hAnsi="HY신명조" w:eastAsia="HY신명조"/>
          <w:b w:val="0"/>
          <w:sz w:val="22"/>
        </w:rPr>
        <w:t>그림 3-1. 제안 시스템의 구조. 감시 모듈(cdr_monitor)이 센서별 신선도·품질·물리 채널을 점수화해 발행하면, 감독자(mrm_supervisor)가 상태기계와 비용함수로 대응을 선택해 속도 상한과 함께 Autoware 실행 계층에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τ_fresh와 min(·, TTC_cons)는 식 (3-1)의 신선도 감쇠 시간상수이며,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3960000" cy="2113748"/>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3960000" cy="2113748"/>
                    </a:xfrm>
                    <a:prstGeom prst="rect"/>
                  </pic:spPr>
                </pic:pic>
              </a:graphicData>
            </a:graphic>
          </wp:inline>
        </w:drawing>
      </w:r>
    </w:p>
    <w:p>
      <w:pPr>
        <w:keepLines/>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상태기계(그림 3-3)는 건강도 점수의 이중 임계(상단 0.7, 하단 0.3)로 전이한다: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w:t>
      </w:r>
    </w:p>
    <w:p>
      <w:pPr>
        <w:keepNext/>
        <w:spacing w:line="240" w:lineRule="auto"/>
        <w:jc w:val="center"/>
      </w:pPr>
      <w:r>
        <w:drawing>
          <wp:inline xmlns:a="http://schemas.openxmlformats.org/drawingml/2006/main" xmlns:pic="http://schemas.openxmlformats.org/drawingml/2006/picture">
            <wp:extent cx="3600000" cy="1692715"/>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3600000" cy="1692715"/>
                    </a:xfrm>
                    <a:prstGeom prst="rect"/>
                  </pic:spPr>
                </pic:pic>
              </a:graphicData>
            </a:graphic>
          </wp:inline>
        </w:drawing>
      </w:r>
    </w:p>
    <w:p>
      <w:pPr>
        <w:keepLines/>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8절 실측).</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420000" cy="2966952"/>
            <wp:docPr id="4" name="Picture 4"/>
            <wp:cNvGraphicFramePr>
              <a:graphicFrameLocks noChangeAspect="1"/>
            </wp:cNvGraphicFramePr>
            <a:graphic>
              <a:graphicData uri="http://schemas.openxmlformats.org/drawingml/2006/picture">
                <pic:pic>
                  <pic:nvPicPr>
                    <pic:cNvPr id="0" name="fig_candidates_map.png"/>
                    <pic:cNvPicPr/>
                  </pic:nvPicPr>
                  <pic:blipFill>
                    <a:blip r:embed="rId18"/>
                    <a:stretch>
                      <a:fillRect/>
                    </a:stretch>
                  </pic:blipFill>
                  <pic:spPr>
                    <a:xfrm>
                      <a:off x="0" y="0"/>
                      <a:ext cx="3420000" cy="2966952"/>
                    </a:xfrm>
                    <a:prstGeom prst="rect"/>
                  </pic:spPr>
                </pic:pic>
              </a:graphicData>
            </a:graphic>
          </wp:inline>
        </w:drawing>
      </w:r>
    </w:p>
    <w:p>
      <w:pPr>
        <w:keepLines/>
        <w:spacing w:line="360" w:lineRule="auto" w:before="0" w:after="0"/>
      </w:pPr>
      <w:r>
        <w:rPr>
          <w:rFonts w:ascii="HY신명조" w:hAnsi="HY신명조" w:eastAsia="HY신명조"/>
          <w:b w:val="0"/>
          <w:sz w:val="22"/>
        </w:rPr>
        <w:t>그림 3-4. Town07 대피 후보 지도 — 벡터맵에서 추출한 갓길 후보 16개소(원), 주차장 후보(사각·다각형), 신호 교차로(삼각) 및 기준 경로(파선). 신호 교차로는 관측성 게이트의 대상이며, 후보의 경로 비용은 자체 도로망 그래프에서 산출한다.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절대값은 정밀 튜닝을 주장하지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보행자 인지부터 계획·제동 구동까지)이며, 거리 사다리의 실측 회피/충돌 경계(8~11 m)와 모델 계산값(8.8 m)의 일치로 검증된다(제5장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역산한 해석적 회복가능속도 v_max≈3.89 m/s를 하회하며 실측에서 준수가 확인되었다(건강도 비례 캡은 구현·미사용 — 표 4-4). 상한은 Autoware 속도 상한 후보 입력 토픽으로 전달한다 — 상한 출력 직접 발행 구현은 셀렉터와 경합해 재출발을 차단함을 실측 확인 후 수정했으며, 중재자(arbiter)의 입력측에 개입하라는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4-4).</w:t>
      </w:r>
    </w:p>
    <w:p>
      <w:pPr>
        <w:keepNext/>
        <w:spacing w:line="240" w:lineRule="auto"/>
        <w:jc w:val="center"/>
      </w:pPr>
      <w:r>
        <w:drawing>
          <wp:inline xmlns:a="http://schemas.openxmlformats.org/drawingml/2006/main" xmlns:pic="http://schemas.openxmlformats.org/drawingml/2006/picture">
            <wp:extent cx="3600000" cy="1993916"/>
            <wp:docPr id="5" name="Picture 5"/>
            <wp:cNvGraphicFramePr>
              <a:graphicFrameLocks noChangeAspect="1"/>
            </wp:cNvGraphicFramePr>
            <a:graphic>
              <a:graphicData uri="http://schemas.openxmlformats.org/drawingml/2006/picture">
                <pic:pic>
                  <pic:nvPicPr>
                    <pic:cNvPr id="0" name="fig_experiment_setup.png"/>
                    <pic:cNvPicPr/>
                  </pic:nvPicPr>
                  <pic:blipFill>
                    <a:blip r:embed="rId19"/>
                    <a:stretch>
                      <a:fillRect/>
                    </a:stretch>
                  </pic:blipFill>
                  <pic:spPr>
                    <a:xfrm>
                      <a:off x="0" y="0"/>
                      <a:ext cx="3600000" cy="1993916"/>
                    </a:xfrm>
                    <a:prstGeom prst="rect"/>
                  </pic:spPr>
                </pic:pic>
              </a:graphicData>
            </a:graphic>
          </wp:inline>
        </w:drawing>
      </w:r>
    </w:p>
    <w:p>
      <w:pPr>
        <w:keepLines/>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2048461"/>
            <wp:docPr id="6" name="Picture 6"/>
            <wp:cNvGraphicFramePr>
              <a:graphicFrameLocks noChangeAspect="1"/>
            </wp:cNvGraphicFramePr>
            <a:graphic>
              <a:graphicData uri="http://schemas.openxmlformats.org/drawingml/2006/picture">
                <pic:pic>
                  <pic:nvPicPr>
                    <pic:cNvPr id="0" name="fig_scene_panels.png"/>
                    <pic:cNvPicPr/>
                  </pic:nvPicPr>
                  <pic:blipFill>
                    <a:blip r:embed="rId20"/>
                    <a:stretch>
                      <a:fillRect/>
                    </a:stretch>
                  </pic:blipFill>
                  <pic:spPr>
                    <a:xfrm>
                      <a:off x="0" y="0"/>
                      <a:ext cx="4320000" cy="2048461"/>
                    </a:xfrm>
                    <a:prstGeom prst="rect"/>
                  </pic:spPr>
                </pic:pic>
              </a:graphicData>
            </a:graphic>
          </wp:inline>
        </w:drawing>
      </w:r>
    </w:p>
    <w:p>
      <w:pPr>
        <w:keepLines/>
        <w:spacing w:line="360" w:lineRule="auto" w:before="0" w:after="0"/>
      </w:pPr>
      <w:r>
        <w:rPr>
          <w:rFonts w:ascii="HY신명조" w:hAnsi="HY신명조" w:eastAsia="HY신명조"/>
          <w:b w:val="0"/>
          <w:sz w:val="22"/>
        </w:rPr>
        <w:t>그림 4-2. 대표 실행 화면(실제 실행 캡처): (a) Town07 주행, (b) RViz 인식, (c) 후보 주석 벡터맵, (d) 갓길 대피 MRC 도달, (e) 주차장 대피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gb</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imb</w:t>
            </w:r>
          </w:p>
        </w:tc>
        <w:tc>
          <w:tcPr>
            <w:tcW w:type="dxa" w:w="2126"/>
          </w:tcPr>
          <w:p>
            <w:pPr>
              <w:keepNext/>
              <w:spacing w:line="288" w:lineRule="auto" w:before="20" w:after="20"/>
              <w:jc w:val="left"/>
            </w:pPr>
            <w:r/>
            <w:r>
              <w:rPr>
                <w:rFonts w:ascii="HY신명조" w:hAnsi="HY신명조" w:eastAsia="HY신명조"/>
                <w:b w:val="0"/>
                <w:sz w:val="19"/>
              </w:rPr>
              <w:t>IMU 자이로 바이어스</w:t>
            </w:r>
          </w:p>
        </w:tc>
        <w:tc>
          <w:tcPr>
            <w:tcW w:type="dxa" w:w="2126"/>
          </w:tcPr>
          <w:p>
            <w:pPr>
              <w:keepNext/>
              <w:spacing w:line="288" w:lineRule="auto" w:before="20" w:after="20"/>
              <w:jc w:val="left"/>
            </w:pPr>
            <w:r/>
            <w:r>
              <w:rPr>
                <w:rFonts w:ascii="HY신명조" w:hAnsi="HY신명조" w:eastAsia="HY신명조"/>
                <w:b w:val="0"/>
                <w:sz w:val="19"/>
              </w:rPr>
              <w:t>계단형 고정 편향</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imd</w:t>
            </w:r>
          </w:p>
        </w:tc>
        <w:tc>
          <w:tcPr>
            <w:tcW w:type="dxa" w:w="2126"/>
          </w:tcPr>
          <w:p>
            <w:pPr>
              <w:keepNext/>
              <w:spacing w:line="288" w:lineRule="auto" w:before="20" w:after="20"/>
              <w:jc w:val="left"/>
            </w:pPr>
            <w:r/>
            <w:r>
              <w:rPr>
                <w:rFonts w:ascii="HY신명조" w:hAnsi="HY신명조" w:eastAsia="HY신명조"/>
                <w:b w:val="0"/>
                <w:sz w:val="19"/>
              </w:rPr>
              <w:t>IMU 바이어스 드리프트</w:t>
            </w:r>
          </w:p>
        </w:tc>
        <w:tc>
          <w:tcPr>
            <w:tcW w:type="dxa" w:w="2126"/>
          </w:tcPr>
          <w:p>
            <w:pPr>
              <w:keepNext/>
              <w:spacing w:line="288" w:lineRule="auto" w:before="20" w:after="20"/>
              <w:jc w:val="left"/>
            </w:pPr>
            <w:r/>
            <w:r>
              <w:rPr>
                <w:rFonts w:ascii="HY신명조" w:hAnsi="HY신명조" w:eastAsia="HY신명조"/>
                <w:b w:val="0"/>
                <w:sz w:val="19"/>
              </w:rPr>
              <w:t>시간 비례 램프</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spacing w:line="288" w:lineRule="auto" w:before="20" w:after="20"/>
              <w:jc w:val="left"/>
            </w:pPr>
            <w:r/>
            <w:r>
              <w:rPr>
                <w:rFonts w:ascii="HY신명조" w:hAnsi="HY신명조" w:eastAsia="HY신명조"/>
                <w:b w:val="0"/>
                <w:sz w:val="19"/>
              </w:rPr>
              <w:t>gf</w:t>
            </w:r>
          </w:p>
        </w:tc>
        <w:tc>
          <w:tcPr>
            <w:tcW w:type="dxa" w:w="2126"/>
          </w:tcPr>
          <w:p>
            <w:pPr>
              <w:spacing w:line="288" w:lineRule="auto" w:before="20" w:after="20"/>
              <w:jc w:val="left"/>
            </w:pPr>
            <w:r/>
            <w:r>
              <w:rPr>
                <w:rFonts w:ascii="HY신명조" w:hAnsi="HY신명조" w:eastAsia="HY신명조"/>
                <w:b w:val="0"/>
                <w:sz w:val="19"/>
              </w:rPr>
              <w:t>GNSS 두절</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312" w:lineRule="auto" w:before="0" w:after="0"/>
      </w:pPr>
      <w:r>
        <w:rPr>
          <w:rFonts w:ascii="HY신명조" w:hAnsi="HY신명조" w:eastAsia="HY신명조"/>
          <w:b w:val="0"/>
          <w:sz w:val="19"/>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5561596"/>
            <wp:docPr id="7" name="Picture 7"/>
            <wp:cNvGraphicFramePr>
              <a:graphicFrameLocks noChangeAspect="1"/>
            </wp:cNvGraphicFramePr>
            <a:graphic>
              <a:graphicData uri="http://schemas.openxmlformats.org/drawingml/2006/picture">
                <pic:pic>
                  <pic:nvPicPr>
                    <pic:cNvPr id="0" name="fig_sensor_fault_effects.png"/>
                    <pic:cNvPicPr/>
                  </pic:nvPicPr>
                  <pic:blipFill>
                    <a:blip r:embed="rId21"/>
                    <a:stretch>
                      <a:fillRect/>
                    </a:stretch>
                  </pic:blipFill>
                  <pic:spPr>
                    <a:xfrm>
                      <a:off x="0" y="0"/>
                      <a:ext cx="4140000" cy="5561596"/>
                    </a:xfrm>
                    <a:prstGeom prst="rect"/>
                  </pic:spPr>
                </pic:pic>
              </a:graphicData>
            </a:graphic>
          </wp:inline>
        </w:drawing>
      </w:r>
    </w:p>
    <w:p>
      <w:pPr>
        <w:keepLines/>
        <w:spacing w:line="360" w:lineRule="auto" w:before="0" w:after="0"/>
      </w:pPr>
      <w:r>
        <w:rPr>
          <w:rFonts w:ascii="HY신명조" w:hAnsi="HY신명조" w:eastAsia="HY신명조"/>
          <w:b w:val="0"/>
          <w:sz w:val="22"/>
        </w:rPr>
        <w:t>그림 4-3. 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항법 고장 파형 — 백색 노이즈(gn)·상관 편향(gb)·바이어스 램프(imd)의 시간 구조. 전 패널의 파라미터는 표 4-2의 mid/high 원값이다.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스폰은 보도가 아닌 주행 차선 우측 끝(+0.5 m)에서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4-4).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3780000" cy="1723523"/>
            <wp:docPr id="8" name="Picture 8"/>
            <wp:cNvGraphicFramePr>
              <a:graphicFrameLocks noChangeAspect="1"/>
            </wp:cNvGraphicFramePr>
            <a:graphic>
              <a:graphicData uri="http://schemas.openxmlformats.org/drawingml/2006/picture">
                <pic:pic>
                  <pic:nvPicPr>
                    <pic:cNvPr id="0" name="fig_encounter_design.png"/>
                    <pic:cNvPicPr/>
                  </pic:nvPicPr>
                  <pic:blipFill>
                    <a:blip r:embed="rId22"/>
                    <a:stretch>
                      <a:fillRect/>
                    </a:stretch>
                  </pic:blipFill>
                  <pic:spPr>
                    <a:xfrm>
                      <a:off x="0" y="0"/>
                      <a:ext cx="3780000" cy="1723523"/>
                    </a:xfrm>
                    <a:prstGeom prst="rect"/>
                  </pic:spPr>
                </pic:pic>
              </a:graphicData>
            </a:graphic>
          </wp:inline>
        </w:drawing>
      </w:r>
    </w:p>
    <w:p>
      <w:pPr>
        <w:keepLines/>
        <w:spacing w:line="360" w:lineRule="auto" w:before="0" w:after="0"/>
      </w:pPr>
      <w:r>
        <w:rPr>
          <w:rFonts w:ascii="HY신명조" w:hAnsi="HY신명조" w:eastAsia="HY신명조"/>
          <w:b w:val="0"/>
          <w:sz w:val="22"/>
        </w:rPr>
        <w:t>그림 4-4. 보행자 돌발 조우 주입 구조. 고장 주입 t(시드 고정) → 감지 t_detect(섀도 공통) → 발사 t_detect+3 s, 전방 8 m 상대 기하 표준화, 보행자는 12 m 횡단 후 정지.</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사망해 간격 기록이 소실된 사례(5절) 이후 리스너에 워치독 재시작을 두어 기록 채널의 생존을 보장했고, 8 m 조우 비교에서는 비교하려는 상태의 성립을 확인한 뒤 길목 트리거를 활성화하는 무장(arm) 방식으로 상태 불일치 조우의 혼입을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10개(S02~S11, S01은 개발용 사전 제외)를 4팔이 공유하며, 각 시드는 고장 시점·보행 속도·횡방향 지터·CARLA·고장 파형·보행자 난수를 고정한다(구체 값은 표 4-4)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재실행했다(본 캠페인에서 S05 2회). 본 실행 전 스모크 케이스로 4팔의 고장 파형 체크섬 일치(첫 20샘플), 감지 시점 차이 Δt_detect &lt; 0.3 s, 발사 기하 8±0.2 m, A1 무결성(감지기 on/off의 속도 프로파일 차이 &lt; 0.05 m/s RMS)을 검증한 뒤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6:0부터 p=0.03125로 0.05 미만에 도달한다). A1↔A2, A2↔A3는 기술적·기전 분석으로만 다루고, 비쌍대 보조 비교에는 Fisher 정확검정을 쓴다.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 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절제 시드</w:t>
            </w:r>
          </w:p>
        </w:tc>
        <w:tc>
          <w:tcPr>
            <w:tcW w:type="dxa" w:w="2835"/>
          </w:tcPr>
          <w:p>
            <w:pPr>
              <w:keepNext/>
              <w:spacing w:line="288" w:lineRule="auto" w:before="20" w:after="20"/>
              <w:jc w:val="left"/>
            </w:pPr>
            <w:r/>
            <w:r>
              <w:rPr>
                <w:rFonts w:ascii="HY신명조" w:hAnsi="HY신명조" w:eastAsia="HY신명조"/>
                <w:b w:val="0"/>
                <w:sz w:val="19"/>
              </w:rPr>
              <w:t>S02~S11 (10개, 4팔 쌍대 공유;</w:t>
            </w:r>
          </w:p>
          <w:p>
            <w:pPr>
              <w:keepNext/>
              <w:spacing w:line="288" w:lineRule="auto" w:before="20" w:after="20"/>
              <w:jc w:val="left"/>
            </w:pPr>
            <w:r>
              <w:rPr>
                <w:rFonts w:ascii="HY신명조" w:hAnsi="HY신명조" w:eastAsia="HY신명조"/>
                <w:b w:val="0"/>
                <w:sz w:val="19"/>
              </w:rPr>
              <w:t>S01은 개발용 제외)</w:t>
            </w:r>
          </w:p>
        </w:tc>
        <w:tc>
          <w:tcPr>
            <w:tcW w:type="dxa" w:w="2835"/>
          </w:tcPr>
          <w:p>
            <w:pPr>
              <w:keepNext/>
              <w:spacing w:line="288" w:lineRule="auto" w:before="20" w:after="20"/>
              <w:jc w:val="left"/>
            </w:pPr>
            <w:r/>
            <w:r>
              <w:rPr>
                <w:rFonts w:ascii="HY신명조" w:hAnsi="HY신명조" w:eastAsia="HY신명조"/>
                <w:b w:val="0"/>
                <w:sz w:val="19"/>
              </w:rPr>
              <w:t>고장 시점 11~44 s·보행 2.5/3.0 m/s 블록·횡 지터·</w:t>
            </w:r>
          </w:p>
          <w:p>
            <w:pPr>
              <w:keepNext/>
              <w:spacing w:line="288" w:lineRule="auto" w:before="20" w:after="20"/>
              <w:jc w:val="left"/>
            </w:pPr>
            <w:r>
              <w:rPr>
                <w:rFonts w:ascii="HY신명조" w:hAnsi="HY신명조" w:eastAsia="HY신명조"/>
                <w:b w:val="0"/>
                <w:sz w:val="19"/>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유형을 따라 갈렸다: GNSS 계열은 완만 정지, IMU 계열은 전량 급정지 — 완만 정지도 궤적 추종이므로 회전 감각이 오염되면 실행 계층이 급정지로 강등한다.</w:t>
      </w:r>
    </w:p>
    <w:p>
      <w:pPr>
        <w:keepNext/>
        <w:spacing w:line="360" w:lineRule="auto" w:before="0" w:after="0"/>
      </w:pPr>
      <w:r>
        <w:rPr>
          <w:rFonts w:ascii="HY신명조" w:hAnsi="HY신명조" w:eastAsia="HY신명조"/>
          <w:b w:val="0"/>
          <w:sz w:val="22"/>
        </w:rPr>
        <w:t>표 5-1. 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0.98*</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1.00*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2.3</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3.0</w:t>
            </w:r>
          </w:p>
        </w:tc>
      </w:tr>
      <w:tr>
        <w:trPr>
          <w:cantSplit/>
        </w:trPr>
        <w:tc>
          <w:tcPr>
            <w:tcW w:type="dxa" w:w="1701"/>
          </w:tcPr>
          <w:p>
            <w:pPr>
              <w:spacing w:line="288" w:lineRule="auto" w:before="20" w:after="20"/>
              <w:jc w:val="left"/>
            </w:pPr>
            <w:r/>
            <w:r>
              <w:rPr>
                <w:rFonts w:ascii="HY신명조" w:hAnsi="HY신명조" w:eastAsia="HY신명조"/>
                <w:b w:val="0"/>
                <w:sz w:val="19"/>
              </w:rPr>
              <w:t>gf† GNSS 두절</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3.6</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44</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5.4</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8.6</w:t>
            </w:r>
          </w:p>
        </w:tc>
      </w:tr>
    </w:tbl>
    <w:p>
      <w:pPr>
        <w:spacing w:line="312" w:lineRule="auto" w:before="0" w:after="0"/>
      </w:pPr>
      <w:r>
        <w:rPr>
          <w:rFonts w:ascii="HY신명조" w:hAnsi="HY신명조" w:eastAsia="HY신명조"/>
          <w:b w:val="0"/>
          <w:sz w:val="19"/>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8절 표 5-8에 보고한다. 그 외 조건의 지연은 벽시계 기준이다.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점선의 obstacle 채널은 상태 전이 발동 채널이 아닌 MRM 이동 게이트 전용이며, 0.7 하방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keepNext/>
        <w:spacing w:line="240" w:lineRule="auto"/>
        <w:jc w:val="center"/>
      </w:pPr>
      <w:r>
        <w:drawing>
          <wp:inline xmlns:a="http://schemas.openxmlformats.org/drawingml/2006/main" xmlns:pic="http://schemas.openxmlformats.org/drawingml/2006/picture">
            <wp:extent cx="5220000" cy="2898833"/>
            <wp:docPr id="9" name="Picture 9"/>
            <wp:cNvGraphicFramePr>
              <a:graphicFrameLocks noChangeAspect="1"/>
            </wp:cNvGraphicFramePr>
            <a:graphic>
              <a:graphicData uri="http://schemas.openxmlformats.org/drawingml/2006/picture">
                <pic:pic>
                  <pic:nvPicPr>
                    <pic:cNvPr id="0" name="fig_health_traces.png"/>
                    <pic:cNvPicPr/>
                  </pic:nvPicPr>
                  <pic:blipFill>
                    <a:blip r:embed="rId23"/>
                    <a:stretch>
                      <a:fillRect/>
                    </a:stretch>
                  </pic:blipFill>
                  <pic:spPr>
                    <a:xfrm>
                      <a:off x="0" y="0"/>
                      <a:ext cx="5220000" cy="2898833"/>
                    </a:xfrm>
                    <a:prstGeom prst="rect"/>
                  </pic:spPr>
                </pic:pic>
              </a:graphicData>
            </a:graphic>
          </wp:inline>
        </w:drawing>
      </w:r>
    </w:p>
    <w:p>
      <w:pPr>
        <w:keepLines/>
        <w:spacing w:line="360" w:lineRule="auto" w:before="0" w:after="0"/>
      </w:pPr>
      <w:r>
        <w:rPr>
          <w:rFonts w:ascii="HY신명조" w:hAnsi="HY신명조" w:eastAsia="HY신명조"/>
          <w:b w:val="0"/>
          <w:sz w:val="22"/>
        </w:rPr>
        <w:t>그림 5-1. 연속 건강도 궤적 — 상태 전이 입력 채널의 점수 대역 분리(이중 임계 0.7/0.3 병기). 곡선은 조건당 대표 단일 런이며, 실선은 상태 전이 입력 perception 채널, 점선은 MRM 이동 게이트용 obstacle 채널이다(동일 기록·동일 파싱, 워밍업·종료 stale 아티팩트 절단).</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조망은 그림 5-2의 히트맵을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240" w:lineRule="auto"/>
        <w:jc w:val="center"/>
      </w:pPr>
      <w:r>
        <w:drawing>
          <wp:inline xmlns:a="http://schemas.openxmlformats.org/drawingml/2006/main" xmlns:pic="http://schemas.openxmlformats.org/drawingml/2006/picture">
            <wp:extent cx="3131999" cy="2754110"/>
            <wp:docPr id="10" name="Picture 10"/>
            <wp:cNvGraphicFramePr>
              <a:graphicFrameLocks noChangeAspect="1"/>
            </wp:cNvGraphicFramePr>
            <a:graphic>
              <a:graphicData uri="http://schemas.openxmlformats.org/drawingml/2006/picture">
                <pic:pic>
                  <pic:nvPicPr>
                    <pic:cNvPr id="0" name="fig_campaign_heatmap.png"/>
                    <pic:cNvPicPr/>
                  </pic:nvPicPr>
                  <pic:blipFill>
                    <a:blip r:embed="rId24"/>
                    <a:stretch>
                      <a:fillRect/>
                    </a:stretch>
                  </pic:blipFill>
                  <pic:spPr>
                    <a:xfrm>
                      <a:off x="0" y="0"/>
                      <a:ext cx="3131999" cy="2754110"/>
                    </a:xfrm>
                    <a:prstGeom prst="rect"/>
                  </pic:spPr>
                </pic:pic>
              </a:graphicData>
            </a:graphic>
          </wp:inline>
        </w:drawing>
      </w:r>
    </w:p>
    <w:p>
      <w:pPr>
        <w:keepLines/>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완료/유효 케이스)이며, baseline은 설계상 차선 내 정지 정책이므로 대피 완료가 정의상 성립하지 않아(N/A)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정직한 단서로, 본 매트릭스 케이스에는 보행자 돌발 주입이 없으며 케이스 수준 "충돌 0" 주장은 5절의 원장 도입 이전 데이터이므로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keepNext/>
        <w:spacing w:line="240" w:lineRule="auto"/>
        <w:jc w:val="center"/>
      </w:pPr>
      <w:r>
        <w:drawing>
          <wp:inline xmlns:a="http://schemas.openxmlformats.org/drawingml/2006/main" xmlns:pic="http://schemas.openxmlformats.org/drawingml/2006/picture">
            <wp:extent cx="5220000" cy="3020444"/>
            <wp:docPr id="11" name="Picture 11"/>
            <wp:cNvGraphicFramePr>
              <a:graphicFrameLocks noChangeAspect="1"/>
            </wp:cNvGraphicFramePr>
            <a:graphic>
              <a:graphicData uri="http://schemas.openxmlformats.org/drawingml/2006/picture">
                <pic:pic>
                  <pic:nvPicPr>
                    <pic:cNvPr id="0" name="fig_exposure.png"/>
                    <pic:cNvPicPr/>
                  </pic:nvPicPr>
                  <pic:blipFill>
                    <a:blip r:embed="rId25"/>
                    <a:stretch>
                      <a:fillRect/>
                    </a:stretch>
                  </pic:blipFill>
                  <pic:spPr>
                    <a:xfrm>
                      <a:off x="0" y="0"/>
                      <a:ext cx="5220000" cy="3020444"/>
                    </a:xfrm>
                    <a:prstGeom prst="rect"/>
                  </pic:spPr>
                </pic:pic>
              </a:graphicData>
            </a:graphic>
          </wp:inline>
        </w:drawing>
      </w:r>
    </w:p>
    <w:p>
      <w:pPr>
        <w:keepLines/>
        <w:spacing w:line="360" w:lineRule="auto" w:before="0" w:after="0"/>
      </w:pPr>
      <w:r>
        <w:rPr>
          <w:rFonts w:ascii="HY신명조" w:hAnsi="HY신명조" w:eastAsia="HY신명조"/>
          <w:b w:val="0"/>
          <w:sz w:val="22"/>
        </w:rPr>
        <w:t>그림 5-3. 고장 유형별 고장 상태 주행 노출(평균). 라이다 희박화의 제안 값(255 m)은 lso-mid의 의도적 무개입(감내)에 의한 계속 주행이며, 같은 이유로(동일 감지 공유 — 설계상 미검출) 해당 유형의 차로 내 정지 막대는 표시하지 않는다.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keepNext/>
        <w:spacing w:line="240" w:lineRule="auto"/>
        <w:jc w:val="center"/>
      </w:pPr>
      <w:r>
        <w:drawing>
          <wp:inline xmlns:a="http://schemas.openxmlformats.org/drawingml/2006/main" xmlns:pic="http://schemas.openxmlformats.org/drawingml/2006/picture">
            <wp:extent cx="5220000" cy="1926132"/>
            <wp:docPr id="12" name="Picture 12"/>
            <wp:cNvGraphicFramePr>
              <a:graphicFrameLocks noChangeAspect="1"/>
            </wp:cNvGraphicFramePr>
            <a:graphic>
              <a:graphicData uri="http://schemas.openxmlformats.org/drawingml/2006/picture">
                <pic:pic>
                  <pic:nvPicPr>
                    <pic:cNvPr id="0" name="fig_final_campaign.png"/>
                    <pic:cNvPicPr/>
                  </pic:nvPicPr>
                  <pic:blipFill>
                    <a:blip r:embed="rId26"/>
                    <a:stretch>
                      <a:fillRect/>
                    </a:stretch>
                  </pic:blipFill>
                  <pic:spPr>
                    <a:xfrm>
                      <a:off x="0" y="0"/>
                      <a:ext cx="5220000" cy="1926132"/>
                    </a:xfrm>
                    <a:prstGeom prst="rect"/>
                  </pic:spPr>
                </pic:pic>
              </a:graphicData>
            </a:graphic>
          </wp:inline>
        </w:drawing>
      </w:r>
    </w:p>
    <w:p>
      <w:pPr>
        <w:keepLines/>
        <w:spacing w:line="360" w:lineRule="auto" w:before="0" w:after="0"/>
      </w:pPr>
      <w:r>
        <w:rPr>
          <w:rFonts w:ascii="HY신명조" w:hAnsi="HY신명조" w:eastAsia="HY신명조"/>
          <w:b w:val="0"/>
          <w:sz w:val="22"/>
        </w:rPr>
        <w:t>그림 5-4. (a) 무고장 순정의 거리 사다리와 정지거리 경계(음영 8~11 m). (b) gn-mid 고장 하 동일 8 m 돌발의 3조건 비교(저속 MRM 순항 8/8 회피·감속 과도구간 0/2·순정 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14/20</w:t>
            </w:r>
          </w:p>
        </w:tc>
        <w:tc>
          <w:tcPr>
            <w:tcW w:type="dxa" w:w="2126"/>
          </w:tcPr>
          <w:p>
            <w:pPr>
              <w:keepNext/>
              <w:spacing w:line="288" w:lineRule="auto" w:before="20" w:after="20"/>
              <w:jc w:val="left"/>
            </w:pPr>
            <w:r/>
            <w:r>
              <w:rPr>
                <w:rFonts w:ascii="HY신명조" w:hAnsi="HY신명조" w:eastAsia="HY신명조"/>
                <w:b w:val="0"/>
                <w:sz w:val="19"/>
              </w:rPr>
              <w:t>70% [48.1, 85.5]</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0/20</w:t>
            </w:r>
          </w:p>
        </w:tc>
        <w:tc>
          <w:tcPr>
            <w:tcW w:type="dxa" w:w="2126"/>
          </w:tcPr>
          <w:p>
            <w:pPr>
              <w:keepNext/>
              <w:spacing w:line="288" w:lineRule="auto" w:before="20" w:after="20"/>
              <w:jc w:val="left"/>
            </w:pPr>
            <w:r/>
            <w:r>
              <w:rPr>
                <w:rFonts w:ascii="HY신명조" w:hAnsi="HY신명조" w:eastAsia="HY신명조"/>
                <w:b w:val="0"/>
                <w:sz w:val="19"/>
              </w:rPr>
              <w:t>0% [0.0, 16.1]</w:t>
            </w:r>
          </w:p>
        </w:tc>
        <w:tc>
          <w:tcPr>
            <w:tcW w:type="dxa" w:w="2126"/>
          </w:tcPr>
          <w:p>
            <w:pPr>
              <w:keepNext/>
              <w:spacing w:line="288" w:lineRule="auto" w:before="20" w:after="20"/>
              <w:jc w:val="left"/>
            </w:pPr>
            <w:r/>
            <w:r>
              <w:rPr>
                <w:rFonts w:ascii="HY신명조" w:hAnsi="HY신명조" w:eastAsia="HY신명조"/>
                <w:b w:val="0"/>
                <w:sz w:val="19"/>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10/20</w:t>
            </w:r>
          </w:p>
        </w:tc>
        <w:tc>
          <w:tcPr>
            <w:tcW w:type="dxa" w:w="2126"/>
          </w:tcPr>
          <w:p>
            <w:pPr>
              <w:keepNext/>
              <w:spacing w:line="288" w:lineRule="auto" w:before="20" w:after="20"/>
              <w:jc w:val="left"/>
            </w:pPr>
            <w:r/>
            <w:r>
              <w:rPr>
                <w:rFonts w:ascii="HY신명조" w:hAnsi="HY신명조" w:eastAsia="HY신명조"/>
                <w:b w:val="0"/>
                <w:sz w:val="19"/>
              </w:rPr>
              <w:t>50% [29.9, 70.1]</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11/20</w:t>
            </w:r>
          </w:p>
        </w:tc>
        <w:tc>
          <w:tcPr>
            <w:tcW w:type="dxa" w:w="2126"/>
          </w:tcPr>
          <w:p>
            <w:pPr>
              <w:spacing w:line="288" w:lineRule="auto" w:before="20" w:after="20"/>
              <w:jc w:val="left"/>
            </w:pPr>
            <w:r/>
            <w:r>
              <w:rPr>
                <w:rFonts w:ascii="HY신명조" w:hAnsi="HY신명조" w:eastAsia="HY신명조"/>
                <w:b w:val="0"/>
                <w:sz w:val="19"/>
              </w:rPr>
              <w:t>55% [34.2, 74.2]</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5220000" cy="2030000"/>
            <wp:docPr id="13" name="Picture 13"/>
            <wp:cNvGraphicFramePr>
              <a:graphicFrameLocks noChangeAspect="1"/>
            </wp:cNvGraphicFramePr>
            <a:graphic>
              <a:graphicData uri="http://schemas.openxmlformats.org/drawingml/2006/picture">
                <pic:pic>
                  <pic:nvPicPr>
                    <pic:cNvPr id="0" name="fig_ablation_final.png"/>
                    <pic:cNvPicPr/>
                  </pic:nvPicPr>
                  <pic:blipFill>
                    <a:blip r:embed="rId27"/>
                    <a:stretch>
                      <a:fillRect/>
                    </a:stretch>
                  </pic:blipFill>
                  <pic:spPr>
                    <a:xfrm>
                      <a:off x="0" y="0"/>
                      <a:ext cx="5220000" cy="2030000"/>
                    </a:xfrm>
                    <a:prstGeom prst="rect"/>
                  </pic:spPr>
                </pic:pic>
              </a:graphicData>
            </a:graphic>
          </wp:inline>
        </w:drawing>
      </w:r>
    </w:p>
    <w:p>
      <w:pPr>
        <w:keepLines/>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11/20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유의하지 않아 합산 추정(표 5-4)을 보고하되, 소표본 점추정이 표본 확대로 이동할 수 있음을 보여주는 사례로 명시한다. 시드 간 이질성이 뚜렷하다: S06·S09·S11·S16·S17은 4팔 전부 회피(조우 기하가 관대), S05·S12·S13·S15·S19·S20·S21은 A2(정지)를 제외한 세 팔이 충돌한 가혹한 실현이었다. A2가 회피한 시드에서 대피 팔이 충돌한 사례는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rPr>
          <w:cantSplit/>
        </w:trP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S14</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S17</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S19</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S21</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14/20</w:t>
            </w:r>
          </w:p>
        </w:tc>
        <w:tc>
          <w:tcPr>
            <w:tcW w:type="dxa" w:w="1701"/>
          </w:tcPr>
          <w:p>
            <w:pPr>
              <w:spacing w:line="288" w:lineRule="auto" w:before="20" w:after="20"/>
              <w:jc w:val="left"/>
            </w:pPr>
            <w:r/>
            <w:r>
              <w:rPr>
                <w:rFonts w:ascii="HY신명조" w:hAnsi="HY신명조" w:eastAsia="HY신명조"/>
                <w:b w:val="0"/>
                <w:sz w:val="19"/>
              </w:rPr>
              <w:t>0/20</w:t>
            </w:r>
          </w:p>
        </w:tc>
        <w:tc>
          <w:tcPr>
            <w:tcW w:type="dxa" w:w="1701"/>
          </w:tcPr>
          <w:p>
            <w:pPr>
              <w:spacing w:line="288" w:lineRule="auto" w:before="20" w:after="20"/>
              <w:jc w:val="left"/>
            </w:pPr>
            <w:r/>
            <w:r>
              <w:rPr>
                <w:rFonts w:ascii="HY신명조" w:hAnsi="HY신명조" w:eastAsia="HY신명조"/>
                <w:b w:val="0"/>
                <w:sz w:val="19"/>
              </w:rPr>
              <w:t>10/20</w:t>
            </w:r>
          </w:p>
        </w:tc>
        <w:tc>
          <w:tcPr>
            <w:tcW w:type="dxa" w:w="1701"/>
          </w:tcPr>
          <w:p>
            <w:pPr>
              <w:spacing w:line="288" w:lineRule="auto" w:before="20" w:after="20"/>
              <w:jc w:val="left"/>
            </w:pPr>
            <w:r/>
            <w:r>
              <w:rPr>
                <w:rFonts w:ascii="HY신명조" w:hAnsi="HY신명조" w:eastAsia="HY신명조"/>
                <w:b w:val="0"/>
                <w:sz w:val="19"/>
              </w:rPr>
              <w:t>11/20</w:t>
            </w:r>
          </w:p>
        </w:tc>
      </w:tr>
    </w:tbl>
    <w:p>
      <w:pPr>
        <w:spacing w:line="312" w:lineRule="auto" w:before="0" w:after="0"/>
      </w:pPr>
      <w:r>
        <w:rPr>
          <w:rFonts w:ascii="HY신명조" w:hAnsi="HY신명조" w:eastAsia="HY신명조"/>
          <w:b w:val="0"/>
          <w:sz w:val="19"/>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즉 본 표본에서 명시적 속도 상한의 충돌 감소 증분은 검출되지 않았다("추가로 예방된 충돌이 관찰되지 않았다"는 서술이며, 동등성의 주장이 아니다 — n=20의 표본 크기 한계는 제6장 3절에서 논한다).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5-5의 팔별 충돌 계(A3 3건+A4 4건)와 산술적으로 일치한다. 무충돌 13케이스에 조건부로 산출한 시간분포에서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240000" cy="2349153"/>
            <wp:docPr id="14" name="Picture 14"/>
            <wp:cNvGraphicFramePr>
              <a:graphicFrameLocks noChangeAspect="1"/>
            </wp:cNvGraphicFramePr>
            <a:graphic>
              <a:graphicData uri="http://schemas.openxmlformats.org/drawingml/2006/picture">
                <pic:pic>
                  <pic:nvPicPr>
                    <pic:cNvPr id="0" name="fig_lane_clear_km.png"/>
                    <pic:cNvPicPr/>
                  </pic:nvPicPr>
                  <pic:blipFill>
                    <a:blip r:embed="rId28"/>
                    <a:stretch>
                      <a:fillRect/>
                    </a:stretch>
                  </pic:blipFill>
                  <pic:spPr>
                    <a:xfrm>
                      <a:off x="0" y="0"/>
                      <a:ext cx="3240000" cy="2349153"/>
                    </a:xfrm>
                    <a:prstGeom prst="rect"/>
                  </pic:spPr>
                </pic:pic>
              </a:graphicData>
            </a:graphic>
          </wp:inline>
        </w:drawing>
      </w:r>
    </w:p>
    <w:p>
      <w:pPr>
        <w:keepLines/>
        <w:spacing w:line="360" w:lineRule="auto" w:before="0" w:after="0"/>
      </w:pPr>
      <w:r>
        <w:rPr>
          <w:rFonts w:ascii="HY신명조" w:hAnsi="HY신명조" w:eastAsia="HY신명조"/>
          <w:b w:val="0"/>
          <w:sz w:val="22"/>
        </w:rPr>
        <w:t>그림 5-6. 무충돌 대피 케이스의 차선 반환 Kaplan–Meier 곡선 (절제 1차 표본, 조건부 n=13). 이탈 관측 6건(중앙 11.0 s), 우측 중도절단 7건(|), 최종 생존율 0.538로 중앙값은 관찰 지평(20 s)을 초과한다. 표 5-6의 시간분포 규칙과 동일 산출이다.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선명하다(그림 5-5(b)): 감지+3 s의 과도구간(감속 미완) 발사에서는 11/20이 충돌한 반면, 감속이 완료된 정착 순항(3.0 m/s 재출발 순항, 8 m 조우 재실험) 발사에서는 0/8 무충돌이었다.</w:t>
      </w: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5-7).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표적에 대한 여유 요구와 재출발 직후 가속 프로파일의 비정상 구간으로 설명되며, 모델은 하한 근사로 해석해야 한다. 종합하면 속도별 경계는 4.2 m/s → 8~11 m, 3.0 m/s → 7~8 m로, 속도 상한은 "회피 불가능한 돌발"의 범위를 물리적으로 좁히며 그 효과와 한계(과도구간)는 정지거리 물리로 일관되게 설명된다.</w:t>
      </w:r>
    </w:p>
    <w:p>
      <w:pPr>
        <w:keepNext/>
        <w:spacing w:line="360" w:lineRule="auto" w:before="0" w:after="0"/>
      </w:pPr>
      <w:r>
        <w:rPr>
          <w:rFonts w:ascii="HY신명조" w:hAnsi="HY신명조" w:eastAsia="HY신명조"/>
          <w:b w:val="0"/>
          <w:sz w:val="22"/>
        </w:rPr>
        <w:t>표 5-7.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사양으로 둔다.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본 캠페인과 동일 구조)에서 원장 기반 시뮬레이션 시간으로 검증했다(표 5-8, 그림 5-7):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60" w:lineRule="auto" w:before="0" w:after="0"/>
      </w:pPr>
      <w:r>
        <w:rPr>
          <w:rFonts w:ascii="HY신명조" w:hAnsi="HY신명조" w:eastAsia="HY신명조"/>
          <w:b w:val="0"/>
          <w:sz w:val="22"/>
        </w:rPr>
        <w:t>표 5-8. 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9"/>
              </w:rPr>
              <w:t>아종</w:t>
            </w:r>
          </w:p>
        </w:tc>
        <w:tc>
          <w:tcPr>
            <w:tcW w:type="dxa" w:w="1215"/>
          </w:tcPr>
          <w:p>
            <w:pPr>
              <w:keepNext/>
              <w:spacing w:line="288" w:lineRule="auto" w:before="20" w:after="20"/>
              <w:jc w:val="center"/>
            </w:pPr>
            <w:r/>
            <w:r>
              <w:rPr>
                <w:rFonts w:ascii="HY신명조" w:hAnsi="HY신명조" w:eastAsia="HY신명조"/>
                <w:b/>
                <w:sz w:val="19"/>
              </w:rPr>
              <w:t>n</w:t>
            </w:r>
          </w:p>
        </w:tc>
        <w:tc>
          <w:tcPr>
            <w:tcW w:type="dxa" w:w="1215"/>
          </w:tcPr>
          <w:p>
            <w:pPr>
              <w:keepNext/>
              <w:spacing w:line="288" w:lineRule="auto" w:before="20" w:after="20"/>
              <w:jc w:val="center"/>
            </w:pPr>
            <w:r/>
            <w:r>
              <w:rPr>
                <w:rFonts w:ascii="HY신명조" w:hAnsi="HY신명조" w:eastAsia="HY신명조"/>
                <w:b/>
                <w:sz w:val="19"/>
              </w:rPr>
              <w:t>중앙 [s]</w:t>
            </w:r>
          </w:p>
        </w:tc>
        <w:tc>
          <w:tcPr>
            <w:tcW w:type="dxa" w:w="1215"/>
          </w:tcPr>
          <w:p>
            <w:pPr>
              <w:keepNext/>
              <w:spacing w:line="288" w:lineRule="auto" w:before="20" w:after="20"/>
              <w:jc w:val="center"/>
            </w:pPr>
            <w:r/>
            <w:r>
              <w:rPr>
                <w:rFonts w:ascii="HY신명조" w:hAnsi="HY신명조" w:eastAsia="HY신명조"/>
                <w:b/>
                <w:sz w:val="19"/>
              </w:rPr>
              <w:t>P95 [s]</w:t>
            </w:r>
          </w:p>
        </w:tc>
        <w:tc>
          <w:tcPr>
            <w:tcW w:type="dxa" w:w="1215"/>
          </w:tcPr>
          <w:p>
            <w:pPr>
              <w:keepNext/>
              <w:spacing w:line="288" w:lineRule="auto" w:before="20" w:after="20"/>
              <w:jc w:val="center"/>
            </w:pPr>
            <w:r/>
            <w:r>
              <w:rPr>
                <w:rFonts w:ascii="HY신명조" w:hAnsi="HY신명조" w:eastAsia="HY신명조"/>
                <w:b/>
                <w:sz w:val="19"/>
              </w:rPr>
              <w:t>최대 [s]</w:t>
            </w:r>
          </w:p>
        </w:tc>
        <w:tc>
          <w:tcPr>
            <w:tcW w:type="dxa" w:w="1215"/>
          </w:tcPr>
          <w:p>
            <w:pPr>
              <w:keepNext/>
              <w:spacing w:line="288" w:lineRule="auto" w:before="20" w:after="20"/>
              <w:jc w:val="center"/>
            </w:pPr>
            <w:r/>
            <w:r>
              <w:rPr>
                <w:rFonts w:ascii="HY신명조" w:hAnsi="HY신명조" w:eastAsia="HY신명조"/>
                <w:b/>
                <w:sz w:val="19"/>
              </w:rPr>
              <w:t>&gt;1.5 s</w:t>
            </w:r>
          </w:p>
        </w:tc>
        <w:tc>
          <w:tcPr>
            <w:tcW w:type="dxa" w:w="1215"/>
          </w:tcPr>
          <w:p>
            <w:pPr>
              <w:keepNext/>
              <w:spacing w:line="288" w:lineRule="auto" w:before="20" w:after="20"/>
              <w:jc w:val="center"/>
            </w:pPr>
            <w:r/>
            <w:r>
              <w:rPr>
                <w:rFonts w:ascii="HY신명조" w:hAnsi="HY신명조" w:eastAsia="HY신명조"/>
                <w:b/>
                <w:sz w:val="19"/>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9"/>
              </w:rPr>
              <w:t>cf-제안</w:t>
            </w:r>
          </w:p>
        </w:tc>
        <w:tc>
          <w:tcPr>
            <w:tcW w:type="dxa" w:w="1215"/>
          </w:tcPr>
          <w:p>
            <w:pPr>
              <w:keepNext/>
              <w:spacing w:line="288" w:lineRule="auto" w:before="20" w:after="20"/>
              <w:jc w:val="left"/>
            </w:pPr>
            <w:r/>
            <w:r>
              <w:rPr>
                <w:rFonts w:ascii="HY신명조" w:hAnsi="HY신명조" w:eastAsia="HY신명조"/>
                <w:b w:val="0"/>
                <w:sz w:val="19"/>
              </w:rPr>
              <w:t>38</w:t>
            </w:r>
          </w:p>
        </w:tc>
        <w:tc>
          <w:tcPr>
            <w:tcW w:type="dxa" w:w="1215"/>
          </w:tcPr>
          <w:p>
            <w:pPr>
              <w:keepNext/>
              <w:spacing w:line="288" w:lineRule="auto" w:before="20" w:after="20"/>
              <w:jc w:val="left"/>
            </w:pPr>
            <w:r/>
            <w:r>
              <w:rPr>
                <w:rFonts w:ascii="HY신명조" w:hAnsi="HY신명조" w:eastAsia="HY신명조"/>
                <w:b w:val="0"/>
                <w:sz w:val="19"/>
              </w:rPr>
              <w:t>0.98</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cf-baseline</w:t>
            </w:r>
          </w:p>
        </w:tc>
        <w:tc>
          <w:tcPr>
            <w:tcW w:type="dxa" w:w="1215"/>
          </w:tcPr>
          <w:p>
            <w:pPr>
              <w:keepNext/>
              <w:spacing w:line="288" w:lineRule="auto" w:before="20" w:after="20"/>
              <w:jc w:val="left"/>
            </w:pPr>
            <w:r/>
            <w:r>
              <w:rPr>
                <w:rFonts w:ascii="HY신명조" w:hAnsi="HY신명조" w:eastAsia="HY신명조"/>
                <w:b w:val="0"/>
                <w:sz w:val="19"/>
              </w:rPr>
              <w:t>40</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lf-제안</w:t>
            </w:r>
          </w:p>
        </w:tc>
        <w:tc>
          <w:tcPr>
            <w:tcW w:type="dxa" w:w="1215"/>
          </w:tcPr>
          <w:p>
            <w:pPr>
              <w:keepNext/>
              <w:spacing w:line="288" w:lineRule="auto" w:before="20" w:after="20"/>
              <w:jc w:val="left"/>
            </w:pPr>
            <w:r/>
            <w:r>
              <w:rPr>
                <w:rFonts w:ascii="HY신명조" w:hAnsi="HY신명조" w:eastAsia="HY신명조"/>
                <w:b w:val="0"/>
                <w:sz w:val="19"/>
              </w:rPr>
              <w:t>41</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1.15</w:t>
            </w:r>
          </w:p>
        </w:tc>
        <w:tc>
          <w:tcPr>
            <w:tcW w:type="dxa" w:w="1215"/>
          </w:tcPr>
          <w:p>
            <w:pPr>
              <w:keepNext/>
              <w:spacing w:line="288" w:lineRule="auto" w:before="20" w:after="20"/>
              <w:jc w:val="left"/>
            </w:pPr>
            <w:r/>
            <w:r>
              <w:rPr>
                <w:rFonts w:ascii="HY신명조" w:hAnsi="HY신명조" w:eastAsia="HY신명조"/>
                <w:b w:val="0"/>
                <w:sz w:val="19"/>
              </w:rPr>
              <w:t>1.20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33/33</w:t>
            </w:r>
          </w:p>
        </w:tc>
      </w:tr>
      <w:tr>
        <w:trPr>
          <w:cantSplit/>
        </w:trPr>
        <w:tc>
          <w:tcPr>
            <w:tcW w:type="dxa" w:w="1215"/>
          </w:tcPr>
          <w:p>
            <w:pPr>
              <w:spacing w:line="288" w:lineRule="auto" w:before="20" w:after="20"/>
              <w:jc w:val="left"/>
            </w:pPr>
            <w:r/>
            <w:r>
              <w:rPr>
                <w:rFonts w:ascii="HY신명조" w:hAnsi="HY신명조" w:eastAsia="HY신명조"/>
                <w:b w:val="0"/>
                <w:sz w:val="19"/>
              </w:rPr>
              <w:t>lf-baseline</w:t>
            </w:r>
          </w:p>
        </w:tc>
        <w:tc>
          <w:tcPr>
            <w:tcW w:type="dxa" w:w="1215"/>
          </w:tcPr>
          <w:p>
            <w:pPr>
              <w:spacing w:line="288" w:lineRule="auto" w:before="20" w:after="20"/>
              <w:jc w:val="left"/>
            </w:pPr>
            <w:r/>
            <w:r>
              <w:rPr>
                <w:rFonts w:ascii="HY신명조" w:hAnsi="HY신명조" w:eastAsia="HY신명조"/>
                <w:b w:val="0"/>
                <w:sz w:val="19"/>
              </w:rPr>
              <w:t>40</w:t>
            </w:r>
          </w:p>
        </w:tc>
        <w:tc>
          <w:tcPr>
            <w:tcW w:type="dxa" w:w="1215"/>
          </w:tcPr>
          <w:p>
            <w:pPr>
              <w:spacing w:line="288" w:lineRule="auto" w:before="20" w:after="20"/>
              <w:jc w:val="left"/>
            </w:pPr>
            <w:r/>
            <w:r>
              <w:rPr>
                <w:rFonts w:ascii="HY신명조" w:hAnsi="HY신명조" w:eastAsia="HY신명조"/>
                <w:b w:val="0"/>
                <w:sz w:val="19"/>
              </w:rPr>
              <w:t>1.00</w:t>
            </w:r>
          </w:p>
        </w:tc>
        <w:tc>
          <w:tcPr>
            <w:tcW w:type="dxa" w:w="1215"/>
          </w:tcPr>
          <w:p>
            <w:pPr>
              <w:spacing w:line="288" w:lineRule="auto" w:before="20" w:after="20"/>
              <w:jc w:val="left"/>
            </w:pPr>
            <w:r/>
            <w:r>
              <w:rPr>
                <w:rFonts w:ascii="HY신명조" w:hAnsi="HY신명조" w:eastAsia="HY신명조"/>
                <w:b w:val="0"/>
                <w:sz w:val="19"/>
              </w:rPr>
              <w:t>1.15</w:t>
            </w:r>
          </w:p>
        </w:tc>
        <w:tc>
          <w:tcPr>
            <w:tcW w:type="dxa" w:w="1215"/>
          </w:tcPr>
          <w:p>
            <w:pPr>
              <w:spacing w:line="288" w:lineRule="auto" w:before="20" w:after="20"/>
              <w:jc w:val="left"/>
            </w:pPr>
            <w:r/>
            <w:r>
              <w:rPr>
                <w:rFonts w:ascii="HY신명조" w:hAnsi="HY신명조" w:eastAsia="HY신명조"/>
                <w:b w:val="0"/>
                <w:sz w:val="19"/>
              </w:rPr>
              <w:t>1.20</w:t>
            </w:r>
          </w:p>
        </w:tc>
        <w:tc>
          <w:tcPr>
            <w:tcW w:type="dxa" w:w="1215"/>
          </w:tcPr>
          <w:p>
            <w:pPr>
              <w:spacing w:line="288" w:lineRule="auto" w:before="20" w:after="20"/>
              <w:jc w:val="left"/>
            </w:pPr>
            <w:r/>
            <w:r>
              <w:rPr>
                <w:rFonts w:ascii="HY신명조" w:hAnsi="HY신명조" w:eastAsia="HY신명조"/>
                <w:b w:val="0"/>
                <w:sz w:val="19"/>
              </w:rPr>
              <w:t>0건</w:t>
            </w:r>
          </w:p>
        </w:tc>
        <w:tc>
          <w:tcPr>
            <w:tcW w:type="dxa" w:w="1215"/>
          </w:tcPr>
          <w:p>
            <w:pPr>
              <w:spacing w:line="288" w:lineRule="auto" w:before="20" w:after="20"/>
              <w:jc w:val="left"/>
            </w:pPr>
            <w:r/>
            <w:r>
              <w:rPr>
                <w:rFonts w:ascii="HY신명조" w:hAnsi="HY신명조" w:eastAsia="HY신명조"/>
                <w:b w:val="0"/>
                <w:sz w:val="19"/>
              </w:rPr>
              <w:t>35/35</w:t>
            </w:r>
          </w:p>
        </w:tc>
      </w:tr>
    </w:tbl>
    <w:p>
      <w:pPr>
        <w:spacing w:line="312" w:lineRule="auto" w:before="0" w:after="0"/>
      </w:pPr>
      <w:r>
        <w:rPr>
          <w:rFonts w:ascii="HY신명조" w:hAnsi="HY신명조" w:eastAsia="HY신명조"/>
          <w:b w:val="0"/>
          <w:sz w:val="19"/>
        </w:rPr>
        <w:t>판정 지연 = 고장 활성화(주입기 원장)부터 첫 MRM 상태 전이(감독자 원장)까지, 시뮬레이션 시간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500000" cy="3409771"/>
            <wp:docPr id="15" name="Picture 15"/>
            <wp:cNvGraphicFramePr>
              <a:graphicFrameLocks noChangeAspect="1"/>
            </wp:cNvGraphicFramePr>
            <a:graphic>
              <a:graphicData uri="http://schemas.openxmlformats.org/drawingml/2006/picture">
                <pic:pic>
                  <pic:nvPicPr>
                    <pic:cNvPr id="0" name="fig_hardfail_latency.png"/>
                    <pic:cNvPicPr/>
                  </pic:nvPicPr>
                  <pic:blipFill>
                    <a:blip r:embed="rId29"/>
                    <a:stretch>
                      <a:fillRect/>
                    </a:stretch>
                  </pic:blipFill>
                  <pic:spPr>
                    <a:xfrm>
                      <a:off x="0" y="0"/>
                      <a:ext cx="4500000" cy="3409771"/>
                    </a:xfrm>
                    <a:prstGeom prst="rect"/>
                  </pic:spPr>
                </pic:pic>
              </a:graphicData>
            </a:graphic>
          </wp:inline>
        </w:drawing>
      </w:r>
    </w:p>
    <w:p>
      <w:pPr>
        <w:keepLines/>
        <w:spacing w:line="360" w:lineRule="auto" w:before="0" w:after="0"/>
      </w:pPr>
      <w:r>
        <w:rPr>
          <w:rFonts w:ascii="HY신명조" w:hAnsi="HY신명조" w:eastAsia="HY신명조"/>
          <w:b w:val="0"/>
          <w:sz w:val="22"/>
        </w:rPr>
        <w:t>그림 5-7. 하드 페일 감지·판정 지연 분포 (아종별, 시뮬레이션 시간·원장 기준). 전 아종이 1.5 s 마감(파선) 이하이며, 가로선은 중앙값이다.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더 안전한 최종 위치로 이동한다.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것으로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본 표본에서 검출되지 않았다(p=1.0, 제5장 5절). 이를 동등성의 증거로 읽어서는 안 된다 — 소표본 exact McNemar의 이산성은 제4장 8절에 명시했다(합산 n=20에서도 4:1, p=0.375). 관찰된 기전은 상한의 역할을 재정의한다: 대피 기동은 자연 저속화되어 정상 대피에서 상한은 거의 구속되지 않으며, 상한의 가치는 자연 감속에 의존하지 않는 명시적 재가속 억제 상계에 있다. 이는 폐루프 속도의 형식적 보장이 아니며(과도구간 조우 속도 실측 3.5~3.8 m/s), 정착 순항 0/8과 경계 이동(8~11→7~8 m)이 그 물리적 여유의 실측이다. 상한값 3.0 m/s는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절제(팔당 n=20)에서 감지+정지는 0/20, 대피는 10~11/20(전부 과도구간), 순정 지속 주행은 14/20 충돌이었으며, 같은 대피 정책이 정착 순항에서는 0/8 무충돌이었다. 하드 페일(신호 두절)은 증거 성격을 구분하는 고속 판정 경로로 감지·판정을 1.5 s 마감 안에 완료한다(전 매트릭스 실측 최대 1.20 s, 제5장 8절).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11/20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capped (3.0 m/s) evacuation in 11/20 (exact McNemar, A1 vs A4: p=0.375;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(11/20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