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Architecture Decision Records (ADR)</w:t>
      </w:r>
    </w:p>
    <w:p>
      <w:pPr/>
      <w:r>
        <w:t>Healthcare Patient Engagement &amp; Care Coordination Platform</w:t>
      </w:r>
    </w:p>
    <w:p>
      <w:pPr/>
      <w:r>
        <w:t>Architectural Style &amp; Deployment Decisions</w:t>
      </w:r>
    </w:p>
    <w:p>
      <w:pPr/>
      <w:r>
        <w:t>Version: 1.0 | Date: April 2026</w:t>
      </w:r>
    </w:p>
    <w:p>
      <w:pPr>
        <w:pStyle w:val="Heading1"/>
        <w:jc w:val="left"/>
      </w:pPr>
      <w:r>
        <w:t>ADR-05: Architectural Style Selection</w:t>
      </w:r>
    </w:p>
    <w:p>
      <w:pPr>
        <w:pStyle w:val="Heading2"/>
        <w:jc w:val="left"/>
      </w:pPr>
      <w:r>
        <w:t>Status</w:t>
      </w:r>
    </w:p>
    <w:p>
      <w:pPr/>
      <w:r>
        <w:t>Approved</w:t>
      </w:r>
    </w:p>
    <w:p>
      <w:pPr>
        <w:pStyle w:val="Heading2"/>
        <w:jc w:val="left"/>
      </w:pPr>
      <w:r>
        <w:t>Context</w:t>
      </w:r>
    </w:p>
    <w:p>
      <w:pPr/>
      <w:r>
        <w:t>The platform requires strong clinical safety, auditability, and controlled evolution. Architectural style must support deterministic workflows, compliance enforcement, and future scalability.</w:t>
      </w:r>
    </w:p>
    <w:p>
      <w:pPr>
        <w:pStyle w:val="Heading2"/>
        <w:jc w:val="left"/>
      </w:pPr>
      <w:r>
        <w:t>Decision</w:t>
      </w:r>
    </w:p>
    <w:p>
      <w:pPr/>
      <w:r>
        <w:t>Adopt a Modular Monolith with Domain-Oriented Services, complemented by Event-Driven Architecture for cross-domain interactions.</w:t>
      </w:r>
    </w:p>
    <w:p>
      <w:pPr>
        <w:pStyle w:val="Heading2"/>
        <w:jc w:val="left"/>
      </w:pPr>
      <w:r>
        <w:t>Rationale</w:t>
      </w:r>
    </w:p>
    <w:p>
      <w:pPr/>
      <w:r>
        <w:t>This style provides strong consistency, simpler audit boundaries, and lower operational risk compared to pure microservices, while still allowing future extraction.</w:t>
      </w:r>
    </w:p>
    <w:p>
      <w:pPr>
        <w:pStyle w:val="Heading2"/>
        <w:jc w:val="left"/>
      </w:pPr>
      <w:r>
        <w:t>Consequences</w:t>
      </w:r>
    </w:p>
    <w:p>
      <w:pPr/>
      <w:r>
        <w:t>Positive: Strong governance, reduced operational complexity. Trade-off: Requires discipline to maintain module boundaries.</w:t>
      </w:r>
    </w:p>
    <w:p>
      <w:pPr>
        <w:pStyle w:val="Heading1"/>
        <w:jc w:val="left"/>
      </w:pPr>
      <w:r>
        <w:t>ADR-06: Domain Decomposition Strategy</w:t>
      </w:r>
    </w:p>
    <w:p>
      <w:pPr>
        <w:pStyle w:val="Heading2"/>
        <w:jc w:val="left"/>
      </w:pPr>
      <w:r>
        <w:t>Status</w:t>
      </w:r>
    </w:p>
    <w:p>
      <w:pPr/>
      <w:r>
        <w:t>Approved</w:t>
      </w:r>
    </w:p>
    <w:p>
      <w:pPr>
        <w:pStyle w:val="Heading2"/>
        <w:jc w:val="left"/>
      </w:pPr>
      <w:r>
        <w:t>Context</w:t>
      </w:r>
    </w:p>
    <w:p>
      <w:pPr/>
      <w:r>
        <w:t>Multiple responsibilities such as care plans, consent, protocol enforcement, and audit must not be tightly coupled.</w:t>
      </w:r>
    </w:p>
    <w:p>
      <w:pPr>
        <w:pStyle w:val="Heading2"/>
        <w:jc w:val="left"/>
      </w:pPr>
      <w:r>
        <w:t>Decision</w:t>
      </w:r>
    </w:p>
    <w:p>
      <w:pPr/>
      <w:r>
        <w:t>Apply Domain-Driven Design with strict bounded contexts implemented as modules within a single deployable unit.</w:t>
      </w:r>
    </w:p>
    <w:p>
      <w:pPr>
        <w:pStyle w:val="Heading2"/>
        <w:jc w:val="left"/>
      </w:pPr>
      <w:r>
        <w:t>Rationale</w:t>
      </w:r>
    </w:p>
    <w:p>
      <w:pPr/>
      <w:r>
        <w:t>DDD aligns with clinical workflows and enables safe refactoring and clear ownership.</w:t>
      </w:r>
    </w:p>
    <w:p>
      <w:pPr>
        <w:pStyle w:val="Heading2"/>
        <w:jc w:val="left"/>
      </w:pPr>
      <w:r>
        <w:t>Consequences</w:t>
      </w:r>
    </w:p>
    <w:p>
      <w:pPr/>
      <w:r>
        <w:t>Positive: Clear responsibility boundaries. Trade-off: Requires upfront domain modeling.</w:t>
      </w:r>
    </w:p>
    <w:p>
      <w:pPr>
        <w:pStyle w:val="Heading1"/>
        <w:jc w:val="left"/>
      </w:pPr>
      <w:r>
        <w:t>ADR-07: Event-Driven Communication</w:t>
      </w:r>
    </w:p>
    <w:p>
      <w:pPr>
        <w:pStyle w:val="Heading2"/>
        <w:jc w:val="left"/>
      </w:pPr>
      <w:r>
        <w:t>Status</w:t>
      </w:r>
    </w:p>
    <w:p>
      <w:pPr/>
      <w:r>
        <w:t>Approved</w:t>
      </w:r>
    </w:p>
    <w:p>
      <w:pPr>
        <w:pStyle w:val="Heading2"/>
        <w:jc w:val="left"/>
      </w:pPr>
      <w:r>
        <w:t>Context</w:t>
      </w:r>
    </w:p>
    <w:p>
      <w:pPr/>
      <w:r>
        <w:t>Notifications, escalations, and analytics must not block clinical workflows.</w:t>
      </w:r>
    </w:p>
    <w:p>
      <w:pPr>
        <w:pStyle w:val="Heading2"/>
        <w:jc w:val="left"/>
      </w:pPr>
      <w:r>
        <w:t>Decision</w:t>
      </w:r>
    </w:p>
    <w:p>
      <w:pPr/>
      <w:r>
        <w:t>Use asynchronous events for non-critical cross-domain interactions.</w:t>
      </w:r>
    </w:p>
    <w:p>
      <w:pPr>
        <w:pStyle w:val="Heading2"/>
        <w:jc w:val="left"/>
      </w:pPr>
      <w:r>
        <w:t>Rationale</w:t>
      </w:r>
    </w:p>
    <w:p>
      <w:pPr/>
      <w:r>
        <w:t>Improves resilience and scalability while keeping clinical state changes synchronous.</w:t>
      </w:r>
    </w:p>
    <w:p>
      <w:pPr>
        <w:pStyle w:val="Heading2"/>
        <w:jc w:val="left"/>
      </w:pPr>
      <w:r>
        <w:t>Consequences</w:t>
      </w:r>
    </w:p>
    <w:p>
      <w:pPr/>
      <w:r>
        <w:t>Positive: Decoupling and reliability. Constraint: Events are not authoritative state.</w:t>
      </w:r>
    </w:p>
    <w:p>
      <w:pPr>
        <w:pStyle w:val="Heading1"/>
        <w:jc w:val="left"/>
      </w:pPr>
      <w:r>
        <w:t>ADR-08: Rejection of Pure Microservices</w:t>
      </w:r>
    </w:p>
    <w:p>
      <w:pPr>
        <w:pStyle w:val="Heading2"/>
        <w:jc w:val="left"/>
      </w:pPr>
      <w:r>
        <w:t>Status</w:t>
      </w:r>
    </w:p>
    <w:p>
      <w:pPr/>
      <w:r>
        <w:t>Rejected</w:t>
      </w:r>
    </w:p>
    <w:p>
      <w:pPr>
        <w:pStyle w:val="Heading2"/>
        <w:jc w:val="left"/>
      </w:pPr>
      <w:r>
        <w:t>Context</w:t>
      </w:r>
    </w:p>
    <w:p>
      <w:pPr/>
      <w:r>
        <w:t>Pure microservices introduce distributed transactions and operational overhead.</w:t>
      </w:r>
    </w:p>
    <w:p>
      <w:pPr>
        <w:pStyle w:val="Heading2"/>
        <w:jc w:val="left"/>
      </w:pPr>
      <w:r>
        <w:t>Decision</w:t>
      </w:r>
    </w:p>
    <w:p>
      <w:pPr/>
      <w:r>
        <w:t>Do not adopt pure microservices at this stage.</w:t>
      </w:r>
    </w:p>
    <w:p>
      <w:pPr>
        <w:pStyle w:val="Heading2"/>
        <w:jc w:val="left"/>
      </w:pPr>
      <w:r>
        <w:t>Rationale</w:t>
      </w:r>
    </w:p>
    <w:p>
      <w:pPr/>
      <w:r>
        <w:t>Healthcare compliance and auditability favor fewer, well-governed deployment units.</w:t>
      </w:r>
    </w:p>
    <w:p>
      <w:pPr>
        <w:pStyle w:val="Heading2"/>
        <w:jc w:val="left"/>
      </w:pPr>
      <w:r>
        <w:t>Consequences</w:t>
      </w:r>
    </w:p>
    <w:p>
      <w:pPr/>
      <w:r>
        <w:t>Microservices may be reconsidered once domains and workloads stabilize.</w:t>
      </w:r>
    </w:p>
    <w:p>
      <w:pPr>
        <w:pStyle w:val="Heading1"/>
        <w:jc w:val="left"/>
      </w:pPr>
      <w:r>
        <w:t>ADR-09: Deployment Variant Selection</w:t>
      </w:r>
    </w:p>
    <w:p>
      <w:pPr>
        <w:pStyle w:val="Heading2"/>
        <w:jc w:val="left"/>
      </w:pPr>
      <w:r>
        <w:t>Status</w:t>
      </w:r>
    </w:p>
    <w:p>
      <w:pPr/>
      <w:r>
        <w:t>Approved</w:t>
      </w:r>
    </w:p>
    <w:p>
      <w:pPr>
        <w:pStyle w:val="Heading2"/>
        <w:jc w:val="left"/>
      </w:pPr>
      <w:r>
        <w:t>Context</w:t>
      </w:r>
    </w:p>
    <w:p>
      <w:pPr/>
      <w:r>
        <w:t>The platform must support on-prem, private cloud, or hybrid deployments.</w:t>
      </w:r>
    </w:p>
    <w:p>
      <w:pPr>
        <w:pStyle w:val="Heading2"/>
        <w:jc w:val="left"/>
      </w:pPr>
      <w:r>
        <w:t>Options Considered</w:t>
      </w:r>
    </w:p>
    <w:p>
      <w:pPr/>
      <w:r>
        <w:t>Option A: Container-based runtime. Option B: VM/App-based runtime.</w:t>
      </w:r>
    </w:p>
    <w:p>
      <w:pPr>
        <w:pStyle w:val="Heading2"/>
        <w:jc w:val="left"/>
      </w:pPr>
      <w:r>
        <w:t>Decision</w:t>
      </w:r>
    </w:p>
    <w:p>
      <w:pPr/>
      <w:r>
        <w:t>Select container-based deployment as the primary model.</w:t>
      </w:r>
    </w:p>
    <w:p>
      <w:pPr>
        <w:pStyle w:val="Heading2"/>
        <w:jc w:val="left"/>
      </w:pPr>
      <w:r>
        <w:t>Rationale</w:t>
      </w:r>
    </w:p>
    <w:p>
      <w:pPr/>
      <w:r>
        <w:t>Provides portability, scalability, and operational consistency across environments.</w:t>
      </w:r>
    </w:p>
    <w:p>
      <w:pPr>
        <w:pStyle w:val="Heading2"/>
        <w:jc w:val="left"/>
      </w:pPr>
      <w:r>
        <w:t>Consequences</w:t>
      </w:r>
    </w:p>
    <w:p>
      <w:pPr/>
      <w:r>
        <w:t>Trade-off: Requires container expertise and platform governance.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Bhatia, Uttam Kumar (Cognizant)</lastModifiedBy>
  <revision>2</revision>
  <dcterms:created xsi:type="dcterms:W3CDTF">2026-04-19T20:07:36.0010412Z</dcterms:created>
  <dcterms:modified xsi:type="dcterms:W3CDTF">2026-04-19T20:07:36.0010412Z</dcterms:modified>
  <dc:creator>Bhatia, Uttam Kumar (Cognizant)</dc:creator>
</coreProperties>
</file>