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Architecture Decision Record (ADR)</w:t>
      </w:r>
    </w:p>
    <w:p>
      <w:r>
        <w:rPr>
          <w:sz w:val="22"/>
        </w:rPr>
        <w:t>Azure-Native Architectural Style Selection</w:t>
      </w:r>
    </w:p>
    <w:p>
      <w:r>
        <w:rPr>
          <w:sz w:val="22"/>
        </w:rPr>
        <w:t>Healthcare Patient Engagement &amp; Care Coordination Platform</w:t>
      </w:r>
    </w:p>
    <w:p>
      <w:r>
        <w:rPr>
          <w:sz w:val="22"/>
        </w:rPr>
        <w:t>Version: 1.0</w:t>
      </w:r>
    </w:p>
    <w:p>
      <w:r>
        <w:rPr>
          <w:sz w:val="22"/>
        </w:rPr>
        <w:t>Date: April 2026</w:t>
      </w:r>
    </w:p>
    <w:p>
      <w:pPr>
        <w:pStyle w:val="Heading1"/>
      </w:pPr>
      <w:r>
        <w:rPr>
          <w:b/>
        </w:rPr>
        <w:t>ADR-10: Azure-Native Architectural Style</w:t>
      </w:r>
    </w:p>
    <w:p>
      <w:r>
        <w:rPr>
          <w:sz w:val="22"/>
        </w:rPr>
        <w:t>Status: Approved</w:t>
      </w:r>
    </w:p>
    <w:p>
      <w:pPr>
        <w:pStyle w:val="Heading2"/>
      </w:pPr>
      <w:r>
        <w:rPr>
          <w:b/>
        </w:rPr>
        <w:t>Context</w:t>
      </w:r>
    </w:p>
    <w:p>
      <w:r>
        <w:rPr>
          <w:sz w:val="22"/>
        </w:rPr>
        <w:t>The platform is to be deployed using Microsoft Azure managed cloud services, including identity, API management, messaging, monitoring, and clinical data services. The solution must support elastic scaling, centralized security and governance, high availability, and healthcare regulatory compliance (e.g., HIPAA).</w:t>
      </w:r>
    </w:p>
    <w:p>
      <w:pPr>
        <w:pStyle w:val="Heading2"/>
      </w:pPr>
      <w:r>
        <w:rPr>
          <w:b/>
        </w:rPr>
        <w:t>Decision</w:t>
      </w:r>
    </w:p>
    <w:p>
      <w:r>
        <w:rPr>
          <w:sz w:val="22"/>
        </w:rPr>
        <w:t>Adopt a Cloud-Native, Domain-Driven Microservices Architecture leveraging Azure managed services and Event-Driven Architecture (EDA) for inter-service communication.</w:t>
      </w:r>
    </w:p>
    <w:p>
      <w:pPr>
        <w:pStyle w:val="Heading2"/>
      </w:pPr>
      <w:r>
        <w:rPr>
          <w:b/>
        </w:rPr>
        <w:t>Rationale</w:t>
      </w:r>
    </w:p>
    <w:p>
      <w:r>
        <w:rPr>
          <w:sz w:val="22"/>
        </w:rPr>
        <w:t>The decision is based on the following factors:</w:t>
      </w:r>
    </w:p>
    <w:p>
      <w:r>
        <w:rPr>
          <w:sz w:val="22"/>
        </w:rPr>
        <w:t>• Azure managed services significantly reduce operational complexity for security, observability, and governance.</w:t>
      </w:r>
    </w:p>
    <w:p>
      <w:r>
        <w:rPr>
          <w:sz w:val="22"/>
        </w:rPr>
        <w:t>• Domain-driven microservices enable independent scaling and evolution of bounded contexts such as Care Plans, Consent, Protocols, and Audit.</w:t>
      </w:r>
    </w:p>
    <w:p>
      <w:r>
        <w:rPr>
          <w:sz w:val="22"/>
        </w:rPr>
        <w:t>• Event-driven integration improves resilience and decoupling for non-critical workflows such as notifications and escalations.</w:t>
      </w:r>
    </w:p>
    <w:p>
      <w:r>
        <w:rPr>
          <w:sz w:val="22"/>
        </w:rPr>
        <w:t>• Platform-level controls (RBAC, Policy, Monitoring) align well with healthcare compliance needs.</w:t>
      </w:r>
    </w:p>
    <w:p>
      <w:pPr>
        <w:pStyle w:val="Heading2"/>
      </w:pPr>
      <w:r>
        <w:rPr>
          <w:b/>
        </w:rPr>
        <w:t>Architectural Characteristics</w:t>
      </w:r>
    </w:p>
    <w:p>
      <w:r>
        <w:rPr>
          <w:sz w:val="22"/>
        </w:rPr>
        <w:t>• Each bounded context is implemented as an independent microservice.</w:t>
      </w:r>
    </w:p>
    <w:p>
      <w:r>
        <w:rPr>
          <w:sz w:val="22"/>
        </w:rPr>
        <w:t>• All external access is mediated through an API Gateway.</w:t>
      </w:r>
    </w:p>
    <w:p>
      <w:r>
        <w:rPr>
          <w:sz w:val="22"/>
        </w:rPr>
        <w:t>• Synchronous REST is used for critical clinical flows.</w:t>
      </w:r>
    </w:p>
    <w:p>
      <w:r>
        <w:rPr>
          <w:sz w:val="22"/>
        </w:rPr>
        <w:t>• Asynchronous events are used for cross-domain communication where eventual consistency is acceptable.</w:t>
      </w:r>
    </w:p>
    <w:p>
      <w:r>
        <w:rPr>
          <w:sz w:val="22"/>
        </w:rPr>
        <w:t>• Each service owns its data; no shared databases are allowed.</w:t>
      </w:r>
    </w:p>
    <w:p>
      <w:pPr>
        <w:pStyle w:val="Heading2"/>
      </w:pPr>
      <w:r>
        <w:rPr>
          <w:b/>
        </w:rPr>
        <w:t>Consequences</w:t>
      </w:r>
    </w:p>
    <w:p>
      <w:r>
        <w:rPr>
          <w:sz w:val="22"/>
        </w:rPr>
        <w:t>Positive:</w:t>
      </w:r>
    </w:p>
    <w:p>
      <w:r>
        <w:rPr>
          <w:sz w:val="22"/>
        </w:rPr>
        <w:t>• High scalability and availability.</w:t>
      </w:r>
    </w:p>
    <w:p>
      <w:r>
        <w:rPr>
          <w:sz w:val="22"/>
        </w:rPr>
        <w:t>• Strong security and compliance posture enforced at the platform level.</w:t>
      </w:r>
    </w:p>
    <w:p>
      <w:r>
        <w:rPr>
          <w:sz w:val="22"/>
        </w:rPr>
        <w:t>• Independent deployment and evolution of services.</w:t>
      </w:r>
    </w:p>
    <w:p>
      <w:r>
        <w:rPr>
          <w:sz w:val="22"/>
        </w:rPr>
        <w:t>Trade-offs:</w:t>
      </w:r>
    </w:p>
    <w:p>
      <w:r>
        <w:rPr>
          <w:sz w:val="22"/>
        </w:rPr>
        <w:t>• Increased operational complexity compared to a modular monolith.</w:t>
      </w:r>
    </w:p>
    <w:p>
      <w:r>
        <w:rPr>
          <w:sz w:val="22"/>
        </w:rPr>
        <w:t>• Requires mature DevOps and SRE practices.</w:t>
      </w:r>
    </w:p>
    <w:p>
      <w:pPr>
        <w:pStyle w:val="Heading2"/>
      </w:pPr>
      <w:r>
        <w:rPr>
          <w:b/>
        </w:rPr>
        <w:t>Alternatives Considered</w:t>
      </w:r>
    </w:p>
    <w:p>
      <w:r>
        <w:rPr>
          <w:sz w:val="22"/>
        </w:rPr>
        <w:t>• Modular Monolith with Event-Driven Architecture – Retained as fallback option.</w:t>
      </w:r>
    </w:p>
    <w:p>
      <w:r>
        <w:rPr>
          <w:sz w:val="22"/>
        </w:rPr>
        <w:t>• Serverless-only Architecture – Rejected due to orchestration and state management complexity.</w:t>
      </w:r>
    </w:p>
    <w:p>
      <w:pPr>
        <w:pStyle w:val="Heading2"/>
      </w:pPr>
      <w:r>
        <w:rPr>
          <w:b/>
        </w:rPr>
        <w:t>Notes</w:t>
      </w:r>
    </w:p>
    <w:p>
      <w:r>
        <w:rPr>
          <w:sz w:val="22"/>
        </w:rPr>
        <w:t>This decision does not invalidate the cloud-agnostic architecture. It represents an Azure-specific realization of the same domain model, guardrails, and compliance principles.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Bhatia, Uttam Kumar (Cognizant)</dc:creator>
  <keywords/>
  <dc:description>generated by python-docx</dc:description>
  <lastModifiedBy>Bhatia, Uttam Kumar (Cognizant)</lastModifiedBy>
  <revision>1</revision>
  <dcterms:created xsi:type="dcterms:W3CDTF">2026-04-21T02:17:11.3498384Z</dcterms:created>
  <dcterms:modified xsi:type="dcterms:W3CDTF">2026-04-21T02:17:11.3498384Z</dcterms:modified>
  <category/>
</coreProperties>
</file>