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Architectural Guardrails</w:t>
      </w:r>
    </w:p>
    <w:p>
      <w:pPr/>
      <w:r>
        <w:t>Healthcare Patient Engagement &amp; Care Coordination Platform</w:t>
      </w:r>
    </w:p>
    <w:p>
      <w:pPr/>
      <w:r>
        <w:t>Version: 1.0 | Date: April 2026</w:t>
      </w:r>
    </w:p>
    <w:p>
      <w:pPr>
        <w:pStyle w:val="Heading1"/>
        <w:jc w:val="left"/>
      </w:pPr>
      <w:r>
        <w:t>1. Purpose &amp; Scope</w:t>
      </w:r>
    </w:p>
    <w:p>
      <w:pPr/>
      <w:r>
        <w:t>This document defines mandatory architectural guardrails for the Healthcare Patient Engagement &amp; Care Coordination Platform. These guardrails establish enforceable boundaries to ensure security, compliance, clinical safety, reliability, and governance across the solution lifecycle.</w:t>
      </w:r>
    </w:p>
    <w:p>
      <w:pPr>
        <w:pStyle w:val="Heading1"/>
        <w:jc w:val="left"/>
      </w:pPr>
      <w:r>
        <w:t>2. Security &amp; Identity Guardrails</w:t>
      </w:r>
    </w:p>
    <w:p>
      <w:pPr>
        <w:pStyle w:val="Heading2"/>
        <w:jc w:val="left"/>
      </w:pPr>
      <w:r>
        <w:t>SG-01: Centralized Identity &amp; Authentication</w:t>
      </w:r>
    </w:p>
    <w:p>
      <w:pPr/>
      <w:r>
        <w:t>All users must authenticate using Azure Entra ID with mandatory MFA for clinicians and administrators. Local authentication mechanisms are prohibited.</w:t>
      </w:r>
    </w:p>
    <w:p>
      <w:pPr>
        <w:pStyle w:val="Heading2"/>
        <w:jc w:val="left"/>
      </w:pPr>
      <w:r>
        <w:t>SG-02: Least Privilege Access</w:t>
      </w:r>
    </w:p>
    <w:p>
      <w:pPr/>
      <w:r>
        <w:t>Access to system resources must be governed through role-based access control (RBAC). Shared or permanent privileged accounts are not permitted.</w:t>
      </w:r>
    </w:p>
    <w:p>
      <w:pPr>
        <w:pStyle w:val="Heading2"/>
        <w:jc w:val="left"/>
      </w:pPr>
      <w:r>
        <w:t>SG-03: Break-Glass Emergency Access</w:t>
      </w:r>
    </w:p>
    <w:p>
      <w:pPr/>
      <w:r>
        <w:t>Emergency access must be implemented using Azure Privileged Identity Management (PIM) with time-bound access, justification capture, and full audit logging.</w:t>
      </w:r>
    </w:p>
    <w:p>
      <w:pPr>
        <w:pStyle w:val="Heading1"/>
        <w:jc w:val="left"/>
      </w:pPr>
      <w:r>
        <w:t>3. Data &amp; Privacy Guardrails</w:t>
      </w:r>
    </w:p>
    <w:p>
      <w:pPr>
        <w:pStyle w:val="Heading2"/>
        <w:jc w:val="left"/>
      </w:pPr>
      <w:r>
        <w:t>DG-01: PHI Data Residency</w:t>
      </w:r>
    </w:p>
    <w:p>
      <w:pPr/>
      <w:r>
        <w:t>Protected Health Information (PHI) must reside exclusively within Azure Health Data Services (FHIR). PHI storage in application logs or client applications is prohibited.</w:t>
      </w:r>
    </w:p>
    <w:p>
      <w:pPr>
        <w:pStyle w:val="Heading2"/>
        <w:jc w:val="left"/>
      </w:pPr>
      <w:r>
        <w:t>DG-02: Encryption Standards</w:t>
      </w:r>
    </w:p>
    <w:p>
      <w:pPr/>
      <w:r>
        <w:t>All data must be encrypted at rest using AES-256 and in transit using TLS 1.2 or higher. Secrets must be stored in Azure Key Vault.</w:t>
      </w:r>
    </w:p>
    <w:p>
      <w:pPr>
        <w:pStyle w:val="Heading2"/>
        <w:jc w:val="left"/>
      </w:pPr>
      <w:r>
        <w:t>DG-03: Telemedicine Privacy</w:t>
      </w:r>
    </w:p>
    <w:p>
      <w:pPr/>
      <w:r>
        <w:t>Telemedicine sessions must not be recorded. Only structured clinical documentation may be persisted.</w:t>
      </w:r>
    </w:p>
    <w:p>
      <w:pPr>
        <w:pStyle w:val="Heading1"/>
        <w:jc w:val="left"/>
      </w:pPr>
      <w:r>
        <w:t>4. Clinical Safety &amp; Compliance Guardrails</w:t>
      </w:r>
    </w:p>
    <w:p>
      <w:pPr>
        <w:pStyle w:val="Heading2"/>
        <w:jc w:val="left"/>
      </w:pPr>
      <w:r>
        <w:t>CG-01: Care Plan Protocol Enforcement</w:t>
      </w:r>
    </w:p>
    <w:p>
      <w:pPr/>
      <w:r>
        <w:t>All care plans must reference an approved clinical protocol. Activation of care plans is blocked unless protocol validation succeeds.</w:t>
      </w:r>
    </w:p>
    <w:p>
      <w:pPr>
        <w:pStyle w:val="Heading2"/>
        <w:jc w:val="left"/>
      </w:pPr>
      <w:r>
        <w:t>CG-02: Immutable Clinical Records</w:t>
      </w:r>
    </w:p>
    <w:p>
      <w:pPr/>
      <w:r>
        <w:t>Clinical records must be immutable. Updates are permitted only through versioning, preserving full historical context.</w:t>
      </w:r>
    </w:p>
    <w:p>
      <w:pPr>
        <w:pStyle w:val="Heading2"/>
        <w:jc w:val="left"/>
      </w:pPr>
      <w:r>
        <w:t>CG-03: Consent-Driven Access</w:t>
      </w:r>
    </w:p>
    <w:p>
      <w:pPr/>
      <w:r>
        <w:t>Patient data access must be explicitly governed by consent. Separate consent is required for telemedicine and remote monitoring.</w:t>
      </w:r>
    </w:p>
    <w:p>
      <w:pPr>
        <w:pStyle w:val="Heading1"/>
        <w:jc w:val="left"/>
      </w:pPr>
      <w:r>
        <w:t>5. Architecture &amp; Integration Guardrails</w:t>
      </w:r>
    </w:p>
    <w:p>
      <w:pPr>
        <w:pStyle w:val="Heading2"/>
        <w:jc w:val="left"/>
      </w:pPr>
      <w:r>
        <w:t>AG-01: API Gateway Mandate</w:t>
      </w:r>
    </w:p>
    <w:p>
      <w:pPr/>
      <w:r>
        <w:t>All external APIs must be exposed through Azure API Management. Direct service exposure is not allowed.</w:t>
      </w:r>
    </w:p>
    <w:p>
      <w:pPr>
        <w:pStyle w:val="Heading2"/>
        <w:jc w:val="left"/>
      </w:pPr>
      <w:r>
        <w:t>AG-02: Event-Driven Integration</w:t>
      </w:r>
    </w:p>
    <w:p>
      <w:pPr/>
      <w:r>
        <w:t>Cross-service communication must be event-driven using Azure Event Grid or Service Bus. Tight synchronous coupling is prohibited.</w:t>
      </w:r>
    </w:p>
    <w:p>
      <w:pPr>
        <w:pStyle w:val="Heading2"/>
        <w:jc w:val="left"/>
      </w:pPr>
      <w:r>
        <w:t>AG-03: FHIR Interoperability</w:t>
      </w:r>
    </w:p>
    <w:p>
      <w:pPr/>
      <w:r>
        <w:t>All external clinical integrations must adhere to FHIR R4 standards. Proprietary data exchange formats are not permitted.</w:t>
      </w:r>
    </w:p>
    <w:p>
      <w:pPr>
        <w:pStyle w:val="Heading1"/>
        <w:jc w:val="left"/>
      </w:pPr>
      <w:r>
        <w:t>6. Reliability &amp; Resilience Guardrails</w:t>
      </w:r>
    </w:p>
    <w:p>
      <w:pPr>
        <w:pStyle w:val="Heading2"/>
        <w:jc w:val="left"/>
      </w:pPr>
      <w:r>
        <w:t>RG-01: High Availability</w:t>
      </w:r>
    </w:p>
    <w:p>
      <w:pPr/>
      <w:r>
        <w:t>All patient-facing and critical services must be deployed across multiple availability zones with active-active configuration where applicable.</w:t>
      </w:r>
    </w:p>
    <w:p>
      <w:pPr>
        <w:pStyle w:val="Heading2"/>
        <w:jc w:val="left"/>
      </w:pPr>
      <w:r>
        <w:t>RG-02: Disaster Recovery</w:t>
      </w:r>
    </w:p>
    <w:p>
      <w:pPr/>
      <w:r>
        <w:t>The platform must meet RTO of 1 hour and RPO of 15 minutes. Disaster recovery drills must be conducted periodically.</w:t>
      </w:r>
    </w:p>
    <w:p>
      <w:pPr>
        <w:pStyle w:val="Heading2"/>
        <w:jc w:val="left"/>
      </w:pPr>
      <w:r>
        <w:t>RG-03: Observability</w:t>
      </w:r>
    </w:p>
    <w:p>
      <w:pPr/>
      <w:r>
        <w:t>All services must emit logs, metrics, and traces to centralized monitoring systems for auditability and incident response.</w:t>
      </w:r>
    </w:p>
    <w:p>
      <w:pPr>
        <w:pStyle w:val="Heading1"/>
        <w:jc w:val="left"/>
      </w:pPr>
      <w:r>
        <w:t>7. Governance &amp; Delivery Guardrails</w:t>
      </w:r>
    </w:p>
    <w:p>
      <w:pPr>
        <w:pStyle w:val="Heading2"/>
        <w:jc w:val="left"/>
      </w:pPr>
      <w:r>
        <w:t>GG-01: Architecture Review Gate</w:t>
      </w:r>
    </w:p>
    <w:p>
      <w:pPr/>
      <w:r>
        <w:t>Any change impacting security, data handling, or clinical workflows must undergo Architecture Review Board (ARB) approval.</w:t>
      </w:r>
    </w:p>
    <w:p>
      <w:pPr>
        <w:pStyle w:val="Heading2"/>
        <w:jc w:val="left"/>
      </w:pPr>
      <w:r>
        <w:t>GG-02: Policy as Code</w:t>
      </w:r>
    </w:p>
    <w:p>
      <w:pPr/>
      <w:r>
        <w:t>Architectural guardrails must be enforced using Azure Policy and CI/CD pipeline checks. Manual enforcement is not acceptable.</w:t>
      </w:r>
    </w:p>
    <w:p>
      <w:pPr>
        <w:pStyle w:val="Heading2"/>
        <w:jc w:val="left"/>
      </w:pPr>
      <w:r>
        <w:t>GG-03: Risk Acceptance</w:t>
      </w:r>
    </w:p>
    <w:p>
      <w:pPr/>
      <w:r>
        <w:t>High and critical risks require formal risk acceptance approval by Security and Compliance leadership.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Bhatia, Uttam Kumar (Cognizant)</lastModifiedBy>
  <revision>2</revision>
  <dcterms:created xsi:type="dcterms:W3CDTF">2026-04-19T19:04:46.1074876Z</dcterms:created>
  <dcterms:modified xsi:type="dcterms:W3CDTF">2026-04-19T19:04:46.1074876Z</dcterms:modified>
  <dc:creator>Bhatia, Uttam Kumar (Cognizant)</dc:creator>
</coreProperties>
</file>