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Architectural Guardrails – Consolidated</w:t>
      </w:r>
    </w:p>
    <w:p>
      <w:pPr/>
      <w:r>
        <w:t>Healthcare Patient Engagement &amp; Care Coordination Platform</w:t>
      </w:r>
    </w:p>
    <w:p>
      <w:pPr/>
      <w:r>
        <w:t>Security | Governance | Compliance | Azure Policy Enforcement</w:t>
      </w:r>
    </w:p>
    <w:p>
      <w:pPr/>
      <w:r>
        <w:t>Version: 2.0 | Date: April 2026</w:t>
      </w:r>
    </w:p>
    <w:p>
      <w:pPr>
        <w:pStyle w:val="Heading1"/>
        <w:jc w:val="left"/>
      </w:pPr>
      <w:r>
        <w:t>1. Purpose &amp; Scope</w:t>
      </w:r>
    </w:p>
    <w:p>
      <w:pPr/>
      <w:r>
        <w:t>This document defines mandatory architectural guardrails for the healthcare platform. Guardrails are enforceable constraints designed to ensure security, clinical safety, regulatory compliance, and cloud governance. All solution components must comply with these guardrails unless formally exempted via ARB approval.</w:t>
      </w:r>
    </w:p>
    <w:p>
      <w:pPr>
        <w:pStyle w:val="Heading1"/>
        <w:jc w:val="left"/>
      </w:pPr>
      <w:r>
        <w:t>2. Architectural Guardrails</w:t>
      </w:r>
    </w:p>
    <w:p>
      <w:pPr>
        <w:pStyle w:val="Heading2"/>
        <w:jc w:val="left"/>
      </w:pPr>
      <w:r>
        <w:t>2.1 Security &amp; Identity Guardrails</w:t>
      </w:r>
    </w:p>
    <w:p>
      <w:pPr/>
      <w:r>
        <w:t>• All users must authenticate via Azure Entra ID with MFA</w:t>
      </w:r>
    </w:p>
    <w:p>
      <w:pPr/>
      <w:r>
        <w:t>• RBAC and Azure PIM required for privileged access</w:t>
      </w:r>
    </w:p>
    <w:p>
      <w:pPr/>
      <w:r>
        <w:t>• Break-glass access must be time-bound, justified, and audited</w:t>
      </w:r>
    </w:p>
    <w:p>
      <w:pPr>
        <w:pStyle w:val="Heading2"/>
        <w:jc w:val="left"/>
      </w:pPr>
      <w:r>
        <w:t>2.2 Data &amp; Privacy Guardrails</w:t>
      </w:r>
    </w:p>
    <w:p>
      <w:pPr/>
      <w:r>
        <w:t>• PHI must reside only in Azure Health Data Services (FHIR)</w:t>
      </w:r>
    </w:p>
    <w:p>
      <w:pPr/>
      <w:r>
        <w:t>• Encryption at rest (AES-256) and in transit (TLS 1.2+)</w:t>
      </w:r>
    </w:p>
    <w:p>
      <w:pPr/>
      <w:r>
        <w:t>• Telemedicine sessions must not be recorded</w:t>
      </w:r>
    </w:p>
    <w:p>
      <w:pPr>
        <w:pStyle w:val="Heading2"/>
        <w:jc w:val="left"/>
      </w:pPr>
      <w:r>
        <w:t>2.3 Clinical Safety &amp; Compliance Guardrails</w:t>
      </w:r>
    </w:p>
    <w:p>
      <w:pPr/>
      <w:r>
        <w:t>• Care plans must reference approved clinical protocols</w:t>
      </w:r>
    </w:p>
    <w:p>
      <w:pPr/>
      <w:r>
        <w:t>• Protocol validation must block non-compliant care plans</w:t>
      </w:r>
    </w:p>
    <w:p>
      <w:pPr/>
      <w:r>
        <w:t>• Clinical records must be immutable and versioned</w:t>
      </w:r>
    </w:p>
    <w:p>
      <w:pPr>
        <w:pStyle w:val="Heading2"/>
        <w:jc w:val="left"/>
      </w:pPr>
      <w:r>
        <w:t>2.4 Architecture &amp; Integration Guardrails</w:t>
      </w:r>
    </w:p>
    <w:p>
      <w:pPr/>
      <w:r>
        <w:t>• All external APIs must use Azure API Management</w:t>
      </w:r>
    </w:p>
    <w:p>
      <w:pPr/>
      <w:r>
        <w:t>• Event-driven integration via Azure Event Grid / Service Bus</w:t>
      </w:r>
    </w:p>
    <w:p>
      <w:pPr/>
      <w:r>
        <w:t>• FHIR R4 mandatory for clinical interoperability</w:t>
      </w:r>
    </w:p>
    <w:p>
      <w:pPr>
        <w:pStyle w:val="Heading2"/>
        <w:jc w:val="left"/>
      </w:pPr>
      <w:r>
        <w:t>2.5 Reliability &amp; Resilience Guardrails</w:t>
      </w:r>
    </w:p>
    <w:p>
      <w:pPr/>
      <w:r>
        <w:t>• Multi-AZ deployment required for critical services</w:t>
      </w:r>
    </w:p>
    <w:p>
      <w:pPr/>
      <w:r>
        <w:t>• RTO ≤ 1 hour, RPO ≤ 15 minutes</w:t>
      </w:r>
    </w:p>
    <w:p>
      <w:pPr/>
      <w:r>
        <w:t>• Centralized monitoring via Azure Monitor</w:t>
      </w:r>
    </w:p>
    <w:p>
      <w:pPr>
        <w:pStyle w:val="Heading2"/>
        <w:jc w:val="left"/>
      </w:pPr>
      <w:r>
        <w:t>2.6 Governance &amp; Delivery Guardrails</w:t>
      </w:r>
    </w:p>
    <w:p>
      <w:pPr/>
      <w:r>
        <w:t>• Architecture Review Board approval required for deviations</w:t>
      </w:r>
    </w:p>
    <w:p>
      <w:pPr/>
      <w:r>
        <w:t>• Guardrails enforced using Azure Policy and CI/CD gates</w:t>
      </w:r>
    </w:p>
    <w:p>
      <w:pPr/>
      <w:r>
        <w:t>• Formal risk acceptance required for high/critical risks</w:t>
      </w:r>
    </w:p>
    <w:p>
      <w:pPr>
        <w:pStyle w:val="Heading1"/>
        <w:jc w:val="left"/>
      </w:pPr>
      <w:r>
        <w:t>3. Guardrails to Azure Policy Mapping</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b/>
              </w:rPr>
              <w:t>Guardrail ID</w:t>
            </w:r>
          </w:p>
        </w:tc>
        <w:tc>
          <w:tcPr>
            <w:tcW w:type="dxa" w:w="3120"/>
          </w:tcPr>
          <w:p>
            <w:pPr>
              <w:jc w:val="center"/>
            </w:pPr>
            <w:r>
              <w:rPr>
                <w:b/>
              </w:rPr>
              <w:t>Guardrail</w:t>
            </w:r>
          </w:p>
        </w:tc>
        <w:tc>
          <w:tcPr>
            <w:tcW w:type="dxa" w:w="3120"/>
          </w:tcPr>
          <w:p>
            <w:pPr>
              <w:jc w:val="center"/>
            </w:pPr>
            <w:r>
              <w:rPr>
                <w:b/>
              </w:rPr>
              <w:t>Azure Policy Definition ID</w:t>
            </w:r>
          </w:p>
        </w:tc>
      </w:tr>
      <w:tr>
        <w:tc>
          <w:tcPr>
            <w:tcW w:type="dxa" w:w="3120"/>
          </w:tcPr>
          <w:p>
            <w:r>
              <w:t>SG-01</w:t>
            </w:r>
          </w:p>
        </w:tc>
        <w:tc>
          <w:tcPr>
            <w:tcW w:type="dxa" w:w="3120"/>
          </w:tcPr>
          <w:p>
            <w:r>
              <w:t>Entra ID + MFA</w:t>
            </w:r>
          </w:p>
        </w:tc>
        <w:tc>
          <w:tcPr>
            <w:tcW w:type="dxa" w:w="3120"/>
          </w:tcPr>
          <w:p>
            <w:r>
              <w:t>Require-MFA</w:t>
            </w:r>
          </w:p>
        </w:tc>
      </w:tr>
      <w:tr>
        <w:tc>
          <w:tcPr>
            <w:tcW w:type="dxa" w:w="3120"/>
          </w:tcPr>
          <w:p>
            <w:r>
              <w:t>SG-03</w:t>
            </w:r>
          </w:p>
        </w:tc>
        <w:tc>
          <w:tcPr>
            <w:tcW w:type="dxa" w:w="3120"/>
          </w:tcPr>
          <w:p>
            <w:r>
              <w:t>Break-glass via PIM</w:t>
            </w:r>
          </w:p>
        </w:tc>
        <w:tc>
          <w:tcPr>
            <w:tcW w:type="dxa" w:w="3120"/>
          </w:tcPr>
          <w:p>
            <w:r>
              <w:t>Conditional-Access</w:t>
            </w:r>
          </w:p>
        </w:tc>
      </w:tr>
      <w:tr>
        <w:tc>
          <w:tcPr>
            <w:tcW w:type="dxa" w:w="3120"/>
          </w:tcPr>
          <w:p>
            <w:r>
              <w:t>DG-01</w:t>
            </w:r>
          </w:p>
        </w:tc>
        <w:tc>
          <w:tcPr>
            <w:tcW w:type="dxa" w:w="3120"/>
          </w:tcPr>
          <w:p>
            <w:r>
              <w:t>PHI residency</w:t>
            </w:r>
          </w:p>
        </w:tc>
        <w:tc>
          <w:tcPr>
            <w:tcW w:type="dxa" w:w="3120"/>
          </w:tcPr>
          <w:p>
            <w:r>
              <w:t>Allowed-Resource-Types</w:t>
            </w:r>
          </w:p>
        </w:tc>
      </w:tr>
      <w:tr>
        <w:tc>
          <w:tcPr>
            <w:tcW w:type="dxa" w:w="3120"/>
          </w:tcPr>
          <w:p>
            <w:r>
              <w:t>DG-02</w:t>
            </w:r>
          </w:p>
        </w:tc>
        <w:tc>
          <w:tcPr>
            <w:tcW w:type="dxa" w:w="3120"/>
          </w:tcPr>
          <w:p>
            <w:r>
              <w:t>Encryption enforced</w:t>
            </w:r>
          </w:p>
        </w:tc>
        <w:tc>
          <w:tcPr>
            <w:tcW w:type="dxa" w:w="3120"/>
          </w:tcPr>
          <w:p>
            <w:r>
              <w:t>Encrypt-Data-At-Rest</w:t>
            </w:r>
          </w:p>
        </w:tc>
      </w:tr>
      <w:tr>
        <w:tc>
          <w:tcPr>
            <w:tcW w:type="dxa" w:w="3120"/>
          </w:tcPr>
          <w:p>
            <w:r>
              <w:t>AG-01</w:t>
            </w:r>
          </w:p>
        </w:tc>
        <w:tc>
          <w:tcPr>
            <w:tcW w:type="dxa" w:w="3120"/>
          </w:tcPr>
          <w:p>
            <w:r>
              <w:t>API via APIM</w:t>
            </w:r>
          </w:p>
        </w:tc>
        <w:tc>
          <w:tcPr>
            <w:tcW w:type="dxa" w:w="3120"/>
          </w:tcPr>
          <w:p>
            <w:r>
              <w:t>Use-APIM-Gateway</w:t>
            </w:r>
          </w:p>
        </w:tc>
      </w:tr>
      <w:tr>
        <w:tc>
          <w:tcPr>
            <w:tcW w:type="dxa" w:w="3120"/>
          </w:tcPr>
          <w:p>
            <w:r>
              <w:t>RG-01</w:t>
            </w:r>
          </w:p>
        </w:tc>
        <w:tc>
          <w:tcPr>
            <w:tcW w:type="dxa" w:w="3120"/>
          </w:tcPr>
          <w:p>
            <w:r>
              <w:t>Multi-AZ</w:t>
            </w:r>
          </w:p>
        </w:tc>
        <w:tc>
          <w:tcPr>
            <w:tcW w:type="dxa" w:w="3120"/>
          </w:tcPr>
          <w:p>
            <w:r>
              <w:t>Require-Availability-Zones</w:t>
            </w:r>
          </w:p>
        </w:tc>
      </w:tr>
    </w:tbl>
    <w:p>
      <w:pPr>
        <w:pStyle w:val="Heading1"/>
        <w:jc w:val="left"/>
      </w:pPr>
      <w:r>
        <w:t>4. Guardrails to Risk Register Mapping</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Pr>
                <w:b/>
              </w:rPr>
              <w:t>Guardrail ID</w:t>
            </w:r>
          </w:p>
        </w:tc>
        <w:tc>
          <w:tcPr>
            <w:tcW w:type="dxa" w:w="3120"/>
          </w:tcPr>
          <w:p>
            <w:pPr>
              <w:jc w:val="center"/>
            </w:pPr>
            <w:r>
              <w:rPr>
                <w:b/>
              </w:rPr>
              <w:t>Risk ID</w:t>
            </w:r>
          </w:p>
        </w:tc>
        <w:tc>
          <w:tcPr>
            <w:tcW w:type="dxa" w:w="3120"/>
          </w:tcPr>
          <w:p>
            <w:pPr>
              <w:jc w:val="center"/>
            </w:pPr>
            <w:r>
              <w:rPr>
                <w:b/>
              </w:rPr>
              <w:t>Risk Description</w:t>
            </w:r>
          </w:p>
        </w:tc>
      </w:tr>
      <w:tr>
        <w:tc>
          <w:tcPr>
            <w:tcW w:type="dxa" w:w="3120"/>
          </w:tcPr>
          <w:p>
            <w:r>
              <w:t>SG-01</w:t>
            </w:r>
          </w:p>
        </w:tc>
        <w:tc>
          <w:tcPr>
            <w:tcW w:type="dxa" w:w="3120"/>
          </w:tcPr>
          <w:p>
            <w:r>
              <w:t>RISK-01</w:t>
            </w:r>
          </w:p>
        </w:tc>
        <w:tc>
          <w:tcPr>
            <w:tcW w:type="dxa" w:w="3120"/>
          </w:tcPr>
          <w:p>
            <w:r>
              <w:t>Unauthorized access to PHI</w:t>
            </w:r>
          </w:p>
        </w:tc>
      </w:tr>
      <w:tr>
        <w:tc>
          <w:tcPr>
            <w:tcW w:type="dxa" w:w="3120"/>
          </w:tcPr>
          <w:p>
            <w:r>
              <w:t>CG-01</w:t>
            </w:r>
          </w:p>
        </w:tc>
        <w:tc>
          <w:tcPr>
            <w:tcW w:type="dxa" w:w="3120"/>
          </w:tcPr>
          <w:p>
            <w:r>
              <w:t>RISK-02</w:t>
            </w:r>
          </w:p>
        </w:tc>
        <w:tc>
          <w:tcPr>
            <w:tcW w:type="dxa" w:w="3120"/>
          </w:tcPr>
          <w:p>
            <w:r>
              <w:t>Non-compliant care plan execution</w:t>
            </w:r>
          </w:p>
        </w:tc>
      </w:tr>
      <w:tr>
        <w:tc>
          <w:tcPr>
            <w:tcW w:type="dxa" w:w="3120"/>
          </w:tcPr>
          <w:p>
            <w:r>
              <w:t>CG-02</w:t>
            </w:r>
          </w:p>
        </w:tc>
        <w:tc>
          <w:tcPr>
            <w:tcW w:type="dxa" w:w="3120"/>
          </w:tcPr>
          <w:p>
            <w:r>
              <w:t>RISK-03</w:t>
            </w:r>
          </w:p>
        </w:tc>
        <w:tc>
          <w:tcPr>
            <w:tcW w:type="dxa" w:w="3120"/>
          </w:tcPr>
          <w:p>
            <w:r>
              <w:t>Loss of auditability</w:t>
            </w:r>
          </w:p>
        </w:tc>
      </w:tr>
      <w:tr>
        <w:tc>
          <w:tcPr>
            <w:tcW w:type="dxa" w:w="3120"/>
          </w:tcPr>
          <w:p>
            <w:r>
              <w:t>RG-01</w:t>
            </w:r>
          </w:p>
        </w:tc>
        <w:tc>
          <w:tcPr>
            <w:tcW w:type="dxa" w:w="3120"/>
          </w:tcPr>
          <w:p>
            <w:r>
              <w:t>RISK-04</w:t>
            </w:r>
          </w:p>
        </w:tc>
        <w:tc>
          <w:tcPr>
            <w:tcW w:type="dxa" w:w="3120"/>
          </w:tcPr>
          <w:p>
            <w:r>
              <w:t>Platform outage impacting care</w:t>
            </w:r>
          </w:p>
        </w:tc>
      </w:tr>
      <w:tr>
        <w:tc>
          <w:tcPr>
            <w:tcW w:type="dxa" w:w="3120"/>
          </w:tcPr>
          <w:p>
            <w:r>
              <w:t>SG-03</w:t>
            </w:r>
          </w:p>
        </w:tc>
        <w:tc>
          <w:tcPr>
            <w:tcW w:type="dxa" w:w="3120"/>
          </w:tcPr>
          <w:p>
            <w:r>
              <w:t>RISK-05</w:t>
            </w:r>
          </w:p>
        </w:tc>
        <w:tc>
          <w:tcPr>
            <w:tcW w:type="dxa" w:w="3120"/>
          </w:tcPr>
          <w:p>
            <w:r>
              <w:t>Abuse of emergency access</w:t>
            </w:r>
          </w:p>
        </w:tc>
      </w:tr>
    </w:tbl>
    <w:p>
      <w:pPr>
        <w:pStyle w:val="Heading1"/>
        <w:jc w:val="left"/>
      </w:pPr>
      <w:r>
        <w:t>5. Architecture Review Board (ARB) Guardrail Checklist</w:t>
      </w:r>
    </w:p>
    <w:p>
      <w:pPr/>
      <w:r>
        <w:t>Security</w:t>
      </w:r>
    </w:p>
    <w:p>
      <w:pPr/>
      <w:r>
        <w:t>☐ MFA enabled for all privileged users</w:t>
      </w:r>
    </w:p>
    <w:p>
      <w:pPr/>
      <w:r>
        <w:t>☐ RBAC and PIM configured</w:t>
      </w:r>
    </w:p>
    <w:p>
      <w:pPr/>
      <w:r>
        <w:t>Data &amp; Privacy</w:t>
      </w:r>
    </w:p>
    <w:p>
      <w:pPr/>
      <w:r>
        <w:t>☐ PHI stored only in FHIR services</w:t>
      </w:r>
    </w:p>
    <w:p>
      <w:pPr/>
      <w:r>
        <w:t>☐ Encryption validated</w:t>
      </w:r>
    </w:p>
    <w:p>
      <w:pPr/>
      <w:r>
        <w:t>Clinical Safety</w:t>
      </w:r>
    </w:p>
    <w:p>
      <w:pPr/>
      <w:r>
        <w:t>☐ Care plans validated against protocols</w:t>
      </w:r>
    </w:p>
    <w:p>
      <w:pPr/>
      <w:r>
        <w:t>☐ Clinical records immutable</w:t>
      </w:r>
    </w:p>
    <w:p>
      <w:pPr>
        <w:pStyle w:val="Heading1"/>
        <w:jc w:val="left"/>
      </w:pPr>
      <w:r>
        <w:t>6. Guardrails Enforcement Model</w:t>
      </w:r>
    </w:p>
    <w:p>
      <w:pPr/>
      <w:r>
        <w:t>Design → CI/CD → Azure Policy → Deploy → Monitor &amp; Audit</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lastModifiedBy>Bhatia, Uttam Kumar (Cognizant)</lastModifiedBy>
  <revision>2</revision>
  <dcterms:created xsi:type="dcterms:W3CDTF">2026-04-19T19:07:58.6925025Z</dcterms:created>
  <dcterms:modified xsi:type="dcterms:W3CDTF">2026-04-19T19:07:58.6925025Z</dcterms:modified>
  <dc:creator>Bhatia, Uttam Kumar (Cognizant)</dc:creator>
</coreProperties>
</file>