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High Level Design &amp; Architecture Document</w:t>
      </w:r>
    </w:p>
    <w:p>
      <w:r>
        <w:rPr>
          <w:sz w:val="22"/>
        </w:rPr>
        <w:t>Healthcare Patient Engagement &amp; Care Coordination Platform</w:t>
      </w:r>
    </w:p>
    <w:p>
      <w:r>
        <w:rPr>
          <w:sz w:val="22"/>
        </w:rPr>
        <w:t>Expanded Granular HLD with Architecture Diagrams</w:t>
      </w:r>
    </w:p>
    <w:p>
      <w:r>
        <w:rPr>
          <w:sz w:val="22"/>
        </w:rPr>
        <w:t>Version: 2.0 | Date: April 2026</w:t>
      </w:r>
    </w:p>
    <w:p>
      <w:pPr>
        <w:pStyle w:val="Heading1"/>
      </w:pPr>
      <w:r>
        <w:rPr>
          <w:b/>
        </w:rPr>
        <w:t>1. Introduction</w:t>
      </w:r>
    </w:p>
    <w:p>
      <w:pPr>
        <w:pStyle w:val="Heading2"/>
      </w:pPr>
      <w:r>
        <w:rPr>
          <w:b/>
        </w:rPr>
        <w:t>1.1 Purpose</w:t>
      </w:r>
    </w:p>
    <w:p>
      <w:r>
        <w:rPr>
          <w:sz w:val="22"/>
        </w:rPr>
        <w:t>This document provides a detailed High Level Design (HLD) for the Healthcare Patient Engagement &amp; Care Coordination Platform. It expands the baseline HLD with granular system details, architectural decisions, and visual representations (diagrams) aligned with enterprise and healthcare compliance standards.</w:t>
      </w:r>
    </w:p>
    <w:p>
      <w:pPr>
        <w:pStyle w:val="Heading2"/>
      </w:pPr>
      <w:r>
        <w:rPr>
          <w:b/>
        </w:rPr>
        <w:t>1.2 Scope</w:t>
      </w:r>
    </w:p>
    <w:p>
      <w:r>
        <w:rPr>
          <w:sz w:val="22"/>
        </w:rPr>
        <w:t>The document covers functional, conceptual, logical, deployment, security, and process architectures for an Azure‑native, multi‑region healthcare platform. It includes microservices, integrations, data flows, and resiliency considerations.</w:t>
      </w:r>
    </w:p>
    <w:p>
      <w:pPr>
        <w:pStyle w:val="Heading2"/>
      </w:pPr>
      <w:r>
        <w:rPr>
          <w:b/>
        </w:rPr>
        <w:t>1.3 Out of Scope</w:t>
      </w:r>
    </w:p>
    <w:p>
      <w:r>
        <w:rPr>
          <w:sz w:val="22"/>
        </w:rPr>
        <w:t>Low‑level design, environment-specific configurations, UI wireframes, and operational runbooks are excluded.</w:t>
      </w:r>
    </w:p>
    <w:p>
      <w:pPr>
        <w:pStyle w:val="Heading2"/>
      </w:pPr>
      <w:r>
        <w:rPr>
          <w:b/>
        </w:rPr>
        <w:t>1.4 Intended Audience</w:t>
      </w:r>
    </w:p>
    <w:p>
      <w:r>
        <w:rPr>
          <w:sz w:val="22"/>
        </w:rPr>
        <w:t>Architects, Developers, Security Teams, DevOps Engineers, Delivery Excellence, and Program Stakeholders.</w:t>
      </w:r>
    </w:p>
    <w:p>
      <w:pPr>
        <w:pStyle w:val="Heading1"/>
      </w:pPr>
      <w:r>
        <w:rPr>
          <w:b/>
        </w:rPr>
        <w:t>2. System Architecture Overview</w:t>
      </w:r>
    </w:p>
    <w:p>
      <w:r>
        <w:rPr>
          <w:sz w:val="22"/>
        </w:rPr>
        <w:t>The platform adopts a cloud‑native, domain‑driven microservices architecture deployed on Microsoft Azure. It follows Azure Landing Zone principles, Azure Well‑Architected Framework, and healthcare regulatory requirements (security, auditability, resiliency).</w:t>
      </w:r>
    </w:p>
    <w:p>
      <w:pPr>
        <w:pStyle w:val="Heading1"/>
      </w:pPr>
      <w:r>
        <w:rPr>
          <w:b/>
        </w:rPr>
        <w:t>2.1 Functional View</w:t>
      </w:r>
    </w:p>
    <w:p>
      <w:r>
        <w:rPr>
          <w:sz w:val="22"/>
        </w:rPr>
        <w:t>Key business capabilities drive the architecture and are treated as architecturally significant.</w:t>
      </w:r>
    </w:p>
    <w:p>
      <w:r>
        <w:rPr>
          <w:sz w:val="22"/>
        </w:rPr>
        <w:t>Core Functional Capabilities:</w:t>
      </w:r>
    </w:p>
    <w:p>
      <w:r>
        <w:rPr>
          <w:sz w:val="22"/>
        </w:rPr>
        <w:t>• Patient onboarding and profile management</w:t>
      </w:r>
    </w:p>
    <w:p>
      <w:r>
        <w:rPr>
          <w:sz w:val="22"/>
        </w:rPr>
        <w:t>• Care plan creation, activation, and lifecycle management</w:t>
      </w:r>
    </w:p>
    <w:p>
      <w:r>
        <w:rPr>
          <w:sz w:val="22"/>
        </w:rPr>
        <w:t>• Consent management and verification</w:t>
      </w:r>
    </w:p>
    <w:p>
      <w:r>
        <w:rPr>
          <w:sz w:val="22"/>
        </w:rPr>
        <w:t>• Clinician and care coordinator collaboration</w:t>
      </w:r>
    </w:p>
    <w:p>
      <w:r>
        <w:rPr>
          <w:sz w:val="22"/>
        </w:rPr>
        <w:t>• Notifications and alerts</w:t>
      </w:r>
    </w:p>
    <w:p>
      <w:r>
        <w:rPr>
          <w:sz w:val="22"/>
        </w:rPr>
        <w:t>• Audit, compliance, and reporting</w:t>
      </w:r>
    </w:p>
    <w:p>
      <w:pPr>
        <w:pStyle w:val="Heading3"/>
      </w:pPr>
      <w:r>
        <w:rPr>
          <w:b/>
        </w:rPr>
        <w:t>Functional View Diagram</w:t>
      </w:r>
    </w:p>
    <w:p>
      <w:r>
        <w:rPr>
          <w:rFonts w:ascii="Courier New" w:hAnsi="Courier New"/>
          <w:sz w:val="18"/>
        </w:rPr>
        <w:br/>
        <w:t>flowchart LR</w:t>
        <w:br/>
        <w:t xml:space="preserve">  Patient --&gt; Engagement</w:t>
        <w:br/>
        <w:t xml:space="preserve">  Clinician --&gt; CareMgmt</w:t>
        <w:br/>
        <w:t xml:space="preserve">  CareMgmt --&gt; CarePlan</w:t>
        <w:br/>
        <w:t xml:space="preserve">  CarePlan --&gt; Audit</w:t>
        <w:br/>
        <w:t xml:space="preserve">  CarePlan --&gt; Notification</w:t>
        <w:br/>
      </w:r>
    </w:p>
    <w:p>
      <w:pPr>
        <w:pStyle w:val="Heading1"/>
      </w:pPr>
      <w:r>
        <w:rPr>
          <w:b/>
        </w:rPr>
        <w:t>2.2 Conceptual View</w:t>
      </w:r>
    </w:p>
    <w:p>
      <w:r>
        <w:rPr>
          <w:sz w:val="22"/>
        </w:rPr>
        <w:t>The conceptual view presents a high‑level understanding suitable for non‑technical stakeholders.</w:t>
      </w:r>
    </w:p>
    <w:p>
      <w:r>
        <w:rPr>
          <w:sz w:val="22"/>
        </w:rPr>
        <w:t>Actors include Patients, Clinicians, Care Coordinators, Administrators, and External Healthcare Systems (EHR/HIS).</w:t>
      </w:r>
    </w:p>
    <w:p>
      <w:pPr>
        <w:pStyle w:val="Heading3"/>
      </w:pPr>
      <w:r>
        <w:rPr>
          <w:b/>
        </w:rPr>
        <w:t>Conceptual Architecture Diagram</w:t>
      </w:r>
    </w:p>
    <w:p>
      <w:r>
        <w:rPr>
          <w:rFonts w:ascii="Courier New" w:hAnsi="Courier New"/>
          <w:sz w:val="18"/>
        </w:rPr>
        <w:br/>
        <w:t>flowchart TD</w:t>
        <w:br/>
        <w:t xml:space="preserve">  Users[Patients / Clinicians]</w:t>
        <w:br/>
        <w:t xml:space="preserve">  Users --&gt; UI[Web &amp; Mobile Apps]</w:t>
        <w:br/>
        <w:t xml:space="preserve">  UI --&gt; APIGW[API Gateway]</w:t>
        <w:br/>
        <w:t xml:space="preserve">  APIGW --&gt; Services[Microservices]</w:t>
        <w:br/>
        <w:t xml:space="preserve">  Services --&gt; Data[FHIR &amp; App Datastores]</w:t>
        <w:br/>
        <w:t xml:space="preserve">  Services --&gt; External[EHR / HIS]</w:t>
        <w:br/>
      </w:r>
    </w:p>
    <w:p>
      <w:pPr>
        <w:pStyle w:val="Heading1"/>
      </w:pPr>
      <w:r>
        <w:rPr>
          <w:b/>
        </w:rPr>
        <w:t>2.3 Logical View</w:t>
      </w:r>
    </w:p>
    <w:p>
      <w:r>
        <w:rPr>
          <w:sz w:val="22"/>
        </w:rPr>
        <w:t>The logical architecture separates responsibilities into layers with cross‑cutting concerns handled centrally.</w:t>
      </w:r>
    </w:p>
    <w:p>
      <w:r>
        <w:rPr>
          <w:sz w:val="22"/>
        </w:rPr>
        <w:t>Layers:</w:t>
      </w:r>
    </w:p>
    <w:p>
      <w:r>
        <w:rPr>
          <w:sz w:val="22"/>
        </w:rPr>
        <w:t>• Presentation Layer – Web &amp; Mobile channels</w:t>
      </w:r>
    </w:p>
    <w:p>
      <w:r>
        <w:rPr>
          <w:sz w:val="22"/>
        </w:rPr>
        <w:t>• API Gateway Layer – Policy enforcement</w:t>
      </w:r>
    </w:p>
    <w:p>
      <w:r>
        <w:rPr>
          <w:sz w:val="22"/>
        </w:rPr>
        <w:t>• Microservices Layer – Domain services</w:t>
      </w:r>
    </w:p>
    <w:p>
      <w:r>
        <w:rPr>
          <w:sz w:val="22"/>
        </w:rPr>
        <w:t>• Integration Layer – External systems</w:t>
      </w:r>
    </w:p>
    <w:p>
      <w:r>
        <w:rPr>
          <w:sz w:val="22"/>
        </w:rPr>
        <w:t>• Data Layer – Clinical and non‑clinical data</w:t>
      </w:r>
    </w:p>
    <w:p>
      <w:r>
        <w:rPr>
          <w:sz w:val="22"/>
        </w:rPr>
        <w:t>• Cross‑cutting – Security, Logging, Monitoring</w:t>
      </w:r>
    </w:p>
    <w:p>
      <w:pPr>
        <w:pStyle w:val="Heading3"/>
      </w:pPr>
      <w:r>
        <w:rPr>
          <w:b/>
        </w:rPr>
        <w:t>Logical Architecture Diagram</w:t>
      </w:r>
    </w:p>
    <w:p>
      <w:r>
        <w:rPr>
          <w:rFonts w:ascii="Courier New" w:hAnsi="Courier New"/>
          <w:sz w:val="18"/>
        </w:rPr>
        <w:br/>
        <w:t>flowchart TD</w:t>
        <w:br/>
        <w:t xml:space="preserve">  Presentation --&gt; APIM</w:t>
        <w:br/>
        <w:t xml:space="preserve">  APIM --&gt; Microservices</w:t>
        <w:br/>
        <w:t xml:space="preserve">  Microservices --&gt; Data</w:t>
        <w:br/>
        <w:t xml:space="preserve">  Microservices --&gt; Integration</w:t>
        <w:br/>
        <w:t xml:space="preserve">  subgraph CrossCutting</w:t>
        <w:br/>
        <w:t xml:space="preserve">    Security</w:t>
        <w:br/>
        <w:t xml:space="preserve">    Logging</w:t>
        <w:br/>
        <w:t xml:space="preserve">    Monitoring</w:t>
        <w:br/>
        <w:t xml:space="preserve">  end</w:t>
        <w:br/>
      </w:r>
    </w:p>
    <w:p>
      <w:pPr>
        <w:pStyle w:val="Heading1"/>
      </w:pPr>
      <w:r>
        <w:rPr>
          <w:b/>
        </w:rPr>
        <w:t>2.4 Deployment View</w:t>
      </w:r>
    </w:p>
    <w:p>
      <w:r>
        <w:rPr>
          <w:sz w:val="22"/>
        </w:rPr>
        <w:t>The platform is deployed using a hub‑and‑spoke Azure Landing Zone with active‑active multi‑region support for high availability and disaster recovery.</w:t>
      </w:r>
    </w:p>
    <w:p>
      <w:pPr>
        <w:pStyle w:val="Heading3"/>
      </w:pPr>
      <w:r>
        <w:rPr>
          <w:b/>
        </w:rPr>
        <w:t>Deployment Diagram</w:t>
      </w:r>
    </w:p>
    <w:p>
      <w:r>
        <w:rPr>
          <w:rFonts w:ascii="Courier New" w:hAnsi="Courier New"/>
          <w:sz w:val="18"/>
        </w:rPr>
        <w:br/>
        <w:t>flowchart TD</w:t>
        <w:br/>
        <w:t xml:space="preserve">  FrontDoor --&gt; RegionA</w:t>
        <w:br/>
        <w:t xml:space="preserve">  FrontDoor --&gt; RegionB</w:t>
        <w:br/>
        <w:t xml:space="preserve">  RegionA --&gt; AKS_A[AKS Cluster A]</w:t>
        <w:br/>
        <w:t xml:space="preserve">  RegionB --&gt; AKS_B[AKS Cluster B]</w:t>
        <w:br/>
        <w:t xml:space="preserve">  AKS_A --&gt; FHIR_A</w:t>
        <w:br/>
        <w:t xml:space="preserve">  AKS_B --&gt; FHIR_B</w:t>
        <w:br/>
      </w:r>
    </w:p>
    <w:p>
      <w:pPr>
        <w:pStyle w:val="Heading1"/>
      </w:pPr>
      <w:r>
        <w:rPr>
          <w:b/>
        </w:rPr>
        <w:t>2.5 Process View</w:t>
      </w:r>
    </w:p>
    <w:p>
      <w:r>
        <w:rPr>
          <w:sz w:val="22"/>
        </w:rPr>
        <w:t>Critical business workflows are implemented using Saga Orchestration for deterministic, auditable execution.</w:t>
      </w:r>
    </w:p>
    <w:p>
      <w:r>
        <w:rPr>
          <w:sz w:val="22"/>
        </w:rPr>
        <w:t>Example: Care Plan Activation Saga involving Protocol Validation, Consent Validation, Care Plan Creation, and Notifications.</w:t>
      </w:r>
    </w:p>
    <w:p>
      <w:pPr>
        <w:pStyle w:val="Heading3"/>
      </w:pPr>
      <w:r>
        <w:rPr>
          <w:b/>
        </w:rPr>
        <w:t>Saga Orchestration Sequence (Reference)</w:t>
      </w:r>
    </w:p>
    <w:p>
      <w:r>
        <w:rPr>
          <w:rFonts w:ascii="Courier New" w:hAnsi="Courier New"/>
          <w:sz w:val="18"/>
        </w:rPr>
        <w:br/>
        <w:t>sequenceDiagram</w:t>
        <w:br/>
        <w:t xml:space="preserve">  participant Client</w:t>
        <w:br/>
        <w:t xml:space="preserve">  participant Orchestrator</w:t>
        <w:br/>
        <w:t xml:space="preserve">  participant Protocol</w:t>
        <w:br/>
        <w:t xml:space="preserve">  participant Consent</w:t>
        <w:br/>
        <w:t xml:space="preserve">  participant CarePlan</w:t>
        <w:br/>
        <w:br/>
        <w:t xml:space="preserve">  Client-&gt;&gt;Orchestrator: Activate Care Plan</w:t>
        <w:br/>
        <w:t xml:space="preserve">  Orchestrator-&gt;&gt;Protocol: Validate Protocol</w:t>
        <w:br/>
        <w:t xml:space="preserve">  Protocol--&gt;&gt;Orchestrator: OK</w:t>
        <w:br/>
        <w:t xml:space="preserve">  Orchestrator-&gt;&gt;Consent: Validate Consent</w:t>
        <w:br/>
        <w:t xml:space="preserve">  Consent--&gt;&gt;Orchestrator: OK</w:t>
        <w:br/>
        <w:t xml:space="preserve">  Orchestrator-&gt;&gt;CarePlan: Create Plan</w:t>
        <w:br/>
        <w:t xml:space="preserve">  CarePlan--&gt;&gt;Orchestrator: Created</w:t>
        <w:br/>
      </w:r>
    </w:p>
    <w:p>
      <w:pPr>
        <w:pStyle w:val="Heading1"/>
      </w:pPr>
      <w:r>
        <w:rPr>
          <w:b/>
        </w:rPr>
        <w:t>2.6 Security View</w:t>
      </w:r>
    </w:p>
    <w:p>
      <w:r>
        <w:rPr>
          <w:sz w:val="22"/>
        </w:rPr>
        <w:t>Security is designed using Zero Trust principles with identity‑centric access control.</w:t>
      </w:r>
    </w:p>
    <w:p>
      <w:r>
        <w:rPr>
          <w:sz w:val="22"/>
        </w:rPr>
        <w:t>Key security controls:</w:t>
      </w:r>
    </w:p>
    <w:p>
      <w:r>
        <w:rPr>
          <w:sz w:val="22"/>
        </w:rPr>
        <w:t>• Authentication via Azure Entra ID with MFA</w:t>
      </w:r>
    </w:p>
    <w:p>
      <w:r>
        <w:rPr>
          <w:sz w:val="22"/>
        </w:rPr>
        <w:t>• RBAC and least‑privilege authorization</w:t>
      </w:r>
    </w:p>
    <w:p>
      <w:r>
        <w:rPr>
          <w:sz w:val="22"/>
        </w:rPr>
        <w:t>• Encryption at rest and in transit</w:t>
      </w:r>
    </w:p>
    <w:p>
      <w:r>
        <w:rPr>
          <w:sz w:val="22"/>
        </w:rPr>
        <w:t>• Centralized audit logging and monitoring</w:t>
      </w:r>
    </w:p>
    <w:p>
      <w:pPr>
        <w:pStyle w:val="Heading1"/>
      </w:pPr>
      <w:r>
        <w:rPr>
          <w:b/>
        </w:rPr>
        <w:t>3. Reporting</w:t>
      </w:r>
    </w:p>
    <w:p>
      <w:r>
        <w:rPr>
          <w:sz w:val="22"/>
        </w:rPr>
        <w:t>Reporting is handled using read‑optimized views and event streams, ensuring no impact on transactional clinical workflows.</w:t>
      </w:r>
    </w:p>
    <w:p>
      <w:pPr>
        <w:pStyle w:val="Heading1"/>
      </w:pPr>
      <w:r>
        <w:rPr>
          <w:b/>
        </w:rPr>
        <w:t>4. Technology, Tools and Frameworks</w:t>
      </w:r>
    </w:p>
    <w:p>
      <w:r>
        <w:rPr>
          <w:sz w:val="22"/>
        </w:rPr>
        <w:t>Azure Front Door, API Management, AKS, Azure Health Data Services (FHIR), Service Bus, Azure SQL/Cosmos DB, Azure Monitor, GitHub Actions/Azure DevOps, Microsoft Entra ID.</w:t>
      </w:r>
    </w:p>
    <w:p>
      <w:pPr>
        <w:pStyle w:val="Heading1"/>
      </w:pPr>
      <w:r>
        <w:rPr>
          <w:b/>
        </w:rPr>
        <w:t>5. Solution Recommendations</w:t>
      </w:r>
    </w:p>
    <w:p>
      <w:pPr>
        <w:pStyle w:val="Heading2"/>
      </w:pPr>
      <w:r>
        <w:rPr>
          <w:b/>
        </w:rPr>
        <w:t>5.1 Technical Recommendations</w:t>
      </w:r>
    </w:p>
    <w:p>
      <w:r>
        <w:rPr>
          <w:sz w:val="22"/>
        </w:rPr>
        <w:t>Adopt domain‑driven microservices, Saga orchestration for clinical workflows, and event‑driven communication for non‑critical processes.</w:t>
      </w:r>
    </w:p>
    <w:p>
      <w:pPr>
        <w:pStyle w:val="Heading2"/>
      </w:pPr>
      <w:r>
        <w:rPr>
          <w:b/>
        </w:rPr>
        <w:t>5.2 Infrastructure Recommendations</w:t>
      </w:r>
    </w:p>
    <w:p>
      <w:r>
        <w:rPr>
          <w:sz w:val="22"/>
        </w:rPr>
        <w:t>Use Azure Landing Zone, active‑active regions, managed services, and policy‑as‑code for governance and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Bhatia, Uttam Kumar (Cognizant)</dc:creator>
  <keywords/>
  <dc:description>generated by python-docx</dc:description>
  <lastModifiedBy>Bhatia, Uttam Kumar (Cognizant)</lastModifiedBy>
  <revision>1</revision>
  <dcterms:created xsi:type="dcterms:W3CDTF">2026-05-10T04:48:16.9985936Z</dcterms:created>
  <dcterms:modified xsi:type="dcterms:W3CDTF">2026-05-10T04:48:16.9985936Z</dcterms:modified>
  <category/>
</coreProperties>
</file>