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Integrated Requirements &amp; Design Pack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Includes: BRD | FRD | Use Cases | User Stories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SECTION 1: Business Requirements Document (BRD)</w:t>
      </w:r>
    </w:p>
    <w:p>
      <w:r>
        <w:rPr>
          <w:sz w:val="22"/>
        </w:rPr>
        <w:t>The BRD defines the business objectives, scope, stakeholders, and high-level capabilities for the Healthcare Patient Engagement &amp; Care Coordination Platform.</w:t>
      </w:r>
    </w:p>
    <w:p>
      <w:r>
        <w:rPr>
          <w:sz w:val="22"/>
        </w:rPr>
        <w:t>Key business goals include improved patient engagement, coordinated care delivery, support for telemedicine and remote monitoring, regulatory compliance, and scalable cloud-native architecture.</w:t>
      </w:r>
    </w:p>
    <w:p>
      <w:pPr>
        <w:pStyle w:val="Heading1"/>
      </w:pPr>
      <w:r>
        <w:rPr>
          <w:b/>
        </w:rPr>
        <w:t>SECTION 2: Functional Requirements Document (FRD)</w:t>
      </w:r>
    </w:p>
    <w:p>
      <w:r>
        <w:rPr>
          <w:sz w:val="22"/>
        </w:rPr>
        <w:t>The FRD translates business goals into detailed functional behavior across patient onboarding, appointment scheduling, EHR management, teleconsultations, remote monitoring, care coordination, notifications, and reporting.</w:t>
      </w:r>
    </w:p>
    <w:p>
      <w:r>
        <w:rPr>
          <w:sz w:val="22"/>
        </w:rPr>
        <w:t>Each functional area is defined with clear system behavior, role-based access, error handling, and event-driven workflows to support healthcare-grade delivery.</w:t>
      </w:r>
    </w:p>
    <w:p>
      <w:pPr>
        <w:pStyle w:val="Heading1"/>
      </w:pPr>
      <w:r>
        <w:rPr>
          <w:b/>
        </w:rPr>
        <w:t>SECTION 3: Use Case Specifications</w:t>
      </w:r>
    </w:p>
    <w:p>
      <w:r>
        <w:rPr>
          <w:sz w:val="22"/>
        </w:rPr>
        <w:t>This section describes system interactions from the perspective of users and external systems. Each use case includes actors, descriptions, main flows, alternate flows, and post-conditions.</w:t>
      </w:r>
    </w:p>
    <w:p>
      <w:r>
        <w:rPr>
          <w:sz w:val="22"/>
        </w:rPr>
        <w:t>• UC-01: Patient Registration &amp; Profile Management</w:t>
      </w:r>
    </w:p>
    <w:p>
      <w:r>
        <w:rPr>
          <w:sz w:val="22"/>
        </w:rPr>
        <w:t>• UC-02: Book Appointment</w:t>
      </w:r>
    </w:p>
    <w:p>
      <w:r>
        <w:rPr>
          <w:sz w:val="22"/>
        </w:rPr>
        <w:t>• UC-03: Conduct Teleconsultation</w:t>
      </w:r>
    </w:p>
    <w:p>
      <w:r>
        <w:rPr>
          <w:sz w:val="22"/>
        </w:rPr>
        <w:t>• UC-04: Update Electronic Health Record</w:t>
      </w:r>
    </w:p>
    <w:p>
      <w:r>
        <w:rPr>
          <w:sz w:val="22"/>
        </w:rPr>
        <w:t>• UC-05: Remote Vitals Monitoring</w:t>
      </w:r>
    </w:p>
    <w:p>
      <w:r>
        <w:rPr>
          <w:sz w:val="22"/>
        </w:rPr>
        <w:t>• UC-06: Care Plan Management</w:t>
      </w:r>
    </w:p>
    <w:p>
      <w:r>
        <w:rPr>
          <w:sz w:val="22"/>
        </w:rPr>
        <w:t>• UC-07: Notifications &amp; Alerts</w:t>
      </w:r>
    </w:p>
    <w:p>
      <w:pPr>
        <w:pStyle w:val="Heading1"/>
      </w:pPr>
      <w:r>
        <w:rPr>
          <w:b/>
        </w:rPr>
        <w:t>SECTION 4: User Stories with Acceptance Criteria</w:t>
      </w:r>
    </w:p>
    <w:p>
      <w:r>
        <w:rPr>
          <w:sz w:val="22"/>
        </w:rPr>
        <w:t>Each use case is decomposed into Agile user stories with functional and technical acceptance criteria to support development, testing, and deployment.</w:t>
      </w:r>
    </w:p>
    <w:p>
      <w:r>
        <w:rPr>
          <w:sz w:val="22"/>
        </w:rPr>
        <w:t>Technical acceptance criteria ensure alignment with security, compliance, event-driven architecture, audit logging, and interoperability standards.</w:t>
      </w:r>
    </w:p>
    <w:p>
      <w:pPr>
        <w:pStyle w:val="Heading1"/>
      </w:pPr>
      <w:r>
        <w:rPr>
          <w:b/>
        </w:rPr>
        <w:t>SECTION 5: Usage &amp; Traceability</w:t>
      </w:r>
    </w:p>
    <w:p>
      <w:r>
        <w:rPr>
          <w:sz w:val="22"/>
        </w:rPr>
        <w:t>This combined BRD-FRD-UCD pack serves as a single source of truth for business stakeholders, architects, developers, QA teams, and auditors.</w:t>
      </w:r>
    </w:p>
    <w:p>
      <w:r>
        <w:rPr>
          <w:sz w:val="22"/>
        </w:rPr>
        <w:t>Traceability is maintained across BRD objectives, FRD features, use cases, sequence diagrams, state diagrams, and user stories.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2026-04-19T10:04:33.0879020Z</dcterms:created>
  <dcterms:modified xsi:type="dcterms:W3CDTF">2026-04-19T10:04:33.0879020Z</dcterms:modified>
  <category/>
</coreProperties>
</file>