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 Document (BRD)</w:t>
      </w:r>
    </w:p>
    <w:p>
      <w:r>
        <w:rPr>
          <w:sz w:val="22"/>
        </w:rPr>
        <w:t>Healthcare Patient Engagement &amp; Care Coordination Platform</w:t>
      </w:r>
    </w:p>
    <w:p>
      <w:r>
        <w:rPr>
          <w:sz w:val="22"/>
        </w:rPr>
        <w:t>Version: 1.0 | Date: April 2026</w:t>
      </w:r>
    </w:p>
    <w:p>
      <w:pPr>
        <w:pStyle w:val="Heading1"/>
      </w:pPr>
      <w:r>
        <w:rPr>
          <w:b/>
        </w:rPr>
        <w:t>1. Executive Summary</w:t>
      </w:r>
    </w:p>
    <w:p>
      <w:r>
        <w:rPr>
          <w:sz w:val="22"/>
        </w:rPr>
        <w:t>This document outlines the business requirements for a Healthcare Patient Engagement &amp; Care Coordination Platform designed to digitize and orchestrate patient journeys, clinical interactions, and coordinated care delivery using a scalable, compliant, cloud-native architecture.</w:t>
      </w:r>
    </w:p>
    <w:p>
      <w:pPr>
        <w:pStyle w:val="Heading1"/>
      </w:pPr>
      <w:r>
        <w:rPr>
          <w:b/>
        </w:rPr>
        <w:t>2. Problem Statement</w:t>
      </w:r>
    </w:p>
    <w:p>
      <w:r>
        <w:rPr>
          <w:sz w:val="22"/>
        </w:rPr>
        <w:t>Healthcare delivery systems often rely on fragmented solutions for patient management, clinical documentation, telemedicine, and care coordination. This results in inefficiencies, care delays, and limited patient engagement.</w:t>
      </w:r>
    </w:p>
    <w:p>
      <w:pPr>
        <w:pStyle w:val="Heading1"/>
      </w:pPr>
      <w:r>
        <w:rPr>
          <w:b/>
        </w:rPr>
        <w:t>3. Business Objectives</w:t>
      </w:r>
    </w:p>
    <w:p>
      <w:r>
        <w:rPr>
          <w:sz w:val="22"/>
        </w:rPr>
        <w:t>• Improve patient engagement through digital channels</w:t>
        <w:br/>
        <w:t>• Enable coordinated, multidisciplinary care</w:t>
        <w:br/>
        <w:t>• Support remote care and monitoring</w:t>
        <w:br/>
        <w:t>• Ensure regulatory compliance</w:t>
        <w:br/>
        <w:t>• Provide a scalable enterprise-grade platform</w:t>
      </w:r>
    </w:p>
    <w:p>
      <w:pPr>
        <w:pStyle w:val="Heading1"/>
      </w:pPr>
      <w:r>
        <w:rPr>
          <w:b/>
        </w:rPr>
        <w:t>4. Stakeholders</w:t>
      </w:r>
    </w:p>
    <w:p>
      <w:r>
        <w:rPr>
          <w:sz w:val="22"/>
        </w:rPr>
        <w:t>Patients, Doctors, Nurses, Care Coordinators, Hospital Administrators, IT and Compliance Teams</w:t>
      </w:r>
    </w:p>
    <w:p>
      <w:pPr>
        <w:pStyle w:val="Heading1"/>
      </w:pPr>
      <w:r>
        <w:rPr>
          <w:b/>
        </w:rPr>
        <w:t>5. Scope</w:t>
      </w:r>
    </w:p>
    <w:p>
      <w:pPr>
        <w:pStyle w:val="Heading2"/>
      </w:pPr>
      <w:r>
        <w:rPr>
          <w:b/>
        </w:rPr>
        <w:t>5.1 In Scope</w:t>
      </w:r>
    </w:p>
    <w:p>
      <w:r>
        <w:rPr>
          <w:sz w:val="22"/>
        </w:rPr>
        <w:t>• Patient onboarding &amp; profile management</w:t>
        <w:br/>
        <w:t>• Appointment scheduling</w:t>
        <w:br/>
        <w:t>• Electronic Health Records (FHIR-compliant)</w:t>
        <w:br/>
        <w:t>• Teleconsultation integration</w:t>
        <w:br/>
        <w:t>• Remote monitoring device ingestion</w:t>
        <w:br/>
        <w:t>• Care coordination workflows</w:t>
        <w:br/>
        <w:t>• Notifications &amp; communication</w:t>
      </w:r>
    </w:p>
    <w:p>
      <w:pPr>
        <w:pStyle w:val="Heading2"/>
      </w:pPr>
      <w:r>
        <w:rPr>
          <w:b/>
        </w:rPr>
        <w:t>5.2 Out of Scope</w:t>
      </w:r>
    </w:p>
    <w:p>
      <w:r>
        <w:rPr>
          <w:sz w:val="22"/>
        </w:rPr>
        <w:t>• Billing &amp; claims processing</w:t>
        <w:br/>
        <w:t>• Pharmacy supply chain</w:t>
        <w:br/>
        <w:t>• Insurance adjudication (future phase)</w:t>
      </w:r>
    </w:p>
    <w:p>
      <w:pPr>
        <w:pStyle w:val="Heading1"/>
      </w:pPr>
      <w:r>
        <w:rPr>
          <w:b/>
        </w:rPr>
        <w:t>6. Key Functional Capabilities</w:t>
      </w:r>
    </w:p>
    <w:p>
      <w:r>
        <w:rPr>
          <w:sz w:val="22"/>
        </w:rPr>
        <w:t>• Patient Identity Service</w:t>
        <w:br/>
        <w:t>• Appointment &amp; Scheduling Service</w:t>
        <w:br/>
        <w:t>• Medical Records Service (FHIR)</w:t>
        <w:br/>
        <w:t>• Telemedicine Integration</w:t>
        <w:br/>
        <w:t>• Device Data Ingestion Service</w:t>
        <w:br/>
        <w:t>• Care Plan Workflow Engine</w:t>
        <w:br/>
        <w:t>• Notification Service</w:t>
      </w:r>
    </w:p>
    <w:p>
      <w:pPr>
        <w:pStyle w:val="Heading1"/>
      </w:pPr>
      <w:r>
        <w:rPr>
          <w:b/>
        </w:rPr>
        <w:t>7. User Interfaces (Micro Frontends)</w:t>
      </w:r>
    </w:p>
    <w:p>
      <w:r>
        <w:rPr>
          <w:sz w:val="22"/>
        </w:rPr>
        <w:t>• Patient Mobile/Web App</w:t>
        <w:br/>
        <w:t>• Doctor Workbench</w:t>
        <w:br/>
        <w:t>• Care Coordinator Console</w:t>
        <w:br/>
        <w:t>• Hospital Admin Dashboard</w:t>
      </w:r>
    </w:p>
    <w:p>
      <w:pPr>
        <w:pStyle w:val="Heading1"/>
      </w:pPr>
      <w:r>
        <w:rPr>
          <w:b/>
        </w:rPr>
        <w:t>8. Regulatory &amp; Compliance Considerations</w:t>
      </w:r>
    </w:p>
    <w:p>
      <w:r>
        <w:rPr>
          <w:sz w:val="22"/>
        </w:rPr>
        <w:t>The platform must adhere to healthcare regulations such as HIPAA, ensure secure access control, maintain audit trails, support patient consent management, and implement industry interoperability standards like HL7 FHIR.</w:t>
      </w:r>
    </w:p>
    <w:p>
      <w:pPr>
        <w:pStyle w:val="Heading1"/>
      </w:pPr>
      <w:r>
        <w:rPr>
          <w:b/>
        </w:rPr>
        <w:t>9. Architecture-Level Considerations</w:t>
      </w:r>
    </w:p>
    <w:p>
      <w:r>
        <w:rPr>
          <w:sz w:val="22"/>
        </w:rPr>
        <w:t>• Domain-Driven Design for complex healthcare domains</w:t>
        <w:br/>
        <w:t>• Event-driven workflows for patient journeys</w:t>
        <w:br/>
        <w:t>• Interoperability using FHIR standards</w:t>
        <w:br/>
        <w:t>• Scalable orchestration using cloud-native services</w:t>
      </w:r>
    </w:p>
    <w:p>
      <w:pPr>
        <w:pStyle w:val="Heading1"/>
      </w:pPr>
      <w:r>
        <w:rPr>
          <w:b/>
        </w:rPr>
        <w:t>10. Success Metrics</w:t>
      </w:r>
    </w:p>
    <w:p>
      <w:r>
        <w:rPr>
          <w:sz w:val="22"/>
        </w:rPr>
        <w:t>• Increased patient engagement</w:t>
        <w:br/>
        <w:t>• Reduction in missed appointments</w:t>
        <w:br/>
        <w:t>• Improved care coordination response times</w:t>
        <w:br/>
        <w:t>• Adoption of telemedicine services</w:t>
      </w:r>
    </w:p>
    <w:p>
      <w:pPr>
        <w:pStyle w:val="Heading1"/>
      </w:pPr>
      <w:r>
        <w:rPr>
          <w:b/>
        </w:rPr>
        <w:t>11. Assumptions &amp; Constraints</w:t>
      </w:r>
    </w:p>
    <w:p>
      <w:r>
        <w:rPr>
          <w:sz w:val="22"/>
        </w:rPr>
        <w:t>It is assumed that users have access to internet-enabled devices and consent to digital healthcare interactions. The solution must comply with applicable healthcare regulations.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Bhatia, Uttam Kumar (Cognizant)</dc:creator>
  <keywords/>
  <dc:description>generated by python-docx</dc:description>
  <lastModifiedBy>Bhatia, Uttam Kumar (Cognizant)</lastModifiedBy>
  <revision>1</revision>
  <dcterms:created xsi:type="dcterms:W3CDTF">2026-04-19T08:19:34.8390569Z</dcterms:created>
  <dcterms:modified xsi:type="dcterms:W3CDTF">2026-04-19T08:19:34.8390569Z</dcterms:modified>
  <category/>
</coreProperties>
</file>