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144C" w14:textId="77777777" w:rsidR="00A20880" w:rsidRPr="005A7389" w:rsidRDefault="00A20880">
      <w:pPr>
        <w:rPr>
          <w:rFonts w:ascii="Calibri" w:hAnsi="Calibri" w:cs="Calibri"/>
          <w:sz w:val="16"/>
          <w:szCs w:val="16"/>
        </w:rPr>
      </w:pPr>
    </w:p>
    <w:p w14:paraId="787B84AB" w14:textId="77777777" w:rsidR="00521E16" w:rsidRPr="005A7389" w:rsidRDefault="00000000">
      <w:pPr>
        <w:pStyle w:val="Title"/>
        <w:jc w:val="center"/>
        <w:rPr>
          <w:rFonts w:ascii="Calibri" w:hAnsi="Calibri" w:cs="Calibri"/>
          <w:sz w:val="16"/>
          <w:szCs w:val="16"/>
        </w:rPr>
      </w:pPr>
      <w:r w:rsidRPr="005A7389">
        <w:rPr>
          <w:rFonts w:ascii="Calibri" w:hAnsi="Calibri" w:cs="Calibri"/>
          <w:sz w:val="16"/>
          <w:szCs w:val="16"/>
        </w:rPr>
        <w:t>Compliance</w:t>
      </w:r>
      <w:r w:rsidRPr="005A7389">
        <w:rPr>
          <w:rFonts w:ascii="Cambria Math" w:hAnsi="Cambria Math" w:cs="Cambria Math"/>
          <w:sz w:val="16"/>
          <w:szCs w:val="16"/>
        </w:rPr>
        <w:t>‑</w:t>
      </w:r>
      <w:r w:rsidRPr="005A7389">
        <w:rPr>
          <w:rFonts w:ascii="Calibri" w:hAnsi="Calibri" w:cs="Calibri"/>
          <w:sz w:val="16"/>
          <w:szCs w:val="16"/>
        </w:rPr>
        <w:t>Ready Risk Register</w:t>
      </w:r>
    </w:p>
    <w:p w14:paraId="359D84E4" w14:textId="77777777" w:rsidR="00521E16" w:rsidRPr="005A7389" w:rsidRDefault="00000000">
      <w:pPr>
        <w:rPr>
          <w:rFonts w:ascii="Calibri" w:hAnsi="Calibri" w:cs="Calibri"/>
          <w:sz w:val="16"/>
          <w:szCs w:val="16"/>
        </w:rPr>
      </w:pPr>
      <w:r w:rsidRPr="005A7389">
        <w:rPr>
          <w:rFonts w:ascii="Calibri" w:hAnsi="Calibri" w:cs="Calibri"/>
          <w:sz w:val="16"/>
          <w:szCs w:val="16"/>
        </w:rPr>
        <w:t>Healthcare Patient Engagement &amp; Care Coordination Platform</w:t>
      </w:r>
    </w:p>
    <w:p w14:paraId="76FFE08A" w14:textId="77777777" w:rsidR="00521E16" w:rsidRPr="005A7389" w:rsidRDefault="00000000">
      <w:pPr>
        <w:rPr>
          <w:rFonts w:ascii="Calibri" w:hAnsi="Calibri" w:cs="Calibri"/>
          <w:sz w:val="16"/>
          <w:szCs w:val="16"/>
        </w:rPr>
      </w:pPr>
      <w:r w:rsidRPr="005A7389">
        <w:rPr>
          <w:rFonts w:ascii="Calibri" w:hAnsi="Calibri" w:cs="Calibri"/>
          <w:sz w:val="16"/>
          <w:szCs w:val="16"/>
        </w:rPr>
        <w:t>Derived from RTM + STRIDE Threat Modeling and Azure Control Mapping</w:t>
      </w:r>
    </w:p>
    <w:p w14:paraId="5155F36F" w14:textId="77777777" w:rsidR="00521E16" w:rsidRPr="005A7389" w:rsidRDefault="00000000">
      <w:pPr>
        <w:rPr>
          <w:rFonts w:ascii="Calibri" w:hAnsi="Calibri" w:cs="Calibri"/>
          <w:sz w:val="16"/>
          <w:szCs w:val="16"/>
        </w:rPr>
      </w:pPr>
      <w:r w:rsidRPr="005A7389">
        <w:rPr>
          <w:rFonts w:ascii="Calibri" w:hAnsi="Calibri" w:cs="Calibri"/>
          <w:sz w:val="16"/>
          <w:szCs w:val="16"/>
        </w:rPr>
        <w:t>Version: 1.0 | Date: April 2026</w:t>
      </w:r>
    </w:p>
    <w:p w14:paraId="6968D957" w14:textId="77777777" w:rsidR="00521E16" w:rsidRPr="005A7389" w:rsidRDefault="00000000">
      <w:pPr>
        <w:pStyle w:val="Heading1"/>
        <w:jc w:val="center"/>
        <w:rPr>
          <w:rFonts w:ascii="Calibri" w:hAnsi="Calibri" w:cs="Calibri"/>
          <w:sz w:val="16"/>
          <w:szCs w:val="16"/>
        </w:rPr>
      </w:pPr>
      <w:r w:rsidRPr="005A7389">
        <w:rPr>
          <w:rFonts w:ascii="Calibri" w:hAnsi="Calibri" w:cs="Calibri"/>
          <w:sz w:val="16"/>
          <w:szCs w:val="16"/>
        </w:rPr>
        <w:t>1. Purpose &amp; Scope</w:t>
      </w:r>
    </w:p>
    <w:p w14:paraId="7666CDA5" w14:textId="77777777" w:rsidR="00521E16" w:rsidRPr="005A7389" w:rsidRDefault="00000000">
      <w:pPr>
        <w:rPr>
          <w:rFonts w:ascii="Calibri" w:hAnsi="Calibri" w:cs="Calibri"/>
          <w:sz w:val="16"/>
          <w:szCs w:val="16"/>
        </w:rPr>
      </w:pPr>
      <w:r w:rsidRPr="005A7389">
        <w:rPr>
          <w:rFonts w:ascii="Calibri" w:hAnsi="Calibri" w:cs="Calibri"/>
          <w:sz w:val="16"/>
          <w:szCs w:val="16"/>
        </w:rPr>
        <w:t>This Risk Register identifies, assesses, and tracks risks associated with the Healthcare Patient Engagement &amp; Care Coordination Platform. It is derived from confirmed functional and non</w:t>
      </w:r>
      <w:r w:rsidRPr="005A7389">
        <w:rPr>
          <w:rFonts w:ascii="Cambria Math" w:hAnsi="Cambria Math" w:cs="Cambria Math"/>
          <w:sz w:val="16"/>
          <w:szCs w:val="16"/>
        </w:rPr>
        <w:t>‑</w:t>
      </w:r>
      <w:r w:rsidRPr="005A7389">
        <w:rPr>
          <w:rFonts w:ascii="Calibri" w:hAnsi="Calibri" w:cs="Calibri"/>
          <w:sz w:val="16"/>
          <w:szCs w:val="16"/>
        </w:rPr>
        <w:t>functional requirements, STRIDE threat modeling, and Azure security control mappings.</w:t>
      </w:r>
    </w:p>
    <w:p w14:paraId="60EC3A7C" w14:textId="77777777" w:rsidR="00521E16" w:rsidRPr="005A7389" w:rsidRDefault="00000000">
      <w:pPr>
        <w:pStyle w:val="Heading1"/>
        <w:jc w:val="center"/>
        <w:rPr>
          <w:rFonts w:ascii="Calibri" w:hAnsi="Calibri" w:cs="Calibri"/>
          <w:sz w:val="16"/>
          <w:szCs w:val="16"/>
        </w:rPr>
      </w:pPr>
      <w:r w:rsidRPr="005A7389">
        <w:rPr>
          <w:rFonts w:ascii="Calibri" w:hAnsi="Calibri" w:cs="Calibri"/>
          <w:sz w:val="16"/>
          <w:szCs w:val="16"/>
        </w:rPr>
        <w:t>2. Risk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8"/>
        <w:gridCol w:w="1069"/>
        <w:gridCol w:w="970"/>
        <w:gridCol w:w="1184"/>
        <w:gridCol w:w="1238"/>
        <w:gridCol w:w="874"/>
        <w:gridCol w:w="734"/>
        <w:gridCol w:w="1669"/>
        <w:gridCol w:w="757"/>
        <w:gridCol w:w="970"/>
        <w:gridCol w:w="819"/>
        <w:gridCol w:w="998"/>
        <w:gridCol w:w="970"/>
      </w:tblGrid>
      <w:tr w:rsidR="00521E16" w:rsidRPr="005A7389" w14:paraId="234771C7" w14:textId="77777777">
        <w:trPr>
          <w:jc w:val="center"/>
        </w:trPr>
        <w:tc>
          <w:tcPr>
            <w:tcW w:w="720" w:type="dxa"/>
          </w:tcPr>
          <w:p w14:paraId="618C9783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b/>
                <w:sz w:val="16"/>
                <w:szCs w:val="16"/>
              </w:rPr>
              <w:t>Risk ID</w:t>
            </w:r>
          </w:p>
        </w:tc>
        <w:tc>
          <w:tcPr>
            <w:tcW w:w="720" w:type="dxa"/>
          </w:tcPr>
          <w:p w14:paraId="699D6F14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b/>
                <w:sz w:val="16"/>
                <w:szCs w:val="16"/>
              </w:rPr>
              <w:t>Risk Description</w:t>
            </w:r>
          </w:p>
        </w:tc>
        <w:tc>
          <w:tcPr>
            <w:tcW w:w="720" w:type="dxa"/>
          </w:tcPr>
          <w:p w14:paraId="57BB4115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b/>
                <w:sz w:val="16"/>
                <w:szCs w:val="16"/>
              </w:rPr>
              <w:t>Category</w:t>
            </w:r>
          </w:p>
        </w:tc>
        <w:tc>
          <w:tcPr>
            <w:tcW w:w="720" w:type="dxa"/>
          </w:tcPr>
          <w:p w14:paraId="45BCB545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b/>
                <w:sz w:val="16"/>
                <w:szCs w:val="16"/>
              </w:rPr>
              <w:t>Root Cause</w:t>
            </w:r>
          </w:p>
        </w:tc>
        <w:tc>
          <w:tcPr>
            <w:tcW w:w="720" w:type="dxa"/>
          </w:tcPr>
          <w:p w14:paraId="7382EE75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b/>
                <w:sz w:val="16"/>
                <w:szCs w:val="16"/>
              </w:rPr>
              <w:t>Impact</w:t>
            </w:r>
          </w:p>
        </w:tc>
        <w:tc>
          <w:tcPr>
            <w:tcW w:w="720" w:type="dxa"/>
          </w:tcPr>
          <w:p w14:paraId="0102E8E8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b/>
                <w:sz w:val="16"/>
                <w:szCs w:val="16"/>
              </w:rPr>
              <w:t>Likelihood</w:t>
            </w:r>
          </w:p>
        </w:tc>
        <w:tc>
          <w:tcPr>
            <w:tcW w:w="720" w:type="dxa"/>
          </w:tcPr>
          <w:p w14:paraId="67ADBD0F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b/>
                <w:sz w:val="16"/>
                <w:szCs w:val="16"/>
              </w:rPr>
              <w:t>Severity</w:t>
            </w:r>
          </w:p>
        </w:tc>
        <w:tc>
          <w:tcPr>
            <w:tcW w:w="720" w:type="dxa"/>
          </w:tcPr>
          <w:p w14:paraId="0F3ACBCF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b/>
                <w:sz w:val="16"/>
                <w:szCs w:val="16"/>
              </w:rPr>
              <w:t>Mitigation (Azure Controls)</w:t>
            </w:r>
          </w:p>
        </w:tc>
        <w:tc>
          <w:tcPr>
            <w:tcW w:w="720" w:type="dxa"/>
          </w:tcPr>
          <w:p w14:paraId="5DA97D98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b/>
                <w:sz w:val="16"/>
                <w:szCs w:val="16"/>
              </w:rPr>
              <w:t>Residual Risk</w:t>
            </w:r>
          </w:p>
        </w:tc>
        <w:tc>
          <w:tcPr>
            <w:tcW w:w="720" w:type="dxa"/>
          </w:tcPr>
          <w:p w14:paraId="4A440F4D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b/>
                <w:sz w:val="16"/>
                <w:szCs w:val="16"/>
              </w:rPr>
              <w:t>Risk Owner</w:t>
            </w:r>
          </w:p>
        </w:tc>
        <w:tc>
          <w:tcPr>
            <w:tcW w:w="720" w:type="dxa"/>
          </w:tcPr>
          <w:p w14:paraId="300BEA12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b/>
                <w:sz w:val="16"/>
                <w:szCs w:val="16"/>
              </w:rPr>
              <w:t>Status</w:t>
            </w:r>
          </w:p>
        </w:tc>
        <w:tc>
          <w:tcPr>
            <w:tcW w:w="720" w:type="dxa"/>
          </w:tcPr>
          <w:p w14:paraId="541F79FF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b/>
                <w:sz w:val="16"/>
                <w:szCs w:val="16"/>
              </w:rPr>
              <w:t>Review Date</w:t>
            </w:r>
          </w:p>
        </w:tc>
        <w:tc>
          <w:tcPr>
            <w:tcW w:w="720" w:type="dxa"/>
          </w:tcPr>
          <w:p w14:paraId="56981416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b/>
                <w:sz w:val="16"/>
                <w:szCs w:val="16"/>
              </w:rPr>
              <w:t>Compliance Reference</w:t>
            </w:r>
          </w:p>
        </w:tc>
      </w:tr>
      <w:tr w:rsidR="00521E16" w:rsidRPr="005A7389" w14:paraId="6BC10BEB" w14:textId="77777777">
        <w:trPr>
          <w:jc w:val="center"/>
        </w:trPr>
        <w:tc>
          <w:tcPr>
            <w:tcW w:w="720" w:type="dxa"/>
          </w:tcPr>
          <w:p w14:paraId="06E49459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RISK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01</w:t>
            </w:r>
          </w:p>
        </w:tc>
        <w:tc>
          <w:tcPr>
            <w:tcW w:w="720" w:type="dxa"/>
          </w:tcPr>
          <w:p w14:paraId="0A1BBE87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Unauthorized access to patient data</w:t>
            </w:r>
          </w:p>
        </w:tc>
        <w:tc>
          <w:tcPr>
            <w:tcW w:w="720" w:type="dxa"/>
          </w:tcPr>
          <w:p w14:paraId="6568EA40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Security / Privacy</w:t>
            </w:r>
          </w:p>
        </w:tc>
        <w:tc>
          <w:tcPr>
            <w:tcW w:w="720" w:type="dxa"/>
          </w:tcPr>
          <w:p w14:paraId="04EF95B6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Weak authentication or missing MFA</w:t>
            </w:r>
          </w:p>
        </w:tc>
        <w:tc>
          <w:tcPr>
            <w:tcW w:w="720" w:type="dxa"/>
          </w:tcPr>
          <w:p w14:paraId="764F0F47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PHI breach, regulatory penalties</w:t>
            </w:r>
          </w:p>
        </w:tc>
        <w:tc>
          <w:tcPr>
            <w:tcW w:w="720" w:type="dxa"/>
          </w:tcPr>
          <w:p w14:paraId="5209FE6B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Medium</w:t>
            </w:r>
          </w:p>
        </w:tc>
        <w:tc>
          <w:tcPr>
            <w:tcW w:w="720" w:type="dxa"/>
          </w:tcPr>
          <w:p w14:paraId="647230CD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Critical</w:t>
            </w:r>
          </w:p>
        </w:tc>
        <w:tc>
          <w:tcPr>
            <w:tcW w:w="720" w:type="dxa"/>
          </w:tcPr>
          <w:p w14:paraId="0BC711D3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Azure Entra ID MFA, Conditional Access, ASB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IM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1, ASB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IM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720" w:type="dxa"/>
          </w:tcPr>
          <w:p w14:paraId="6F038DF6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Low</w:t>
            </w:r>
          </w:p>
        </w:tc>
        <w:tc>
          <w:tcPr>
            <w:tcW w:w="720" w:type="dxa"/>
          </w:tcPr>
          <w:p w14:paraId="766A0D0D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CISO</w:t>
            </w:r>
          </w:p>
        </w:tc>
        <w:tc>
          <w:tcPr>
            <w:tcW w:w="720" w:type="dxa"/>
          </w:tcPr>
          <w:p w14:paraId="5D83A122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Mitigated</w:t>
            </w:r>
          </w:p>
        </w:tc>
        <w:tc>
          <w:tcPr>
            <w:tcW w:w="720" w:type="dxa"/>
          </w:tcPr>
          <w:p w14:paraId="1DC98778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30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Jun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2026</w:t>
            </w:r>
          </w:p>
        </w:tc>
        <w:tc>
          <w:tcPr>
            <w:tcW w:w="720" w:type="dxa"/>
          </w:tcPr>
          <w:p w14:paraId="575ED292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HIPAA Security Rule</w:t>
            </w:r>
          </w:p>
        </w:tc>
      </w:tr>
      <w:tr w:rsidR="00521E16" w:rsidRPr="005A7389" w14:paraId="3246A2CF" w14:textId="77777777">
        <w:trPr>
          <w:jc w:val="center"/>
        </w:trPr>
        <w:tc>
          <w:tcPr>
            <w:tcW w:w="720" w:type="dxa"/>
          </w:tcPr>
          <w:p w14:paraId="67F33140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RISK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02</w:t>
            </w:r>
          </w:p>
        </w:tc>
        <w:tc>
          <w:tcPr>
            <w:tcW w:w="720" w:type="dxa"/>
          </w:tcPr>
          <w:p w14:paraId="77B56041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Care plan created outside approved clinical protocol</w:t>
            </w:r>
          </w:p>
        </w:tc>
        <w:tc>
          <w:tcPr>
            <w:tcW w:w="720" w:type="dxa"/>
          </w:tcPr>
          <w:p w14:paraId="043A8F0F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Clinical / Compliance</w:t>
            </w:r>
          </w:p>
        </w:tc>
        <w:tc>
          <w:tcPr>
            <w:tcW w:w="720" w:type="dxa"/>
          </w:tcPr>
          <w:p w14:paraId="558EE639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Missing protocol validation</w:t>
            </w:r>
          </w:p>
        </w:tc>
        <w:tc>
          <w:tcPr>
            <w:tcW w:w="720" w:type="dxa"/>
          </w:tcPr>
          <w:p w14:paraId="66230640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Unsafe patient care, legal exposure</w:t>
            </w:r>
          </w:p>
        </w:tc>
        <w:tc>
          <w:tcPr>
            <w:tcW w:w="720" w:type="dxa"/>
          </w:tcPr>
          <w:p w14:paraId="68B3B484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Low</w:t>
            </w:r>
          </w:p>
        </w:tc>
        <w:tc>
          <w:tcPr>
            <w:tcW w:w="720" w:type="dxa"/>
          </w:tcPr>
          <w:p w14:paraId="5121220A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Critical</w:t>
            </w:r>
          </w:p>
        </w:tc>
        <w:tc>
          <w:tcPr>
            <w:tcW w:w="720" w:type="dxa"/>
          </w:tcPr>
          <w:p w14:paraId="7F23BDA9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Protocol Rules Engine, Azure Monitor Audit, ASB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LT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720" w:type="dxa"/>
          </w:tcPr>
          <w:p w14:paraId="192FE90B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Low</w:t>
            </w:r>
          </w:p>
        </w:tc>
        <w:tc>
          <w:tcPr>
            <w:tcW w:w="720" w:type="dxa"/>
          </w:tcPr>
          <w:p w14:paraId="5E0C0D28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Clinical Governance Lead</w:t>
            </w:r>
          </w:p>
        </w:tc>
        <w:tc>
          <w:tcPr>
            <w:tcW w:w="720" w:type="dxa"/>
          </w:tcPr>
          <w:p w14:paraId="0F61A049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Mitigated</w:t>
            </w:r>
          </w:p>
        </w:tc>
        <w:tc>
          <w:tcPr>
            <w:tcW w:w="720" w:type="dxa"/>
          </w:tcPr>
          <w:p w14:paraId="2F4EC173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15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Jul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2026</w:t>
            </w:r>
          </w:p>
        </w:tc>
        <w:tc>
          <w:tcPr>
            <w:tcW w:w="720" w:type="dxa"/>
          </w:tcPr>
          <w:p w14:paraId="7B6023B4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Clinical Governance Policy</w:t>
            </w:r>
          </w:p>
        </w:tc>
      </w:tr>
      <w:tr w:rsidR="00521E16" w:rsidRPr="005A7389" w14:paraId="549805EE" w14:textId="77777777">
        <w:trPr>
          <w:jc w:val="center"/>
        </w:trPr>
        <w:tc>
          <w:tcPr>
            <w:tcW w:w="720" w:type="dxa"/>
          </w:tcPr>
          <w:p w14:paraId="5AE0A0C3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RISK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03</w:t>
            </w:r>
          </w:p>
        </w:tc>
        <w:tc>
          <w:tcPr>
            <w:tcW w:w="720" w:type="dxa"/>
          </w:tcPr>
          <w:p w14:paraId="76843034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Loss of audit trail for clinical actions</w:t>
            </w:r>
          </w:p>
        </w:tc>
        <w:tc>
          <w:tcPr>
            <w:tcW w:w="720" w:type="dxa"/>
          </w:tcPr>
          <w:p w14:paraId="483A3326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Compliance</w:t>
            </w:r>
          </w:p>
        </w:tc>
        <w:tc>
          <w:tcPr>
            <w:tcW w:w="720" w:type="dxa"/>
          </w:tcPr>
          <w:p w14:paraId="7BC9272C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Insufficient logging</w:t>
            </w:r>
          </w:p>
        </w:tc>
        <w:tc>
          <w:tcPr>
            <w:tcW w:w="720" w:type="dxa"/>
          </w:tcPr>
          <w:p w14:paraId="6EF0B22D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Audit failure, non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repudiation issues</w:t>
            </w:r>
          </w:p>
        </w:tc>
        <w:tc>
          <w:tcPr>
            <w:tcW w:w="720" w:type="dxa"/>
          </w:tcPr>
          <w:p w14:paraId="22F05778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Medium</w:t>
            </w:r>
          </w:p>
        </w:tc>
        <w:tc>
          <w:tcPr>
            <w:tcW w:w="720" w:type="dxa"/>
          </w:tcPr>
          <w:p w14:paraId="79585874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High</w:t>
            </w:r>
          </w:p>
        </w:tc>
        <w:tc>
          <w:tcPr>
            <w:tcW w:w="720" w:type="dxa"/>
          </w:tcPr>
          <w:p w14:paraId="4D464D61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Azure Monitor, Log Analytics, Enable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Diagnostic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Logs Policy</w:t>
            </w:r>
          </w:p>
        </w:tc>
        <w:tc>
          <w:tcPr>
            <w:tcW w:w="720" w:type="dxa"/>
          </w:tcPr>
          <w:p w14:paraId="1D136A2B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Low</w:t>
            </w:r>
          </w:p>
        </w:tc>
        <w:tc>
          <w:tcPr>
            <w:tcW w:w="720" w:type="dxa"/>
          </w:tcPr>
          <w:p w14:paraId="0CDCA4A1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Compliance Officer</w:t>
            </w:r>
          </w:p>
        </w:tc>
        <w:tc>
          <w:tcPr>
            <w:tcW w:w="720" w:type="dxa"/>
          </w:tcPr>
          <w:p w14:paraId="07A46006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Mitigated</w:t>
            </w:r>
          </w:p>
        </w:tc>
        <w:tc>
          <w:tcPr>
            <w:tcW w:w="720" w:type="dxa"/>
          </w:tcPr>
          <w:p w14:paraId="48048E1C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30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Jun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2026</w:t>
            </w:r>
          </w:p>
        </w:tc>
        <w:tc>
          <w:tcPr>
            <w:tcW w:w="720" w:type="dxa"/>
          </w:tcPr>
          <w:p w14:paraId="71CCB065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HIPAA, SOC2</w:t>
            </w:r>
          </w:p>
        </w:tc>
      </w:tr>
      <w:tr w:rsidR="00521E16" w:rsidRPr="005A7389" w14:paraId="4FC215E7" w14:textId="77777777">
        <w:trPr>
          <w:jc w:val="center"/>
        </w:trPr>
        <w:tc>
          <w:tcPr>
            <w:tcW w:w="720" w:type="dxa"/>
          </w:tcPr>
          <w:p w14:paraId="67286362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RISK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04</w:t>
            </w:r>
          </w:p>
        </w:tc>
        <w:tc>
          <w:tcPr>
            <w:tcW w:w="720" w:type="dxa"/>
          </w:tcPr>
          <w:p w14:paraId="1379A456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Platform downtime impacting patient care</w:t>
            </w:r>
          </w:p>
        </w:tc>
        <w:tc>
          <w:tcPr>
            <w:tcW w:w="720" w:type="dxa"/>
          </w:tcPr>
          <w:p w14:paraId="3CA222C7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Availability</w:t>
            </w:r>
          </w:p>
        </w:tc>
        <w:tc>
          <w:tcPr>
            <w:tcW w:w="720" w:type="dxa"/>
          </w:tcPr>
          <w:p w14:paraId="331CF43A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Single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region deployment</w:t>
            </w:r>
          </w:p>
        </w:tc>
        <w:tc>
          <w:tcPr>
            <w:tcW w:w="720" w:type="dxa"/>
          </w:tcPr>
          <w:p w14:paraId="78D216EE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Missed consultations, patient dissatisfaction</w:t>
            </w:r>
          </w:p>
        </w:tc>
        <w:tc>
          <w:tcPr>
            <w:tcW w:w="720" w:type="dxa"/>
          </w:tcPr>
          <w:p w14:paraId="2EC69BB4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Medium</w:t>
            </w:r>
          </w:p>
        </w:tc>
        <w:tc>
          <w:tcPr>
            <w:tcW w:w="720" w:type="dxa"/>
          </w:tcPr>
          <w:p w14:paraId="145009F5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High</w:t>
            </w:r>
          </w:p>
        </w:tc>
        <w:tc>
          <w:tcPr>
            <w:tcW w:w="720" w:type="dxa"/>
          </w:tcPr>
          <w:p w14:paraId="5D9AAD01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Azure Front Door, Multi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AZ AKS, ASB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RE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720" w:type="dxa"/>
          </w:tcPr>
          <w:p w14:paraId="11EBF7A0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Medium</w:t>
            </w:r>
          </w:p>
        </w:tc>
        <w:tc>
          <w:tcPr>
            <w:tcW w:w="720" w:type="dxa"/>
          </w:tcPr>
          <w:p w14:paraId="24877D0F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IT Operations</w:t>
            </w:r>
          </w:p>
        </w:tc>
        <w:tc>
          <w:tcPr>
            <w:tcW w:w="720" w:type="dxa"/>
          </w:tcPr>
          <w:p w14:paraId="7CD56A4F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Open</w:t>
            </w:r>
          </w:p>
        </w:tc>
        <w:tc>
          <w:tcPr>
            <w:tcW w:w="720" w:type="dxa"/>
          </w:tcPr>
          <w:p w14:paraId="225C4BF1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01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Jul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2026</w:t>
            </w:r>
          </w:p>
        </w:tc>
        <w:tc>
          <w:tcPr>
            <w:tcW w:w="720" w:type="dxa"/>
          </w:tcPr>
          <w:p w14:paraId="49DA1E1D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SLA / BCP</w:t>
            </w:r>
          </w:p>
        </w:tc>
      </w:tr>
      <w:tr w:rsidR="00521E16" w:rsidRPr="005A7389" w14:paraId="58EDB170" w14:textId="77777777">
        <w:trPr>
          <w:jc w:val="center"/>
        </w:trPr>
        <w:tc>
          <w:tcPr>
            <w:tcW w:w="720" w:type="dxa"/>
          </w:tcPr>
          <w:p w14:paraId="63CF10D0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RISK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05</w:t>
            </w:r>
          </w:p>
        </w:tc>
        <w:tc>
          <w:tcPr>
            <w:tcW w:w="720" w:type="dxa"/>
          </w:tcPr>
          <w:p w14:paraId="19C4E9DC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Abuse of emergency break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glass access</w:t>
            </w:r>
          </w:p>
        </w:tc>
        <w:tc>
          <w:tcPr>
            <w:tcW w:w="720" w:type="dxa"/>
          </w:tcPr>
          <w:p w14:paraId="324C5EC9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Security / Governance</w:t>
            </w:r>
          </w:p>
        </w:tc>
        <w:tc>
          <w:tcPr>
            <w:tcW w:w="720" w:type="dxa"/>
          </w:tcPr>
          <w:p w14:paraId="36DD11E6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Over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privileged roles</w:t>
            </w:r>
          </w:p>
        </w:tc>
        <w:tc>
          <w:tcPr>
            <w:tcW w:w="720" w:type="dxa"/>
          </w:tcPr>
          <w:p w14:paraId="5A0465F7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Unauthorized data exposure</w:t>
            </w:r>
          </w:p>
        </w:tc>
        <w:tc>
          <w:tcPr>
            <w:tcW w:w="720" w:type="dxa"/>
          </w:tcPr>
          <w:p w14:paraId="75C8A485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Low</w:t>
            </w:r>
          </w:p>
        </w:tc>
        <w:tc>
          <w:tcPr>
            <w:tcW w:w="720" w:type="dxa"/>
          </w:tcPr>
          <w:p w14:paraId="2D5C82D2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Critical</w:t>
            </w:r>
          </w:p>
        </w:tc>
        <w:tc>
          <w:tcPr>
            <w:tcW w:w="720" w:type="dxa"/>
          </w:tcPr>
          <w:p w14:paraId="5113798C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Azure PIM, Time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bound access, Justification logging</w:t>
            </w:r>
          </w:p>
        </w:tc>
        <w:tc>
          <w:tcPr>
            <w:tcW w:w="720" w:type="dxa"/>
          </w:tcPr>
          <w:p w14:paraId="732ABFBB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Low</w:t>
            </w:r>
          </w:p>
        </w:tc>
        <w:tc>
          <w:tcPr>
            <w:tcW w:w="720" w:type="dxa"/>
          </w:tcPr>
          <w:p w14:paraId="4A0A5AE6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CISO</w:t>
            </w:r>
          </w:p>
        </w:tc>
        <w:tc>
          <w:tcPr>
            <w:tcW w:w="720" w:type="dxa"/>
          </w:tcPr>
          <w:p w14:paraId="0A4E0E0A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Mitigated</w:t>
            </w:r>
          </w:p>
        </w:tc>
        <w:tc>
          <w:tcPr>
            <w:tcW w:w="720" w:type="dxa"/>
          </w:tcPr>
          <w:p w14:paraId="6F7D38FF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01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Jun</w:t>
            </w:r>
            <w:r w:rsidRPr="005A7389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5A7389">
              <w:rPr>
                <w:rFonts w:ascii="Calibri" w:hAnsi="Calibri" w:cs="Calibri"/>
                <w:sz w:val="16"/>
                <w:szCs w:val="16"/>
              </w:rPr>
              <w:t>2026</w:t>
            </w:r>
          </w:p>
        </w:tc>
        <w:tc>
          <w:tcPr>
            <w:tcW w:w="720" w:type="dxa"/>
          </w:tcPr>
          <w:p w14:paraId="320084A6" w14:textId="77777777" w:rsidR="00521E16" w:rsidRPr="005A7389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A7389">
              <w:rPr>
                <w:rFonts w:ascii="Calibri" w:hAnsi="Calibri" w:cs="Calibri"/>
                <w:sz w:val="16"/>
                <w:szCs w:val="16"/>
              </w:rPr>
              <w:t>HIPAA Access Control</w:t>
            </w:r>
          </w:p>
        </w:tc>
      </w:tr>
    </w:tbl>
    <w:p w14:paraId="31BD0D6D" w14:textId="77777777" w:rsidR="00C35AF0" w:rsidRPr="005A7389" w:rsidRDefault="00C35AF0">
      <w:pPr>
        <w:rPr>
          <w:rFonts w:ascii="Calibri" w:hAnsi="Calibri" w:cs="Calibri"/>
          <w:sz w:val="16"/>
          <w:szCs w:val="16"/>
        </w:rPr>
      </w:pPr>
    </w:p>
    <w:sectPr w:rsidR="00C35AF0" w:rsidRPr="005A7389" w:rsidSect="005A738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21E16"/>
    <w:rsid w:val="005A534A"/>
    <w:rsid w:val="005A7389"/>
    <w:rsid w:val="00827C87"/>
    <w:rsid w:val="00A03127"/>
    <w:rsid w:val="00A20880"/>
    <w:rsid w:val="00A352C8"/>
    <w:rsid w:val="00B41C2B"/>
    <w:rsid w:val="00C26D93"/>
    <w:rsid w:val="00C27141"/>
    <w:rsid w:val="00C35AF0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2D924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Bhatia, Uttam Kumar (Cognizant)</dc:creator>
  <cp:keywords/>
  <dc:description/>
  <cp:lastModifiedBy>Bhatia, Uttam Kumar (Cognizant)</cp:lastModifiedBy>
  <cp:revision>3</cp:revision>
  <dcterms:created xsi:type="dcterms:W3CDTF">2026-04-19T18:07:00Z</dcterms:created>
  <dcterms:modified xsi:type="dcterms:W3CDTF">2026-04-19T18:09:00Z</dcterms:modified>
</cp:coreProperties>
</file>