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6EE0" w14:textId="77777777" w:rsidR="00A20880" w:rsidRPr="007B4A47" w:rsidRDefault="00A20880">
      <w:pPr>
        <w:rPr>
          <w:rFonts w:ascii="Calibri" w:hAnsi="Calibri" w:cs="Calibri"/>
          <w:sz w:val="18"/>
          <w:szCs w:val="18"/>
        </w:rPr>
      </w:pPr>
    </w:p>
    <w:p w14:paraId="1CE3390E" w14:textId="77777777" w:rsidR="00C871F7" w:rsidRPr="007B4A47" w:rsidRDefault="00000000">
      <w:pPr>
        <w:pStyle w:val="Title"/>
        <w:jc w:val="center"/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Compliance</w:t>
      </w:r>
      <w:r w:rsidRPr="007B4A47">
        <w:rPr>
          <w:rFonts w:ascii="Cambria Math" w:hAnsi="Cambria Math" w:cs="Cambria Math"/>
          <w:sz w:val="18"/>
          <w:szCs w:val="18"/>
        </w:rPr>
        <w:t>‑</w:t>
      </w:r>
      <w:r w:rsidRPr="007B4A47">
        <w:rPr>
          <w:rFonts w:ascii="Calibri" w:hAnsi="Calibri" w:cs="Calibri"/>
          <w:sz w:val="18"/>
          <w:szCs w:val="18"/>
        </w:rPr>
        <w:t>Ready Risk Register</w:t>
      </w:r>
    </w:p>
    <w:p w14:paraId="541091F8" w14:textId="77777777" w:rsidR="00C871F7" w:rsidRPr="007B4A47" w:rsidRDefault="00000000">
      <w:pPr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Healthcare Patient Engagement &amp; Care Coordination Platform</w:t>
      </w:r>
    </w:p>
    <w:p w14:paraId="1ABCC6AA" w14:textId="77777777" w:rsidR="00C871F7" w:rsidRPr="007B4A47" w:rsidRDefault="00000000">
      <w:pPr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Includes Likelihood × Impact Risk Scoring Matrix</w:t>
      </w:r>
    </w:p>
    <w:p w14:paraId="571E2CFE" w14:textId="77777777" w:rsidR="00C871F7" w:rsidRPr="007B4A47" w:rsidRDefault="00000000">
      <w:pPr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Version: 1.1 | Date: April 2026</w:t>
      </w:r>
    </w:p>
    <w:p w14:paraId="3BB0DFD2" w14:textId="77777777" w:rsidR="00C871F7" w:rsidRPr="007B4A47" w:rsidRDefault="00000000">
      <w:pPr>
        <w:pStyle w:val="Heading1"/>
        <w:jc w:val="center"/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1. Purpose &amp; Scope</w:t>
      </w:r>
    </w:p>
    <w:p w14:paraId="0B874313" w14:textId="77777777" w:rsidR="00C871F7" w:rsidRPr="007B4A47" w:rsidRDefault="00000000">
      <w:pPr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This Risk Register identifies, assesses, and tracks risks across the platform. It includes a standardized Likelihood × Impact risk scoring matrix to ensure consistent risk evaluation and prioritization.</w:t>
      </w:r>
    </w:p>
    <w:p w14:paraId="5F24E3D3" w14:textId="77777777" w:rsidR="00C871F7" w:rsidRPr="007B4A47" w:rsidRDefault="00000000">
      <w:pPr>
        <w:pStyle w:val="Heading1"/>
        <w:jc w:val="center"/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2. Likelihood &amp; Impact Definitions</w:t>
      </w:r>
    </w:p>
    <w:p w14:paraId="25451123" w14:textId="77777777" w:rsidR="00C871F7" w:rsidRPr="007B4A47" w:rsidRDefault="00000000">
      <w:pPr>
        <w:pStyle w:val="Heading2"/>
        <w:jc w:val="center"/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2.1 Likelihood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71F7" w:rsidRPr="007B4A47" w14:paraId="68D1433E" w14:textId="77777777">
        <w:trPr>
          <w:jc w:val="center"/>
        </w:trPr>
        <w:tc>
          <w:tcPr>
            <w:tcW w:w="3120" w:type="dxa"/>
          </w:tcPr>
          <w:p w14:paraId="65AF2C60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Score</w:t>
            </w:r>
          </w:p>
        </w:tc>
        <w:tc>
          <w:tcPr>
            <w:tcW w:w="3120" w:type="dxa"/>
          </w:tcPr>
          <w:p w14:paraId="0C4655B7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Label</w:t>
            </w:r>
          </w:p>
        </w:tc>
        <w:tc>
          <w:tcPr>
            <w:tcW w:w="3120" w:type="dxa"/>
          </w:tcPr>
          <w:p w14:paraId="0153041B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Description</w:t>
            </w:r>
          </w:p>
        </w:tc>
      </w:tr>
      <w:tr w:rsidR="00C871F7" w:rsidRPr="007B4A47" w14:paraId="304A072A" w14:textId="77777777">
        <w:trPr>
          <w:jc w:val="center"/>
        </w:trPr>
        <w:tc>
          <w:tcPr>
            <w:tcW w:w="3120" w:type="dxa"/>
          </w:tcPr>
          <w:p w14:paraId="3F0D8DA6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3120" w:type="dxa"/>
          </w:tcPr>
          <w:p w14:paraId="05FFDC5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Rare</w:t>
            </w:r>
          </w:p>
        </w:tc>
        <w:tc>
          <w:tcPr>
            <w:tcW w:w="3120" w:type="dxa"/>
          </w:tcPr>
          <w:p w14:paraId="43B5CB6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Unlikely to occur (&lt;5%)</w:t>
            </w:r>
          </w:p>
        </w:tc>
      </w:tr>
      <w:tr w:rsidR="00C871F7" w:rsidRPr="007B4A47" w14:paraId="5CF4A7E7" w14:textId="77777777">
        <w:trPr>
          <w:jc w:val="center"/>
        </w:trPr>
        <w:tc>
          <w:tcPr>
            <w:tcW w:w="3120" w:type="dxa"/>
          </w:tcPr>
          <w:p w14:paraId="2301A5A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120" w:type="dxa"/>
          </w:tcPr>
          <w:p w14:paraId="113DF2BC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Unlikely</w:t>
            </w:r>
          </w:p>
        </w:tc>
        <w:tc>
          <w:tcPr>
            <w:tcW w:w="3120" w:type="dxa"/>
          </w:tcPr>
          <w:p w14:paraId="1095C6B4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May occur infrequently (5–15%)</w:t>
            </w:r>
          </w:p>
        </w:tc>
      </w:tr>
      <w:tr w:rsidR="00C871F7" w:rsidRPr="007B4A47" w14:paraId="0A687226" w14:textId="77777777">
        <w:trPr>
          <w:jc w:val="center"/>
        </w:trPr>
        <w:tc>
          <w:tcPr>
            <w:tcW w:w="3120" w:type="dxa"/>
          </w:tcPr>
          <w:p w14:paraId="30DA31D2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3120" w:type="dxa"/>
          </w:tcPr>
          <w:p w14:paraId="3DB6042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Possible</w:t>
            </w:r>
          </w:p>
        </w:tc>
        <w:tc>
          <w:tcPr>
            <w:tcW w:w="3120" w:type="dxa"/>
          </w:tcPr>
          <w:p w14:paraId="0ACA3539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Might occur occasionally (15–40%)</w:t>
            </w:r>
          </w:p>
        </w:tc>
      </w:tr>
      <w:tr w:rsidR="00C871F7" w:rsidRPr="007B4A47" w14:paraId="0EDDAADF" w14:textId="77777777">
        <w:trPr>
          <w:jc w:val="center"/>
        </w:trPr>
        <w:tc>
          <w:tcPr>
            <w:tcW w:w="3120" w:type="dxa"/>
          </w:tcPr>
          <w:p w14:paraId="63EFD63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3120" w:type="dxa"/>
          </w:tcPr>
          <w:p w14:paraId="02FB22C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Likely</w:t>
            </w:r>
          </w:p>
        </w:tc>
        <w:tc>
          <w:tcPr>
            <w:tcW w:w="3120" w:type="dxa"/>
          </w:tcPr>
          <w:p w14:paraId="7772EC3C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Will occur in many cases (40–70%)</w:t>
            </w:r>
          </w:p>
        </w:tc>
      </w:tr>
      <w:tr w:rsidR="00C871F7" w:rsidRPr="007B4A47" w14:paraId="72C9667B" w14:textId="77777777">
        <w:trPr>
          <w:jc w:val="center"/>
        </w:trPr>
        <w:tc>
          <w:tcPr>
            <w:tcW w:w="3120" w:type="dxa"/>
          </w:tcPr>
          <w:p w14:paraId="68F0D4CC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3120" w:type="dxa"/>
          </w:tcPr>
          <w:p w14:paraId="7A208141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Almost Certain</w:t>
            </w:r>
          </w:p>
        </w:tc>
        <w:tc>
          <w:tcPr>
            <w:tcW w:w="3120" w:type="dxa"/>
          </w:tcPr>
          <w:p w14:paraId="4C0B911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Expected to occur (&gt;70%)</w:t>
            </w:r>
          </w:p>
        </w:tc>
      </w:tr>
    </w:tbl>
    <w:p w14:paraId="336D820F" w14:textId="77777777" w:rsidR="00C871F7" w:rsidRPr="007B4A47" w:rsidRDefault="00000000">
      <w:pPr>
        <w:pStyle w:val="Heading2"/>
        <w:jc w:val="center"/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2.2 Impact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71F7" w:rsidRPr="007B4A47" w14:paraId="4930A57C" w14:textId="77777777">
        <w:trPr>
          <w:jc w:val="center"/>
        </w:trPr>
        <w:tc>
          <w:tcPr>
            <w:tcW w:w="3120" w:type="dxa"/>
          </w:tcPr>
          <w:p w14:paraId="0B233937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Score</w:t>
            </w:r>
          </w:p>
        </w:tc>
        <w:tc>
          <w:tcPr>
            <w:tcW w:w="3120" w:type="dxa"/>
          </w:tcPr>
          <w:p w14:paraId="6156BC8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Label</w:t>
            </w:r>
          </w:p>
        </w:tc>
        <w:tc>
          <w:tcPr>
            <w:tcW w:w="3120" w:type="dxa"/>
          </w:tcPr>
          <w:p w14:paraId="578CA206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Description</w:t>
            </w:r>
          </w:p>
        </w:tc>
      </w:tr>
      <w:tr w:rsidR="00C871F7" w:rsidRPr="007B4A47" w14:paraId="203AC73D" w14:textId="77777777">
        <w:trPr>
          <w:jc w:val="center"/>
        </w:trPr>
        <w:tc>
          <w:tcPr>
            <w:tcW w:w="3120" w:type="dxa"/>
          </w:tcPr>
          <w:p w14:paraId="6A494FB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3120" w:type="dxa"/>
          </w:tcPr>
          <w:p w14:paraId="1983751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Insignificant</w:t>
            </w:r>
          </w:p>
        </w:tc>
        <w:tc>
          <w:tcPr>
            <w:tcW w:w="3120" w:type="dxa"/>
          </w:tcPr>
          <w:p w14:paraId="632F14B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Minimal operational impact</w:t>
            </w:r>
          </w:p>
        </w:tc>
      </w:tr>
      <w:tr w:rsidR="00C871F7" w:rsidRPr="007B4A47" w14:paraId="2DD230A3" w14:textId="77777777">
        <w:trPr>
          <w:jc w:val="center"/>
        </w:trPr>
        <w:tc>
          <w:tcPr>
            <w:tcW w:w="3120" w:type="dxa"/>
          </w:tcPr>
          <w:p w14:paraId="09FA345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3120" w:type="dxa"/>
          </w:tcPr>
          <w:p w14:paraId="5EB5FA5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3120" w:type="dxa"/>
          </w:tcPr>
          <w:p w14:paraId="0652B40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 w:rsidRPr="007B4A47">
              <w:rPr>
                <w:rFonts w:ascii="Calibri" w:hAnsi="Calibri" w:cs="Calibri"/>
                <w:sz w:val="18"/>
                <w:szCs w:val="18"/>
              </w:rPr>
              <w:t>Limited service</w:t>
            </w:r>
            <w:proofErr w:type="gramEnd"/>
            <w:r w:rsidRPr="007B4A47">
              <w:rPr>
                <w:rFonts w:ascii="Calibri" w:hAnsi="Calibri" w:cs="Calibri"/>
                <w:sz w:val="18"/>
                <w:szCs w:val="18"/>
              </w:rPr>
              <w:t xml:space="preserve"> disruption</w:t>
            </w:r>
          </w:p>
        </w:tc>
      </w:tr>
      <w:tr w:rsidR="00C871F7" w:rsidRPr="007B4A47" w14:paraId="7B1E7B71" w14:textId="77777777">
        <w:trPr>
          <w:jc w:val="center"/>
        </w:trPr>
        <w:tc>
          <w:tcPr>
            <w:tcW w:w="3120" w:type="dxa"/>
          </w:tcPr>
          <w:p w14:paraId="73A0B5DA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3120" w:type="dxa"/>
          </w:tcPr>
          <w:p w14:paraId="776D67D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Moderate</w:t>
            </w:r>
          </w:p>
        </w:tc>
        <w:tc>
          <w:tcPr>
            <w:tcW w:w="3120" w:type="dxa"/>
          </w:tcPr>
          <w:p w14:paraId="3B34FEC4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Service degradation, minor compliance impact</w:t>
            </w:r>
          </w:p>
        </w:tc>
      </w:tr>
      <w:tr w:rsidR="00C871F7" w:rsidRPr="007B4A47" w14:paraId="769BE5BF" w14:textId="77777777">
        <w:trPr>
          <w:jc w:val="center"/>
        </w:trPr>
        <w:tc>
          <w:tcPr>
            <w:tcW w:w="3120" w:type="dxa"/>
          </w:tcPr>
          <w:p w14:paraId="5B72A0E0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3120" w:type="dxa"/>
          </w:tcPr>
          <w:p w14:paraId="579290E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3120" w:type="dxa"/>
          </w:tcPr>
          <w:p w14:paraId="2CCE04D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Significant service or regulatory impact</w:t>
            </w:r>
          </w:p>
        </w:tc>
      </w:tr>
      <w:tr w:rsidR="00C871F7" w:rsidRPr="007B4A47" w14:paraId="7BFB5C5A" w14:textId="77777777">
        <w:trPr>
          <w:jc w:val="center"/>
        </w:trPr>
        <w:tc>
          <w:tcPr>
            <w:tcW w:w="3120" w:type="dxa"/>
          </w:tcPr>
          <w:p w14:paraId="55C9BB1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3120" w:type="dxa"/>
          </w:tcPr>
          <w:p w14:paraId="371B07A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Severe</w:t>
            </w:r>
          </w:p>
        </w:tc>
        <w:tc>
          <w:tcPr>
            <w:tcW w:w="3120" w:type="dxa"/>
          </w:tcPr>
          <w:p w14:paraId="230117D0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Patient safety risk or regulatory breach</w:t>
            </w:r>
          </w:p>
        </w:tc>
      </w:tr>
    </w:tbl>
    <w:p w14:paraId="7512E812" w14:textId="77777777" w:rsidR="00C871F7" w:rsidRPr="007B4A47" w:rsidRDefault="00000000">
      <w:pPr>
        <w:pStyle w:val="Heading1"/>
        <w:jc w:val="center"/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3. Likelihood × Impact Risk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58"/>
        <w:gridCol w:w="1558"/>
        <w:gridCol w:w="1558"/>
        <w:gridCol w:w="1558"/>
        <w:gridCol w:w="1558"/>
      </w:tblGrid>
      <w:tr w:rsidR="00C871F7" w:rsidRPr="007B4A47" w14:paraId="0543C22E" w14:textId="77777777">
        <w:trPr>
          <w:jc w:val="center"/>
        </w:trPr>
        <w:tc>
          <w:tcPr>
            <w:tcW w:w="1560" w:type="dxa"/>
          </w:tcPr>
          <w:p w14:paraId="715DF2A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Likelihood ↓ / Impact →</w:t>
            </w:r>
          </w:p>
        </w:tc>
        <w:tc>
          <w:tcPr>
            <w:tcW w:w="1560" w:type="dxa"/>
          </w:tcPr>
          <w:p w14:paraId="3C32AAB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  <w:tc>
          <w:tcPr>
            <w:tcW w:w="1560" w:type="dxa"/>
          </w:tcPr>
          <w:p w14:paraId="7ECCE5C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  <w:tc>
          <w:tcPr>
            <w:tcW w:w="1560" w:type="dxa"/>
          </w:tcPr>
          <w:p w14:paraId="1599052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  <w:tc>
          <w:tcPr>
            <w:tcW w:w="1560" w:type="dxa"/>
          </w:tcPr>
          <w:p w14:paraId="2A68543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  <w:tc>
          <w:tcPr>
            <w:tcW w:w="1560" w:type="dxa"/>
          </w:tcPr>
          <w:p w14:paraId="7F734C51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</w:tr>
      <w:tr w:rsidR="00C871F7" w:rsidRPr="007B4A47" w14:paraId="3D4E2C06" w14:textId="77777777">
        <w:trPr>
          <w:jc w:val="center"/>
        </w:trPr>
        <w:tc>
          <w:tcPr>
            <w:tcW w:w="1560" w:type="dxa"/>
          </w:tcPr>
          <w:p w14:paraId="137D10D7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560" w:type="dxa"/>
          </w:tcPr>
          <w:p w14:paraId="3FFBCF70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60" w:type="dxa"/>
          </w:tcPr>
          <w:p w14:paraId="3A51D28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560" w:type="dxa"/>
          </w:tcPr>
          <w:p w14:paraId="700672E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560" w:type="dxa"/>
          </w:tcPr>
          <w:p w14:paraId="4272533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60" w:type="dxa"/>
          </w:tcPr>
          <w:p w14:paraId="36F05734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  <w:tr w:rsidR="00C871F7" w:rsidRPr="007B4A47" w14:paraId="47AD24B5" w14:textId="77777777">
        <w:trPr>
          <w:jc w:val="center"/>
        </w:trPr>
        <w:tc>
          <w:tcPr>
            <w:tcW w:w="1560" w:type="dxa"/>
          </w:tcPr>
          <w:p w14:paraId="7AFBBC9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1560" w:type="dxa"/>
          </w:tcPr>
          <w:p w14:paraId="267FDC7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60" w:type="dxa"/>
          </w:tcPr>
          <w:p w14:paraId="12392D14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60" w:type="dxa"/>
          </w:tcPr>
          <w:p w14:paraId="36831110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560" w:type="dxa"/>
          </w:tcPr>
          <w:p w14:paraId="5D32608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560" w:type="dxa"/>
          </w:tcPr>
          <w:p w14:paraId="70AD694A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</w:tr>
      <w:tr w:rsidR="00C871F7" w:rsidRPr="007B4A47" w14:paraId="41AAE55B" w14:textId="77777777">
        <w:trPr>
          <w:jc w:val="center"/>
        </w:trPr>
        <w:tc>
          <w:tcPr>
            <w:tcW w:w="1560" w:type="dxa"/>
          </w:tcPr>
          <w:p w14:paraId="58661216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1560" w:type="dxa"/>
          </w:tcPr>
          <w:p w14:paraId="5ED0CA21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1560" w:type="dxa"/>
          </w:tcPr>
          <w:p w14:paraId="0AE742A9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60" w:type="dxa"/>
          </w:tcPr>
          <w:p w14:paraId="64F50BBC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60" w:type="dxa"/>
          </w:tcPr>
          <w:p w14:paraId="27D009E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560" w:type="dxa"/>
          </w:tcPr>
          <w:p w14:paraId="7319D91B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C871F7" w:rsidRPr="007B4A47" w14:paraId="74D88D4A" w14:textId="77777777">
        <w:trPr>
          <w:jc w:val="center"/>
        </w:trPr>
        <w:tc>
          <w:tcPr>
            <w:tcW w:w="1560" w:type="dxa"/>
          </w:tcPr>
          <w:p w14:paraId="542DBA56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1560" w:type="dxa"/>
          </w:tcPr>
          <w:p w14:paraId="79524CC1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1560" w:type="dxa"/>
          </w:tcPr>
          <w:p w14:paraId="65578E4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1560" w:type="dxa"/>
          </w:tcPr>
          <w:p w14:paraId="6AFB52D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60" w:type="dxa"/>
          </w:tcPr>
          <w:p w14:paraId="46A5589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60" w:type="dxa"/>
          </w:tcPr>
          <w:p w14:paraId="5044A771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</w:tr>
      <w:tr w:rsidR="00C871F7" w:rsidRPr="007B4A47" w14:paraId="5F9D4AF2" w14:textId="77777777">
        <w:trPr>
          <w:jc w:val="center"/>
        </w:trPr>
        <w:tc>
          <w:tcPr>
            <w:tcW w:w="1560" w:type="dxa"/>
          </w:tcPr>
          <w:p w14:paraId="32B137A9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1560" w:type="dxa"/>
          </w:tcPr>
          <w:p w14:paraId="53B117E6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1560" w:type="dxa"/>
          </w:tcPr>
          <w:p w14:paraId="4BEEB3A9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1560" w:type="dxa"/>
          </w:tcPr>
          <w:p w14:paraId="1F6F43D2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1560" w:type="dxa"/>
          </w:tcPr>
          <w:p w14:paraId="0A89989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560" w:type="dxa"/>
          </w:tcPr>
          <w:p w14:paraId="5BAEE53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</w:tr>
    </w:tbl>
    <w:p w14:paraId="3051146F" w14:textId="77777777" w:rsidR="00C871F7" w:rsidRPr="007B4A47" w:rsidRDefault="00000000">
      <w:pPr>
        <w:pStyle w:val="Heading1"/>
        <w:jc w:val="center"/>
        <w:rPr>
          <w:rFonts w:ascii="Calibri" w:hAnsi="Calibri" w:cs="Calibri"/>
          <w:sz w:val="18"/>
          <w:szCs w:val="18"/>
        </w:rPr>
      </w:pPr>
      <w:r w:rsidRPr="007B4A47">
        <w:rPr>
          <w:rFonts w:ascii="Calibri" w:hAnsi="Calibri" w:cs="Calibri"/>
          <w:sz w:val="18"/>
          <w:szCs w:val="18"/>
        </w:rPr>
        <w:t>4. Risk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6"/>
        <w:gridCol w:w="1286"/>
        <w:gridCol w:w="1055"/>
        <w:gridCol w:w="966"/>
        <w:gridCol w:w="722"/>
        <w:gridCol w:w="707"/>
        <w:gridCol w:w="1035"/>
        <w:gridCol w:w="833"/>
        <w:gridCol w:w="1076"/>
        <w:gridCol w:w="904"/>
      </w:tblGrid>
      <w:tr w:rsidR="00C871F7" w:rsidRPr="007B4A47" w14:paraId="2C24FB7D" w14:textId="77777777">
        <w:trPr>
          <w:jc w:val="center"/>
        </w:trPr>
        <w:tc>
          <w:tcPr>
            <w:tcW w:w="936" w:type="dxa"/>
          </w:tcPr>
          <w:p w14:paraId="3189BD1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Risk ID</w:t>
            </w:r>
          </w:p>
        </w:tc>
        <w:tc>
          <w:tcPr>
            <w:tcW w:w="936" w:type="dxa"/>
          </w:tcPr>
          <w:p w14:paraId="0C28023C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Risk Description</w:t>
            </w:r>
          </w:p>
        </w:tc>
        <w:tc>
          <w:tcPr>
            <w:tcW w:w="936" w:type="dxa"/>
          </w:tcPr>
          <w:p w14:paraId="75EA7A5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Category</w:t>
            </w:r>
          </w:p>
        </w:tc>
        <w:tc>
          <w:tcPr>
            <w:tcW w:w="936" w:type="dxa"/>
          </w:tcPr>
          <w:p w14:paraId="3F63F41B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Likelihood</w:t>
            </w:r>
          </w:p>
        </w:tc>
        <w:tc>
          <w:tcPr>
            <w:tcW w:w="936" w:type="dxa"/>
          </w:tcPr>
          <w:p w14:paraId="789898E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Impact</w:t>
            </w:r>
          </w:p>
        </w:tc>
        <w:tc>
          <w:tcPr>
            <w:tcW w:w="936" w:type="dxa"/>
          </w:tcPr>
          <w:p w14:paraId="112FDC99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Risk Rating</w:t>
            </w:r>
          </w:p>
        </w:tc>
        <w:tc>
          <w:tcPr>
            <w:tcW w:w="936" w:type="dxa"/>
          </w:tcPr>
          <w:p w14:paraId="742E900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Mitigation (Azure Controls)</w:t>
            </w:r>
          </w:p>
        </w:tc>
        <w:tc>
          <w:tcPr>
            <w:tcW w:w="936" w:type="dxa"/>
          </w:tcPr>
          <w:p w14:paraId="395944F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Residual Risk</w:t>
            </w:r>
          </w:p>
        </w:tc>
        <w:tc>
          <w:tcPr>
            <w:tcW w:w="936" w:type="dxa"/>
          </w:tcPr>
          <w:p w14:paraId="30B6EC6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Risk Owner</w:t>
            </w:r>
          </w:p>
        </w:tc>
        <w:tc>
          <w:tcPr>
            <w:tcW w:w="936" w:type="dxa"/>
          </w:tcPr>
          <w:p w14:paraId="7498FCB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b/>
                <w:sz w:val="18"/>
                <w:szCs w:val="18"/>
              </w:rPr>
              <w:t>Status</w:t>
            </w:r>
          </w:p>
        </w:tc>
      </w:tr>
      <w:tr w:rsidR="00C871F7" w:rsidRPr="007B4A47" w14:paraId="0CE7D080" w14:textId="77777777">
        <w:trPr>
          <w:jc w:val="center"/>
        </w:trPr>
        <w:tc>
          <w:tcPr>
            <w:tcW w:w="936" w:type="dxa"/>
          </w:tcPr>
          <w:p w14:paraId="21D0A4A2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RISK</w:t>
            </w:r>
            <w:r w:rsidRPr="007B4A4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7B4A47">
              <w:rPr>
                <w:rFonts w:ascii="Calibri" w:hAnsi="Calibri" w:cs="Calibri"/>
                <w:sz w:val="18"/>
                <w:szCs w:val="18"/>
              </w:rPr>
              <w:t>01</w:t>
            </w:r>
          </w:p>
        </w:tc>
        <w:tc>
          <w:tcPr>
            <w:tcW w:w="936" w:type="dxa"/>
          </w:tcPr>
          <w:p w14:paraId="5C48937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Unauthorized access to patient data</w:t>
            </w:r>
          </w:p>
        </w:tc>
        <w:tc>
          <w:tcPr>
            <w:tcW w:w="936" w:type="dxa"/>
          </w:tcPr>
          <w:p w14:paraId="674F554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Security / Privacy</w:t>
            </w:r>
          </w:p>
        </w:tc>
        <w:tc>
          <w:tcPr>
            <w:tcW w:w="936" w:type="dxa"/>
          </w:tcPr>
          <w:p w14:paraId="6986DB4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936" w:type="dxa"/>
          </w:tcPr>
          <w:p w14:paraId="7597413B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936" w:type="dxa"/>
          </w:tcPr>
          <w:p w14:paraId="46AE59B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936" w:type="dxa"/>
          </w:tcPr>
          <w:p w14:paraId="29B57151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Azure Entra ID MFA, Conditional Access</w:t>
            </w:r>
          </w:p>
        </w:tc>
        <w:tc>
          <w:tcPr>
            <w:tcW w:w="936" w:type="dxa"/>
          </w:tcPr>
          <w:p w14:paraId="30C8F91C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936" w:type="dxa"/>
          </w:tcPr>
          <w:p w14:paraId="290961F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CISO</w:t>
            </w:r>
          </w:p>
        </w:tc>
        <w:tc>
          <w:tcPr>
            <w:tcW w:w="936" w:type="dxa"/>
          </w:tcPr>
          <w:p w14:paraId="6801174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Mitigated</w:t>
            </w:r>
          </w:p>
        </w:tc>
      </w:tr>
      <w:tr w:rsidR="00C871F7" w:rsidRPr="007B4A47" w14:paraId="3D17CE4A" w14:textId="77777777">
        <w:trPr>
          <w:jc w:val="center"/>
        </w:trPr>
        <w:tc>
          <w:tcPr>
            <w:tcW w:w="936" w:type="dxa"/>
          </w:tcPr>
          <w:p w14:paraId="343664B7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lastRenderedPageBreak/>
              <w:t>RISK</w:t>
            </w:r>
            <w:r w:rsidRPr="007B4A4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7B4A47">
              <w:rPr>
                <w:rFonts w:ascii="Calibri" w:hAnsi="Calibri" w:cs="Calibri"/>
                <w:sz w:val="18"/>
                <w:szCs w:val="18"/>
              </w:rPr>
              <w:t>02</w:t>
            </w:r>
          </w:p>
        </w:tc>
        <w:tc>
          <w:tcPr>
            <w:tcW w:w="936" w:type="dxa"/>
          </w:tcPr>
          <w:p w14:paraId="25C28C62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Non</w:t>
            </w:r>
            <w:r w:rsidRPr="007B4A4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7B4A47">
              <w:rPr>
                <w:rFonts w:ascii="Calibri" w:hAnsi="Calibri" w:cs="Calibri"/>
                <w:sz w:val="18"/>
                <w:szCs w:val="18"/>
              </w:rPr>
              <w:t>compliant care plan execution</w:t>
            </w:r>
          </w:p>
        </w:tc>
        <w:tc>
          <w:tcPr>
            <w:tcW w:w="936" w:type="dxa"/>
          </w:tcPr>
          <w:p w14:paraId="33906584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Clinical / Compliance</w:t>
            </w:r>
          </w:p>
        </w:tc>
        <w:tc>
          <w:tcPr>
            <w:tcW w:w="936" w:type="dxa"/>
          </w:tcPr>
          <w:p w14:paraId="4593519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936" w:type="dxa"/>
          </w:tcPr>
          <w:p w14:paraId="3FAE097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936" w:type="dxa"/>
          </w:tcPr>
          <w:p w14:paraId="12AECF0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936" w:type="dxa"/>
          </w:tcPr>
          <w:p w14:paraId="57486E52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Protocol Rules Engine, Audit Logging</w:t>
            </w:r>
          </w:p>
        </w:tc>
        <w:tc>
          <w:tcPr>
            <w:tcW w:w="936" w:type="dxa"/>
          </w:tcPr>
          <w:p w14:paraId="10BD1D87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936" w:type="dxa"/>
          </w:tcPr>
          <w:p w14:paraId="4222806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Clinical Governance</w:t>
            </w:r>
          </w:p>
        </w:tc>
        <w:tc>
          <w:tcPr>
            <w:tcW w:w="936" w:type="dxa"/>
          </w:tcPr>
          <w:p w14:paraId="40A60B99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Mitigated</w:t>
            </w:r>
          </w:p>
        </w:tc>
      </w:tr>
      <w:tr w:rsidR="00C871F7" w:rsidRPr="007B4A47" w14:paraId="67E30C11" w14:textId="77777777">
        <w:trPr>
          <w:jc w:val="center"/>
        </w:trPr>
        <w:tc>
          <w:tcPr>
            <w:tcW w:w="936" w:type="dxa"/>
          </w:tcPr>
          <w:p w14:paraId="5551C153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RISK</w:t>
            </w:r>
            <w:r w:rsidRPr="007B4A4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7B4A47">
              <w:rPr>
                <w:rFonts w:ascii="Calibri" w:hAnsi="Calibri" w:cs="Calibri"/>
                <w:sz w:val="18"/>
                <w:szCs w:val="18"/>
              </w:rPr>
              <w:t>03</w:t>
            </w:r>
          </w:p>
        </w:tc>
        <w:tc>
          <w:tcPr>
            <w:tcW w:w="936" w:type="dxa"/>
          </w:tcPr>
          <w:p w14:paraId="3C728231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Loss of audit trail</w:t>
            </w:r>
          </w:p>
        </w:tc>
        <w:tc>
          <w:tcPr>
            <w:tcW w:w="936" w:type="dxa"/>
          </w:tcPr>
          <w:p w14:paraId="0FF96101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Compliance</w:t>
            </w:r>
          </w:p>
        </w:tc>
        <w:tc>
          <w:tcPr>
            <w:tcW w:w="936" w:type="dxa"/>
          </w:tcPr>
          <w:p w14:paraId="6D0B169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936" w:type="dxa"/>
          </w:tcPr>
          <w:p w14:paraId="5D6F682A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936" w:type="dxa"/>
          </w:tcPr>
          <w:p w14:paraId="15FBF917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936" w:type="dxa"/>
          </w:tcPr>
          <w:p w14:paraId="7E8F950F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Azure Monitor, Log Analytics</w:t>
            </w:r>
          </w:p>
        </w:tc>
        <w:tc>
          <w:tcPr>
            <w:tcW w:w="936" w:type="dxa"/>
          </w:tcPr>
          <w:p w14:paraId="65565902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936" w:type="dxa"/>
          </w:tcPr>
          <w:p w14:paraId="3CA1859B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Compliance Officer</w:t>
            </w:r>
          </w:p>
        </w:tc>
        <w:tc>
          <w:tcPr>
            <w:tcW w:w="936" w:type="dxa"/>
          </w:tcPr>
          <w:p w14:paraId="1B8F6A0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Mitigated</w:t>
            </w:r>
          </w:p>
        </w:tc>
      </w:tr>
      <w:tr w:rsidR="00C871F7" w:rsidRPr="007B4A47" w14:paraId="7AD815D2" w14:textId="77777777">
        <w:trPr>
          <w:jc w:val="center"/>
        </w:trPr>
        <w:tc>
          <w:tcPr>
            <w:tcW w:w="936" w:type="dxa"/>
          </w:tcPr>
          <w:p w14:paraId="0C52E89B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RISK</w:t>
            </w:r>
            <w:r w:rsidRPr="007B4A4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7B4A47">
              <w:rPr>
                <w:rFonts w:ascii="Calibri" w:hAnsi="Calibri" w:cs="Calibri"/>
                <w:sz w:val="18"/>
                <w:szCs w:val="18"/>
              </w:rPr>
              <w:t>04</w:t>
            </w:r>
          </w:p>
        </w:tc>
        <w:tc>
          <w:tcPr>
            <w:tcW w:w="936" w:type="dxa"/>
          </w:tcPr>
          <w:p w14:paraId="63B2428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Platform outage impacting patient care</w:t>
            </w:r>
          </w:p>
        </w:tc>
        <w:tc>
          <w:tcPr>
            <w:tcW w:w="936" w:type="dxa"/>
          </w:tcPr>
          <w:p w14:paraId="48AEDBB5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Availability</w:t>
            </w:r>
          </w:p>
        </w:tc>
        <w:tc>
          <w:tcPr>
            <w:tcW w:w="936" w:type="dxa"/>
          </w:tcPr>
          <w:p w14:paraId="772F7E1A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936" w:type="dxa"/>
          </w:tcPr>
          <w:p w14:paraId="740592F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936" w:type="dxa"/>
          </w:tcPr>
          <w:p w14:paraId="14E51BAD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936" w:type="dxa"/>
          </w:tcPr>
          <w:p w14:paraId="34638A00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Multi</w:t>
            </w:r>
            <w:r w:rsidRPr="007B4A47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7B4A47">
              <w:rPr>
                <w:rFonts w:ascii="Calibri" w:hAnsi="Calibri" w:cs="Calibri"/>
                <w:sz w:val="18"/>
                <w:szCs w:val="18"/>
              </w:rPr>
              <w:t>AZ AKS, Azure Front Door</w:t>
            </w:r>
          </w:p>
        </w:tc>
        <w:tc>
          <w:tcPr>
            <w:tcW w:w="936" w:type="dxa"/>
          </w:tcPr>
          <w:p w14:paraId="69B1E6C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936" w:type="dxa"/>
          </w:tcPr>
          <w:p w14:paraId="68EF7D1E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IT Operations</w:t>
            </w:r>
          </w:p>
        </w:tc>
        <w:tc>
          <w:tcPr>
            <w:tcW w:w="936" w:type="dxa"/>
          </w:tcPr>
          <w:p w14:paraId="469FC868" w14:textId="77777777" w:rsidR="00C871F7" w:rsidRPr="007B4A47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B4A47">
              <w:rPr>
                <w:rFonts w:ascii="Calibri" w:hAnsi="Calibri" w:cs="Calibri"/>
                <w:sz w:val="18"/>
                <w:szCs w:val="18"/>
              </w:rPr>
              <w:t>Open</w:t>
            </w:r>
          </w:p>
        </w:tc>
      </w:tr>
    </w:tbl>
    <w:p w14:paraId="4ECA0389" w14:textId="77777777" w:rsidR="006A3F24" w:rsidRPr="007B4A47" w:rsidRDefault="006A3F24">
      <w:pPr>
        <w:rPr>
          <w:rFonts w:ascii="Calibri" w:hAnsi="Calibri" w:cs="Calibri"/>
          <w:sz w:val="18"/>
          <w:szCs w:val="18"/>
        </w:rPr>
      </w:pPr>
    </w:p>
    <w:sectPr w:rsidR="006A3F24" w:rsidRPr="007B4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4F4C2E"/>
    <w:rsid w:val="005A534A"/>
    <w:rsid w:val="006A3F24"/>
    <w:rsid w:val="007B4A47"/>
    <w:rsid w:val="00827C87"/>
    <w:rsid w:val="00A20880"/>
    <w:rsid w:val="00A352C8"/>
    <w:rsid w:val="00B41C2B"/>
    <w:rsid w:val="00C26D93"/>
    <w:rsid w:val="00C27141"/>
    <w:rsid w:val="00C871F7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F1DA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3</cp:revision>
  <dcterms:created xsi:type="dcterms:W3CDTF">2026-04-19T18:12:00Z</dcterms:created>
  <dcterms:modified xsi:type="dcterms:W3CDTF">2026-04-19T18:13:00Z</dcterms:modified>
</cp:coreProperties>
</file>